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333-83992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July 3, 2002)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StemCells, Inc.</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7,500,000 Shares of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per share</w:t>
      </w:r>
    </w:p>
    <w:p>
      <w:pPr>
        <w:spacing w:after="0" w:line="18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We are offering up to 7,500,000 shares of our common stock. Our common stock is listed on the Nasdaq SmallCap Market under the symbol “STEM.” On October 25, 2004, the last reported sale price per share of our common stock on the Nasdaq SmallCap Market was $4.09.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9" w:lineRule="exact"/>
        <w:rPr>
          <w:sz w:val="20"/>
          <w:szCs w:val="20"/>
          <w:color w:val="auto"/>
        </w:rPr>
      </w:pPr>
    </w:p>
    <w:p>
      <w:pPr>
        <w:ind w:right="520" w:firstLine="225"/>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S-5 of this prospectus supplement for a discussion of important risks that you should consider before making an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88900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8"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have retained C.E. Unterberg, Towbin, LLC and Shoreline Pacific, LLC (each, an “Agent” and collectively, the “Agents”) as agents for purposes of soliciting and receiving offers for the purchase of shares in this offering. We have agreed to pay the Agents the fees set forth in the table below. The Agents are not required to sell any specified number or dollar value of shares, but will use their best efforts to arrange the sale of all 7,500,000 shares of common stock offered hereby.</w:t>
      </w: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 of Common Stock</w:t>
            </w:r>
          </w:p>
        </w:tc>
        <w:tc>
          <w:tcPr>
            <w:tcW w:w="62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Maximum 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760" w:type="dxa"/>
            <w:vAlign w:val="bottom"/>
            <w:tcBorders>
              <w:bottom w:val="single" w:sz="8" w:color="808080"/>
            </w:tcBorders>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Public Offering Price</w:t>
            </w:r>
          </w:p>
        </w:tc>
        <w:tc>
          <w:tcPr>
            <w:tcW w:w="28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$ 3.00</w:t>
            </w:r>
          </w:p>
        </w:tc>
        <w:tc>
          <w:tcPr>
            <w:tcW w:w="1000" w:type="dxa"/>
            <w:vAlign w:val="bottom"/>
            <w:gridSpan w:val="2"/>
            <w:shd w:val="clear" w:color="auto" w:fill="EEEEEE"/>
          </w:tcPr>
          <w:p>
            <w:pPr>
              <w:ind w:left="9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86"/>
              </w:rPr>
              <w:t>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Agent Fees</w:t>
            </w:r>
          </w:p>
        </w:tc>
        <w:tc>
          <w:tcPr>
            <w:tcW w:w="2880" w:type="dxa"/>
            <w:vAlign w:val="bottom"/>
            <w:gridSpan w:val="2"/>
          </w:tcPr>
          <w:p>
            <w:pPr>
              <w:jc w:val="right"/>
              <w:ind w:right="700"/>
              <w:spacing w:after="0"/>
              <w:rPr>
                <w:sz w:val="20"/>
                <w:szCs w:val="20"/>
                <w:color w:val="auto"/>
              </w:rPr>
            </w:pPr>
            <w:r>
              <w:rPr>
                <w:rFonts w:ascii="Arial" w:cs="Arial" w:eastAsia="Arial" w:hAnsi="Arial"/>
                <w:sz w:val="18"/>
                <w:szCs w:val="18"/>
                <w:color w:val="auto"/>
              </w:rPr>
              <w:t>$ 0.18</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w w:val="97"/>
              </w:rPr>
              <w:t>1,350,000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Proceeds, before expenses, to StemCells</w:t>
            </w:r>
          </w:p>
        </w:tc>
        <w:tc>
          <w:tcPr>
            <w:tcW w:w="28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$ 2.82</w:t>
            </w:r>
          </w:p>
        </w:tc>
        <w:tc>
          <w:tcPr>
            <w:tcW w:w="1000" w:type="dxa"/>
            <w:vAlign w:val="bottom"/>
            <w:gridSpan w:val="2"/>
            <w:shd w:val="clear" w:color="auto" w:fill="EEEEEE"/>
          </w:tcPr>
          <w:p>
            <w:pPr>
              <w:ind w:left="9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86"/>
              </w:rPr>
              <w:t>21,150,000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firstLine="222"/>
        <w:spacing w:after="0" w:line="342" w:lineRule="auto"/>
        <w:rPr>
          <w:sz w:val="20"/>
          <w:szCs w:val="20"/>
          <w:color w:val="auto"/>
        </w:rPr>
      </w:pPr>
      <w:r>
        <w:rPr>
          <w:rFonts w:ascii="Arial" w:cs="Arial" w:eastAsia="Arial" w:hAnsi="Arial"/>
          <w:sz w:val="16"/>
          <w:szCs w:val="16"/>
          <w:color w:val="auto"/>
        </w:rPr>
        <w:t>There is no minimum offering amount required to complete this offering. Accordingly, we may sell substantially fewer than 7,500,000 shares of common stock in this offering and the total agent fees and total proceeds to StemCells may be substantially less than the maximum totals referred to above.</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expect to deliver the shares of common stock against payment on or about October 28, 2004 on which date the offering will end.</w:t>
      </w:r>
    </w:p>
    <w:p>
      <w:pPr>
        <w:spacing w:after="0" w:line="181" w:lineRule="exact"/>
        <w:rPr>
          <w:sz w:val="20"/>
          <w:szCs w:val="20"/>
          <w:color w:val="auto"/>
        </w:rPr>
      </w:pPr>
    </w:p>
    <w:p>
      <w:pPr>
        <w:jc w:val="both"/>
        <w:ind w:right="860" w:firstLine="225"/>
        <w:spacing w:after="0" w:line="386" w:lineRule="auto"/>
        <w:rPr>
          <w:sz w:val="20"/>
          <w:szCs w:val="20"/>
          <w:color w:val="auto"/>
        </w:rPr>
      </w:pPr>
      <w:r>
        <w:rPr>
          <w:rFonts w:ascii="Arial" w:cs="Arial" w:eastAsia="Arial" w:hAnsi="Arial"/>
          <w:sz w:val="15"/>
          <w:szCs w:val="15"/>
          <w:b w:val="1"/>
          <w:bCs w:val="1"/>
          <w:color w:val="auto"/>
        </w:rPr>
        <w:t>The Securities and Exchange Commission and state regulators have not approved or disapproved these securities, or determined if this prospectus supplement or the accompanying prospectus is accurate or complete. Any representation to the contrary is a criminal offense.</w:t>
      </w:r>
    </w:p>
    <w:p>
      <w:pPr>
        <w:spacing w:after="0" w:line="93" w:lineRule="exact"/>
        <w:rPr>
          <w:sz w:val="20"/>
          <w:szCs w:val="20"/>
          <w:color w:val="auto"/>
        </w:rPr>
      </w:pPr>
    </w:p>
    <w:p>
      <w:pPr>
        <w:spacing w:after="0"/>
        <w:tabs>
          <w:tab w:leader="none" w:pos="9080" w:val="left"/>
        </w:tabs>
        <w:rPr>
          <w:sz w:val="20"/>
          <w:szCs w:val="20"/>
          <w:color w:val="auto"/>
        </w:rPr>
      </w:pPr>
      <w:r>
        <w:rPr>
          <w:rFonts w:ascii="Arial" w:cs="Arial" w:eastAsia="Arial" w:hAnsi="Arial"/>
          <w:sz w:val="18"/>
          <w:szCs w:val="18"/>
          <w:b w:val="1"/>
          <w:bCs w:val="1"/>
          <w:color w:val="auto"/>
        </w:rPr>
        <w:t>C.E. UNTERBERG, TOWBIN</w:t>
      </w:r>
      <w:r>
        <w:rPr>
          <w:sz w:val="20"/>
          <w:szCs w:val="20"/>
          <w:color w:val="auto"/>
        </w:rPr>
        <w:tab/>
      </w:r>
      <w:r>
        <w:rPr>
          <w:rFonts w:ascii="Arial" w:cs="Arial" w:eastAsia="Arial" w:hAnsi="Arial"/>
          <w:sz w:val="18"/>
          <w:szCs w:val="18"/>
          <w:b w:val="1"/>
          <w:bCs w:val="1"/>
          <w:color w:val="auto"/>
        </w:rPr>
        <w:t>SHORELINE PACIFIC,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Agents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October 25,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580" w:type="dxa"/>
            <w:vAlign w:val="bottom"/>
            <w:gridSpan w:val="12"/>
          </w:tcPr>
          <w:p>
            <w:pPr>
              <w:spacing w:after="0"/>
              <w:rPr>
                <w:sz w:val="20"/>
                <w:szCs w:val="20"/>
                <w:color w:val="auto"/>
              </w:rPr>
            </w:pPr>
            <w:r>
              <w:rPr>
                <w:rFonts w:ascii="Arial" w:cs="Arial" w:eastAsia="Arial" w:hAnsi="Arial"/>
                <w:sz w:val="14"/>
                <w:szCs w:val="14"/>
                <w:b w:val="1"/>
                <w:bCs w:val="1"/>
                <w:color w:val="auto"/>
              </w:rPr>
              <w:t>Prospectus Supplement</w:t>
            </w:r>
          </w:p>
        </w:tc>
        <w:tc>
          <w:tcPr>
            <w:tcW w:w="122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4"/>
                <w:szCs w:val="14"/>
                <w:b w:val="1"/>
                <w:bCs w:val="1"/>
                <w:color w:val="auto"/>
              </w:rPr>
              <w:t>Prospectus</w:t>
            </w:r>
          </w:p>
        </w:tc>
        <w:tc>
          <w:tcPr>
            <w:tcW w:w="540" w:type="dxa"/>
            <w:vAlign w:val="bottom"/>
          </w:tcPr>
          <w:p>
            <w:pPr>
              <w:ind w:left="200"/>
              <w:spacing w:after="0"/>
              <w:rPr>
                <w:sz w:val="20"/>
                <w:szCs w:val="20"/>
                <w:color w:val="auto"/>
              </w:rPr>
            </w:pPr>
            <w:r>
              <w:rPr>
                <w:rFonts w:ascii="Arial" w:cs="Arial" w:eastAsia="Arial" w:hAnsi="Arial"/>
                <w:sz w:val="14"/>
                <w:szCs w:val="14"/>
                <w:b w:val="1"/>
                <w:bCs w:val="1"/>
                <w:color w:val="auto"/>
                <w:w w:val="95"/>
              </w:rPr>
              <w:t>Page</w:t>
            </w:r>
          </w:p>
        </w:tc>
      </w:tr>
      <w:tr>
        <w:trPr>
          <w:trHeight w:val="190"/>
        </w:trPr>
        <w:tc>
          <w:tcPr>
            <w:tcW w:w="2500" w:type="dxa"/>
            <w:vAlign w:val="bottom"/>
            <w:gridSpan w:val="10"/>
          </w:tcPr>
          <w:p>
            <w:pPr>
              <w:spacing w:after="0" w:line="190"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About this Prospectus Supplement</w:t>
              </w:r>
            </w:hyperlink>
          </w:p>
        </w:tc>
        <w:tc>
          <w:tcPr>
            <w:tcW w:w="1080" w:type="dxa"/>
            <w:vAlign w:val="bottom"/>
            <w:gridSpan w:val="2"/>
          </w:tcPr>
          <w:p>
            <w:pPr>
              <w:spacing w:after="0"/>
              <w:rPr>
                <w:sz w:val="16"/>
                <w:szCs w:val="16"/>
                <w:color w:val="auto"/>
              </w:rPr>
            </w:pPr>
          </w:p>
        </w:tc>
        <w:tc>
          <w:tcPr>
            <w:tcW w:w="1220" w:type="dxa"/>
            <w:vAlign w:val="bottom"/>
          </w:tcPr>
          <w:p>
            <w:pPr>
              <w:jc w:val="right"/>
              <w:ind w:right="91"/>
              <w:spacing w:after="0" w:line="190" w:lineRule="exact"/>
              <w:rPr>
                <w:sz w:val="20"/>
                <w:szCs w:val="20"/>
                <w:color w:val="auto"/>
              </w:rPr>
            </w:pPr>
            <w:r>
              <w:rPr>
                <w:rFonts w:ascii="Arial" w:cs="Arial" w:eastAsia="Arial" w:hAnsi="Arial"/>
                <w:sz w:val="18"/>
                <w:szCs w:val="18"/>
                <w:color w:val="auto"/>
              </w:rPr>
              <w:t>S-1</w:t>
            </w:r>
          </w:p>
        </w:tc>
        <w:tc>
          <w:tcPr>
            <w:tcW w:w="180" w:type="dxa"/>
            <w:vAlign w:val="bottom"/>
          </w:tcPr>
          <w:p>
            <w:pPr>
              <w:spacing w:after="0"/>
              <w:rPr>
                <w:sz w:val="16"/>
                <w:szCs w:val="16"/>
                <w:color w:val="auto"/>
              </w:rPr>
            </w:pPr>
          </w:p>
        </w:tc>
        <w:tc>
          <w:tcPr>
            <w:tcW w:w="4180" w:type="dxa"/>
            <w:vAlign w:val="bottom"/>
            <w:gridSpan w:val="11"/>
          </w:tcPr>
          <w:p>
            <w:pPr>
              <w:spacing w:after="0" w:line="190" w:lineRule="exact"/>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540" w:type="dxa"/>
            <w:vAlign w:val="bottom"/>
          </w:tcPr>
          <w:p>
            <w:pPr>
              <w:ind w:left="360"/>
              <w:spacing w:after="0" w:line="190" w:lineRule="exact"/>
              <w:rPr>
                <w:sz w:val="20"/>
                <w:szCs w:val="20"/>
                <w:color w:val="auto"/>
              </w:rPr>
            </w:pPr>
            <w:r>
              <w:rPr>
                <w:rFonts w:ascii="Arial" w:cs="Arial" w:eastAsia="Arial" w:hAnsi="Arial"/>
                <w:sz w:val="18"/>
                <w:szCs w:val="18"/>
                <w:color w:val="auto"/>
              </w:rPr>
              <w:t>1</w:t>
            </w:r>
          </w:p>
        </w:tc>
      </w:tr>
      <w:tr>
        <w:trPr>
          <w:trHeight w:val="196"/>
        </w:trPr>
        <w:tc>
          <w:tcPr>
            <w:tcW w:w="2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Supplement Summary</w:t>
              </w:r>
            </w:hyperlink>
          </w:p>
        </w:tc>
        <w:tc>
          <w:tcPr>
            <w:tcW w:w="60" w:type="dxa"/>
            <w:vAlign w:val="bottom"/>
            <w:tcBorders>
              <w:top w:val="single" w:sz="8" w:color="0000EE"/>
            </w:tcBorders>
          </w:tcPr>
          <w:p>
            <w:pPr>
              <w:spacing w:after="0"/>
              <w:rPr>
                <w:sz w:val="17"/>
                <w:szCs w:val="17"/>
                <w:color w:val="auto"/>
              </w:rPr>
            </w:pPr>
          </w:p>
        </w:tc>
        <w:tc>
          <w:tcPr>
            <w:tcW w:w="1080" w:type="dxa"/>
            <w:vAlign w:val="bottom"/>
            <w:gridSpan w:val="2"/>
          </w:tcPr>
          <w:p>
            <w:pPr>
              <w:spacing w:after="0"/>
              <w:rPr>
                <w:sz w:val="17"/>
                <w:szCs w:val="17"/>
                <w:color w:val="auto"/>
              </w:rPr>
            </w:pPr>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S-2</w:t>
            </w:r>
          </w:p>
        </w:tc>
        <w:tc>
          <w:tcPr>
            <w:tcW w:w="1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Executive Office</w:t>
              </w:r>
            </w:hyperlink>
          </w:p>
        </w:tc>
        <w:tc>
          <w:tcPr>
            <w:tcW w:w="400" w:type="dxa"/>
            <w:vAlign w:val="bottom"/>
            <w:tcBorders>
              <w:top w:val="single" w:sz="8" w:color="0000EE"/>
            </w:tcBorders>
            <w:gridSpan w:val="2"/>
          </w:tcPr>
          <w:p>
            <w:pPr>
              <w:spacing w:after="0"/>
              <w:rPr>
                <w:sz w:val="17"/>
                <w:szCs w:val="17"/>
                <w:color w:val="auto"/>
              </w:rPr>
            </w:pPr>
          </w:p>
        </w:tc>
        <w:tc>
          <w:tcPr>
            <w:tcW w:w="2540" w:type="dxa"/>
            <w:vAlign w:val="bottom"/>
            <w:gridSpan w:val="4"/>
          </w:tcPr>
          <w:p>
            <w:pPr>
              <w:spacing w:after="0"/>
              <w:rPr>
                <w:sz w:val="17"/>
                <w:szCs w:val="17"/>
                <w:color w:val="auto"/>
              </w:rPr>
            </w:pPr>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rPr>
              <w:t>1</w:t>
            </w: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2660" w:type="dxa"/>
            <w:vAlign w:val="bottom"/>
            <w:gridSpan w:val="11"/>
          </w:tcPr>
          <w:p>
            <w:pPr>
              <w:spacing w:after="0"/>
              <w:rPr>
                <w:sz w:val="17"/>
                <w:szCs w:val="17"/>
                <w:color w:val="auto"/>
              </w:rPr>
            </w:pPr>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S-5</w:t>
            </w:r>
          </w:p>
        </w:tc>
        <w:tc>
          <w:tcPr>
            <w:tcW w:w="18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3260" w:type="dxa"/>
            <w:vAlign w:val="bottom"/>
            <w:gridSpan w:val="9"/>
          </w:tcPr>
          <w:p>
            <w:pPr>
              <w:spacing w:after="0"/>
              <w:rPr>
                <w:sz w:val="17"/>
                <w:szCs w:val="17"/>
                <w:color w:val="auto"/>
              </w:rPr>
            </w:pPr>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rPr>
              <w:t>2</w:t>
            </w:r>
          </w:p>
        </w:tc>
      </w:tr>
      <w:tr>
        <w:trPr>
          <w:trHeight w:val="196"/>
        </w:trPr>
        <w:tc>
          <w:tcPr>
            <w:tcW w:w="3580" w:type="dxa"/>
            <w:vAlign w:val="bottom"/>
            <w:gridSpan w:val="1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S-11</w:t>
            </w:r>
          </w:p>
        </w:tc>
        <w:tc>
          <w:tcPr>
            <w:tcW w:w="4360" w:type="dxa"/>
            <w:vAlign w:val="bottom"/>
            <w:gridSpan w:val="12"/>
          </w:tcPr>
          <w:p>
            <w:pPr>
              <w:ind w:left="180"/>
              <w:spacing w:after="0" w:line="19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Special Note Regarding Forward-Looking Information</w:t>
              </w:r>
            </w:hyperlink>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rPr>
              <w:t>7</w:t>
            </w:r>
          </w:p>
        </w:tc>
      </w:tr>
      <w:tr>
        <w:trPr>
          <w:trHeight w:val="196"/>
        </w:trPr>
        <w:tc>
          <w:tcPr>
            <w:tcW w:w="1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Use Of Proceeds</w:t>
              </w:r>
            </w:hyperlink>
          </w:p>
        </w:tc>
        <w:tc>
          <w:tcPr>
            <w:tcW w:w="900" w:type="dxa"/>
            <w:vAlign w:val="bottom"/>
            <w:tcBorders>
              <w:top w:val="single" w:sz="8" w:color="0000EE"/>
            </w:tcBorders>
            <w:gridSpan w:val="3"/>
          </w:tcPr>
          <w:p>
            <w:pPr>
              <w:spacing w:after="0"/>
              <w:rPr>
                <w:sz w:val="17"/>
                <w:szCs w:val="17"/>
                <w:color w:val="auto"/>
              </w:rPr>
            </w:pPr>
          </w:p>
        </w:tc>
        <w:tc>
          <w:tcPr>
            <w:tcW w:w="1460" w:type="dxa"/>
            <w:vAlign w:val="bottom"/>
            <w:gridSpan w:val="5"/>
          </w:tcPr>
          <w:p>
            <w:pPr>
              <w:spacing w:after="0"/>
              <w:rPr>
                <w:sz w:val="17"/>
                <w:szCs w:val="17"/>
                <w:color w:val="auto"/>
              </w:rPr>
            </w:pPr>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S-12</w:t>
            </w:r>
          </w:p>
        </w:tc>
        <w:tc>
          <w:tcPr>
            <w:tcW w:w="18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Use of Proceeds</w:t>
              </w:r>
            </w:hyperlink>
          </w:p>
        </w:tc>
        <w:tc>
          <w:tcPr>
            <w:tcW w:w="2780" w:type="dxa"/>
            <w:vAlign w:val="bottom"/>
            <w:tcBorders>
              <w:top w:val="single" w:sz="8" w:color="0000EE"/>
            </w:tcBorders>
            <w:gridSpan w:val="6"/>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rPr>
              <w:t>8</w:t>
            </w:r>
          </w:p>
        </w:tc>
      </w:tr>
      <w:tr>
        <w:trPr>
          <w:trHeight w:val="196"/>
        </w:trPr>
        <w:tc>
          <w:tcPr>
            <w:tcW w:w="3580" w:type="dxa"/>
            <w:vAlign w:val="bottom"/>
            <w:gridSpan w:val="1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Price Range Of Common Stock</w:t>
              </w:r>
            </w:hyperlink>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S-12</w:t>
            </w:r>
          </w:p>
        </w:tc>
        <w:tc>
          <w:tcPr>
            <w:tcW w:w="4360" w:type="dxa"/>
            <w:vAlign w:val="bottom"/>
            <w:gridSpan w:val="12"/>
          </w:tcPr>
          <w:p>
            <w:pPr>
              <w:ind w:left="18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Plan of Distribution</w:t>
              </w:r>
            </w:hyperlink>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rPr>
              <w:t>8</w:t>
            </w:r>
          </w:p>
        </w:tc>
      </w:tr>
      <w:tr>
        <w:trPr>
          <w:trHeight w:val="196"/>
        </w:trPr>
        <w:tc>
          <w:tcPr>
            <w:tcW w:w="2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Dividend Policy</w:t>
              </w:r>
            </w:hyperlink>
          </w:p>
        </w:tc>
        <w:tc>
          <w:tcPr>
            <w:tcW w:w="1300" w:type="dxa"/>
            <w:vAlign w:val="bottom"/>
            <w:gridSpan w:val="4"/>
          </w:tcPr>
          <w:p>
            <w:pPr>
              <w:spacing w:after="0"/>
              <w:rPr>
                <w:sz w:val="17"/>
                <w:szCs w:val="17"/>
                <w:color w:val="auto"/>
              </w:rPr>
            </w:pPr>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S-13</w:t>
            </w:r>
          </w:p>
        </w:tc>
        <w:tc>
          <w:tcPr>
            <w:tcW w:w="180" w:type="dxa"/>
            <w:vAlign w:val="bottom"/>
          </w:tcPr>
          <w:p>
            <w:pPr>
              <w:spacing w:after="0"/>
              <w:rPr>
                <w:sz w:val="17"/>
                <w:szCs w:val="17"/>
                <w:color w:val="auto"/>
              </w:rPr>
            </w:pPr>
          </w:p>
        </w:tc>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2740" w:type="dxa"/>
            <w:vAlign w:val="bottom"/>
            <w:gridSpan w:val="5"/>
          </w:tcPr>
          <w:p>
            <w:pPr>
              <w:spacing w:after="0"/>
              <w:rPr>
                <w:sz w:val="17"/>
                <w:szCs w:val="17"/>
                <w:color w:val="auto"/>
              </w:rPr>
            </w:pPr>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79"/>
              </w:rPr>
              <w:t>10</w:t>
            </w: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58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Capital Stock</w:t>
              </w:r>
            </w:hyperlink>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S-13</w:t>
            </w:r>
          </w:p>
        </w:tc>
        <w:tc>
          <w:tcPr>
            <w:tcW w:w="4360" w:type="dxa"/>
            <w:vAlign w:val="bottom"/>
            <w:gridSpan w:val="12"/>
          </w:tcPr>
          <w:p>
            <w:pPr>
              <w:ind w:left="18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79"/>
              </w:rPr>
              <w:t>10</w:t>
            </w: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Plan Of Distribution</w:t>
              </w:r>
            </w:hyperlink>
          </w:p>
        </w:tc>
        <w:tc>
          <w:tcPr>
            <w:tcW w:w="580" w:type="dxa"/>
            <w:vAlign w:val="bottom"/>
          </w:tcPr>
          <w:p>
            <w:pPr>
              <w:spacing w:after="0"/>
              <w:rPr>
                <w:sz w:val="17"/>
                <w:szCs w:val="17"/>
                <w:color w:val="auto"/>
              </w:rPr>
            </w:pPr>
          </w:p>
        </w:tc>
        <w:tc>
          <w:tcPr>
            <w:tcW w:w="1520" w:type="dxa"/>
            <w:vAlign w:val="bottom"/>
            <w:gridSpan w:val="6"/>
          </w:tcPr>
          <w:p>
            <w:pPr>
              <w:spacing w:after="0"/>
              <w:rPr>
                <w:sz w:val="17"/>
                <w:szCs w:val="17"/>
                <w:color w:val="auto"/>
              </w:rPr>
            </w:pPr>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S-14</w:t>
            </w:r>
          </w:p>
        </w:tc>
        <w:tc>
          <w:tcPr>
            <w:tcW w:w="18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Where You Can Find More Information</w:t>
              </w:r>
            </w:hyperlink>
          </w:p>
        </w:tc>
        <w:tc>
          <w:tcPr>
            <w:tcW w:w="1300" w:type="dxa"/>
            <w:vAlign w:val="bottom"/>
            <w:gridSpan w:val="3"/>
          </w:tcPr>
          <w:p>
            <w:pPr>
              <w:spacing w:after="0"/>
              <w:rPr>
                <w:sz w:val="17"/>
                <w:szCs w:val="17"/>
                <w:color w:val="auto"/>
              </w:rPr>
            </w:pPr>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79"/>
              </w:rPr>
              <w:t>10</w:t>
            </w:r>
          </w:p>
        </w:tc>
      </w:tr>
      <w:tr>
        <w:trPr>
          <w:trHeight w:val="196"/>
        </w:trPr>
        <w:tc>
          <w:tcPr>
            <w:tcW w:w="1020" w:type="dxa"/>
            <w:vAlign w:val="bottom"/>
            <w:gridSpan w:val="2"/>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Legal Matters</w:t>
              </w:r>
            </w:hyperlink>
          </w:p>
        </w:tc>
        <w:tc>
          <w:tcPr>
            <w:tcW w:w="2560" w:type="dxa"/>
            <w:vAlign w:val="bottom"/>
            <w:gridSpan w:val="10"/>
          </w:tcPr>
          <w:p>
            <w:pPr>
              <w:spacing w:after="0"/>
              <w:rPr>
                <w:sz w:val="17"/>
                <w:szCs w:val="17"/>
                <w:color w:val="auto"/>
              </w:rPr>
            </w:pPr>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S-15</w:t>
            </w:r>
          </w:p>
        </w:tc>
        <w:tc>
          <w:tcPr>
            <w:tcW w:w="180" w:type="dxa"/>
            <w:vAlign w:val="bottom"/>
          </w:tcPr>
          <w:p>
            <w:pPr>
              <w:spacing w:after="0"/>
              <w:rPr>
                <w:sz w:val="17"/>
                <w:szCs w:val="17"/>
                <w:color w:val="auto"/>
              </w:rPr>
            </w:pPr>
          </w:p>
        </w:tc>
        <w:tc>
          <w:tcPr>
            <w:tcW w:w="4180" w:type="dxa"/>
            <w:vAlign w:val="bottom"/>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Documents by Reference</w:t>
              </w:r>
            </w:hyperlink>
          </w:p>
        </w:tc>
        <w:tc>
          <w:tcPr>
            <w:tcW w:w="540" w:type="dxa"/>
            <w:vAlign w:val="bottom"/>
          </w:tcPr>
          <w:p>
            <w:pPr>
              <w:ind w:left="360"/>
              <w:spacing w:after="0" w:line="196" w:lineRule="exact"/>
              <w:rPr>
                <w:sz w:val="20"/>
                <w:szCs w:val="20"/>
                <w:color w:val="auto"/>
              </w:rPr>
            </w:pPr>
            <w:r>
              <w:rPr>
                <w:rFonts w:ascii="Arial" w:cs="Arial" w:eastAsia="Arial" w:hAnsi="Arial"/>
                <w:sz w:val="18"/>
                <w:szCs w:val="18"/>
                <w:color w:val="auto"/>
                <w:w w:val="79"/>
              </w:rPr>
              <w:t>11</w:t>
            </w: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Where You Can Find More Information</w:t>
              </w:r>
            </w:hyperlink>
          </w:p>
        </w:tc>
        <w:tc>
          <w:tcPr>
            <w:tcW w:w="700" w:type="dxa"/>
            <w:vAlign w:val="bottom"/>
          </w:tcPr>
          <w:p>
            <w:pPr>
              <w:spacing w:after="0"/>
              <w:rPr>
                <w:sz w:val="17"/>
                <w:szCs w:val="17"/>
                <w:color w:val="auto"/>
              </w:rPr>
            </w:pPr>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S-15</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Incorporation By Reference</w:t>
              </w:r>
            </w:hyperlink>
          </w:p>
        </w:tc>
        <w:tc>
          <w:tcPr>
            <w:tcW w:w="1520" w:type="dxa"/>
            <w:vAlign w:val="bottom"/>
            <w:gridSpan w:val="6"/>
          </w:tcPr>
          <w:p>
            <w:pPr>
              <w:spacing w:after="0"/>
              <w:rPr>
                <w:sz w:val="17"/>
                <w:szCs w:val="17"/>
                <w:color w:val="auto"/>
              </w:rPr>
            </w:pPr>
          </w:p>
        </w:tc>
        <w:tc>
          <w:tcPr>
            <w:tcW w:w="12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S-16</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02"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This prospectus supplement is not complete without, and may not be utilized except in connection with, the accompanying prospectus dated July 3, 2002 and any amendments to such prospectus. This prospectus supplement provides supplemental information regarding the Company, updates and changes in information contained in the prospectus dated July 3, 2002 and describes the specific terms of this offering. The accompanying prospectus dated July 3, 2002 gives more general information, some of which may not apply to this offering. We incorporate important information into this prospectus supplement and the accompanying prospectus by reference. You may obtain the information incorporated by reference into this prospectus supplement and the prospectus without charge by following the instructions under “Where You Can Find More Information.” You should carefully read both this prospectus supplement and the prospectus, as well as additional information described under ''Incorporation by Reference,” before deciding to invest in shares of our common stock. If the</w:t>
      </w:r>
    </w:p>
    <w:p>
      <w:pPr>
        <w:sectPr>
          <w:pgSz w:w="11900" w:h="16838" w:orient="portrait"/>
          <w:cols w:equalWidth="0" w:num="1">
            <w:col w:w="11420"/>
          </w:cols>
          <w:pgMar w:left="240" w:top="122" w:right="239" w:bottom="0" w:gutter="0" w:footer="0" w:header="0"/>
        </w:sectPr>
      </w:pPr>
    </w:p>
    <w:bookmarkStart w:id="2" w:name="page3"/>
    <w:bookmarkEnd w:id="2"/>
    <w:p>
      <w:pPr>
        <w:ind w:right="600"/>
        <w:spacing w:after="0" w:line="342" w:lineRule="auto"/>
        <w:rPr>
          <w:sz w:val="20"/>
          <w:szCs w:val="20"/>
          <w:color w:val="auto"/>
        </w:rPr>
      </w:pPr>
      <w:r>
        <w:rPr>
          <w:rFonts w:ascii="Arial" w:cs="Arial" w:eastAsia="Arial" w:hAnsi="Arial"/>
          <w:sz w:val="16"/>
          <w:szCs w:val="16"/>
          <w:color w:val="auto"/>
        </w:rPr>
        <w:t>information in, or incorporated by reference in, this prospectus supplement conflicts with information in the accompanying prospectus or a document incorporated by reference herein or therein, the information in, or incorporated by reference in, this prospectus supplement shall control.</w:t>
      </w:r>
    </w:p>
    <w:p>
      <w:pPr>
        <w:spacing w:after="0" w:line="83" w:lineRule="exact"/>
        <w:rPr>
          <w:sz w:val="20"/>
          <w:szCs w:val="20"/>
          <w:color w:val="auto"/>
        </w:rPr>
      </w:pPr>
    </w:p>
    <w:p>
      <w:pPr>
        <w:ind w:right="20" w:firstLine="215"/>
        <w:spacing w:after="0" w:line="277" w:lineRule="auto"/>
        <w:rPr>
          <w:sz w:val="20"/>
          <w:szCs w:val="20"/>
          <w:color w:val="auto"/>
        </w:rPr>
      </w:pPr>
      <w:r>
        <w:rPr>
          <w:rFonts w:ascii="Arial" w:cs="Arial" w:eastAsia="Arial" w:hAnsi="Arial"/>
          <w:sz w:val="18"/>
          <w:szCs w:val="18"/>
          <w:color w:val="auto"/>
        </w:rPr>
        <w:t>All references in this prospectus to “StemCells,” “the Company,” “we,” “us” or “our” mean StemCells, Inc. and its subsidiary unless we state otherwise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9"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and the accompanying prospectus. We have not authorized anyone to provide you with different information. If anyone provides you with different or inconsistent information, you should not rely on it. We are not making an offer to sell these securities in any jurisdiction where the offer is not permitted. The information contained in this prospectus supplement and the accompanying prospectus is accurate only as of their respective dates, regardless of the time of delivery of this prospectus supplement and the accompanying prospectus or the time of any sale of our common stock. Our business, financial condition, results of operations and prospects may have changed since those dates.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 SUMMARY</w:t>
      </w:r>
    </w:p>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consolidated financial statements and notes thereto appearing elsewhere in, and incorporated by reference into, this prospectus supplement and the accompanying prospectus. Before you decide to invest in our stock, you should read the entire prospectus supplement and the accompanying prospectus carefully, including the risk factors and consolidated financial statements and related notes included or incorporated by reference in this prospectus supplement and the accompanying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89"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are engaged in research aimed at the development of therapies that would use stem and progenitor cells to treat, and possibly cure, human diseases and injuries such as neurodegenerative diseases (for instance, Batten’s, Parkinson’s, and Alzheimer’s diseases, and other metabolic genetic disorders), demyelinating disorders (for instance, Multiple Sclerosis), spinal cord injuries, stroke, hepatitis, chronic liver failure, and diabetes. 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tissue sources and are not developing embryonic stem cells for therapeutic use. We are not involved in any activity directed toward human cloning; our programs are all directed toward the use of tissue-derived cells for treating or curing diseases and injuries.</w:t>
      </w:r>
    </w:p>
    <w:p>
      <w:pPr>
        <w:spacing w:after="0" w:line="155"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We have identified the human neural stem cell and candidate pancreas and liver stem or progenitor cells, and have issued patents and pending patent applications to protect our proprietary position. Our most advanced program is focused on the development of our human neural stem cells. To date, we have obtained pre-clinical proof of concept in various animal models including spinal cord injury, stroke, myelin disorders and Batten’s disease.</w:t>
      </w:r>
    </w:p>
    <w:p>
      <w:pPr>
        <w:spacing w:after="0" w:line="10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Subject to obtaining required approvals, we expect to file with the Food and Drug Administration no later than the first quarter of 2005 our first Investigational New Drug filing, or IND, for a clinical trial in Batten’s disease, a rare, fatal neurodegenerative lysosomal storage disorder affecting the central nervous system. More specifically, the IND would provide for a clinical trial in infantile and late-infantile neuronal ceroid lipofuscinosis, or NCL. The NCLs are a set of several closely related genetic lysosomal storage disorders caused by a deficiency of specific enzymes required for normal cell metabolism. The deficiency results in storage of toxic waste materials and the death of certain neurons. The NCLs primarily affect infants and young children and are always fatal. In preclinical studies in a mice model of a specific form of NCL, our proprietary human neural stem cells were transplanted into the mice, resulting in widespread engraftment, persistent production of the enzyme that is deficient in the disease, reduction in the toxic waste material and preliminary indications of improved neuronal survival. Since all of the NCLs, which include Batten’s disease, are commonly referred to as Batten’s disease, we refer to them in this way throughout this prospectus supplement.</w:t>
      </w:r>
    </w:p>
    <w:p>
      <w:pPr>
        <w:spacing w:after="0" w:line="141"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49 million people in the United States and account for more than $300 billion annually in health care costs.</w:t>
      </w:r>
    </w:p>
    <w:p>
      <w:pPr>
        <w:spacing w:after="0" w:line="16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stem cell discovery engine relies upon our state- of the art cell sorting capabilities and our library of proprietary monoclonal antibodies to human proteins. Using these and other monoclonal antibodies, we have successfully identified, purified, and characterized the human central nervous system stem cell. We have also used our proprietary monoclonal antibodies to make significant advances in our search for stem or progenitor cells of the liver and the pancreas. We have established an intellectual property position in all three areas of our stem cell research — the nervous system, the liver and the pancreas — by patenting our discoveries and entering into</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exclusive in-licensing arrangements. We believe that, if successfully developed, our platform of stem cell technologies may create the basis for therapies that would address a number of conditions with significant unmet medical needs. We are concentrating our in-house efforts on our neural and liver programs and, for the present, pursuing research on the pancreas primarily through an external collaborator.</w:t>
      </w:r>
    </w:p>
    <w:p>
      <w:pPr>
        <w:spacing w:after="0" w:line="154" w:lineRule="exact"/>
        <w:rPr>
          <w:sz w:val="20"/>
          <w:szCs w:val="20"/>
          <w:color w:val="auto"/>
        </w:rPr>
      </w:pPr>
    </w:p>
    <w:p>
      <w:pPr>
        <w:ind w:right="1820" w:firstLine="225"/>
        <w:spacing w:after="0" w:line="454" w:lineRule="auto"/>
        <w:rPr>
          <w:sz w:val="20"/>
          <w:szCs w:val="20"/>
          <w:color w:val="auto"/>
        </w:rPr>
      </w:pPr>
      <w:r>
        <w:rPr>
          <w:rFonts w:ascii="Arial" w:cs="Arial" w:eastAsia="Arial" w:hAnsi="Arial"/>
          <w:sz w:val="18"/>
          <w:szCs w:val="18"/>
          <w:color w:val="auto"/>
        </w:rPr>
        <w:t xml:space="preserve">Our principal executive offices are located at 3155 Porter Drive, Palo Alto, CA 94304, and our phone number is (650) 475-3100. </w:t>
      </w:r>
      <w:r>
        <w:rPr>
          <w:rFonts w:ascii="Arial" w:cs="Arial" w:eastAsia="Arial" w:hAnsi="Arial"/>
          <w:sz w:val="18"/>
          <w:szCs w:val="18"/>
          <w:b w:val="1"/>
          <w:bCs w:val="1"/>
          <w:color w:val="auto"/>
        </w:rPr>
        <w:t>Recent Developments</w:t>
      </w:r>
    </w:p>
    <w:p>
      <w:pPr>
        <w:jc w:val="both"/>
        <w:ind w:right="140" w:firstLine="225"/>
        <w:spacing w:after="0" w:line="264" w:lineRule="auto"/>
        <w:rPr>
          <w:sz w:val="20"/>
          <w:szCs w:val="20"/>
          <w:color w:val="auto"/>
        </w:rPr>
      </w:pPr>
      <w:r>
        <w:rPr>
          <w:rFonts w:ascii="Arial" w:cs="Arial" w:eastAsia="Arial" w:hAnsi="Arial"/>
          <w:sz w:val="18"/>
          <w:szCs w:val="18"/>
          <w:color w:val="auto"/>
        </w:rPr>
        <w:t>In August 2004, we announced that we had been issued U.S. patent 6,777,233 for work done at the Company covering composition of matter claims for the human neural stem cell. The patent covers human neural stem cell cultures derived from any source, including embryonic as well as fetal, neonatal and adult tissue.</w:t>
      </w:r>
    </w:p>
    <w:p>
      <w:pPr>
        <w:spacing w:after="0" w:line="154" w:lineRule="exact"/>
        <w:rPr>
          <w:sz w:val="20"/>
          <w:szCs w:val="20"/>
          <w:color w:val="auto"/>
        </w:rPr>
      </w:pPr>
    </w:p>
    <w:p>
      <w:pPr>
        <w:ind w:right="180" w:firstLine="215"/>
        <w:spacing w:after="0" w:line="302" w:lineRule="auto"/>
        <w:rPr>
          <w:sz w:val="20"/>
          <w:szCs w:val="20"/>
          <w:color w:val="auto"/>
        </w:rPr>
      </w:pPr>
      <w:r>
        <w:rPr>
          <w:rFonts w:ascii="Arial" w:cs="Arial" w:eastAsia="Arial" w:hAnsi="Arial"/>
          <w:sz w:val="16"/>
          <w:szCs w:val="16"/>
          <w:color w:val="auto"/>
        </w:rPr>
        <w:t>At September 30, 2004, we had cash and cash equivalents of approximately $23,100,000, total current assets of approximately $23,400,000 and total current liabilities of approximately $3,500,000. We expect to report net losses for the three months ended September 30, 2004 and the nine months ended September 30, 2004 of approximately $4,300,000 and $10,400,000, respectively, which reflect, in part, non-cash charges of approximately $1,300,000 and $1,900,000, respectively, due to additions to our reserve for wind-down expenses related to our former Rhode Island facilities.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Shares of common stock to be outstanding after this offering if all shares offered by this prospectus supplement are sold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Up to 7,500,000 shares of common stock at $3.00 per share.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There is no minimum offering amount required to complete this offering. Accordingly, we may sell substantially fewer than 7,500,000 shares of common stock in this offering.</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61,756,938 shares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intend to use the net proceeds of this offering for general corporate purposes, including working capital, product development and capital expenditures, as well as acquisitions and other strategic purposes. Pending these uses, the net proceeds will be invested in an interest-bearing money market account with a financial institution.</w:t>
      </w:r>
    </w:p>
    <w:p>
      <w:pPr>
        <w:spacing w:after="0" w:line="171" w:lineRule="exact"/>
        <w:rPr>
          <w:sz w:val="20"/>
          <w:szCs w:val="20"/>
          <w:color w:val="auto"/>
        </w:rPr>
      </w:pPr>
    </w:p>
    <w:p>
      <w:pPr>
        <w:sectPr>
          <w:pgSz w:w="11900" w:h="16838" w:orient="portrait"/>
          <w:cols w:equalWidth="0" w:num="2">
            <w:col w:w="3980" w:space="720"/>
            <w:col w:w="6680"/>
          </w:cols>
          <w:pgMar w:left="240" w:top="419" w:right="279" w:bottom="1440" w:gutter="0" w:footer="0" w:header="0"/>
        </w:sectPr>
      </w:pPr>
    </w:p>
    <w:p>
      <w:pPr>
        <w:spacing w:after="0"/>
        <w:tabs>
          <w:tab w:leader="none" w:pos="4680" w:val="left"/>
        </w:tabs>
        <w:rPr>
          <w:sz w:val="20"/>
          <w:szCs w:val="20"/>
          <w:color w:val="auto"/>
        </w:rPr>
      </w:pPr>
      <w:r>
        <w:rPr>
          <w:rFonts w:ascii="Arial" w:cs="Arial" w:eastAsia="Arial" w:hAnsi="Arial"/>
          <w:sz w:val="18"/>
          <w:szCs w:val="18"/>
          <w:color w:val="auto"/>
        </w:rPr>
        <w:t>Nasdaq SmallCap Market symbol</w:t>
      </w:r>
      <w:r>
        <w:rPr>
          <w:sz w:val="20"/>
          <w:szCs w:val="20"/>
          <w:color w:val="auto"/>
        </w:rPr>
        <w:tab/>
      </w:r>
      <w:r>
        <w:rPr>
          <w:rFonts w:ascii="Arial" w:cs="Arial" w:eastAsia="Arial" w:hAnsi="Arial"/>
          <w:sz w:val="17"/>
          <w:szCs w:val="17"/>
          <w:color w:val="auto"/>
        </w:rPr>
        <w:t>STEM</w:t>
      </w:r>
    </w:p>
    <w:p>
      <w:pPr>
        <w:spacing w:after="0" w:line="185"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number of shares of common stock shown above to be outstanding after this offering is based on the 54,256,938 shares outstanding as of October 22, 2004 and excludes:</w:t>
      </w:r>
    </w:p>
    <w:p>
      <w:pPr>
        <w:spacing w:after="0" w:line="170" w:lineRule="exact"/>
        <w:rPr>
          <w:sz w:val="20"/>
          <w:szCs w:val="20"/>
          <w:color w:val="auto"/>
        </w:rPr>
      </w:pPr>
    </w:p>
    <w:p>
      <w:pPr>
        <w:ind w:left="560" w:hanging="169"/>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6,217,389 shares of our common stock subject to options outstanding as of October 22, 2004 at a weighted average exercise price of $2.601 per share;</w:t>
      </w:r>
    </w:p>
    <w:p>
      <w:pPr>
        <w:spacing w:after="0" w:line="248" w:lineRule="exact"/>
        <w:rPr>
          <w:rFonts w:ascii="Arial" w:cs="Arial" w:eastAsia="Arial" w:hAnsi="Arial"/>
          <w:sz w:val="16"/>
          <w:szCs w:val="16"/>
          <w:color w:val="auto"/>
        </w:rPr>
      </w:pPr>
    </w:p>
    <w:p>
      <w:pPr>
        <w:ind w:left="560" w:right="180" w:hanging="169"/>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8,870,529 shares of our common stock that have been reserved for issuance upon future grants under our stock option plans as of October 22, 2004; and</w:t>
      </w:r>
    </w:p>
    <w:p>
      <w:pPr>
        <w:spacing w:after="0" w:line="170" w:lineRule="exact"/>
        <w:rPr>
          <w:rFonts w:ascii="Arial" w:cs="Arial" w:eastAsia="Arial" w:hAnsi="Arial"/>
          <w:sz w:val="18"/>
          <w:szCs w:val="18"/>
          <w:color w:val="auto"/>
        </w:rPr>
      </w:pPr>
    </w:p>
    <w:p>
      <w:pPr>
        <w:ind w:left="560" w:right="600" w:hanging="169"/>
        <w:spacing w:after="0" w:line="277"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6,038,430 shares of our common stock that have been reserved for issuance upon exercise of outstanding warrants as of October 22, 2004 at a weighted average exercise price of $2.09 per share.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Investing in our common stock is risky. In addition to the other information in this prospectus, the following risk factors should be considered carefully in evaluating us and our business. If any of the following risks were to occur, our business, financial condition or results of operations would likely suffer. In that event, the trading price of our common stock could decline, and you could lose all or a part of your investment.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financial situation is precarious and, based on currently estimated operating expenses, our existing capital resources are only sufficient to fund our operations into 2006.</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are only sufficient to fund our operations into 2006. These conditions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3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at an early stage of discovery and development, and we may fail to develop any commercially acceptable products.</w:t>
      </w:r>
    </w:p>
    <w:p>
      <w:pPr>
        <w:spacing w:after="0" w:line="2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stem cell technology is still in the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181" w:lineRule="exact"/>
        <w:rPr>
          <w:sz w:val="20"/>
          <w:szCs w:val="20"/>
          <w:color w:val="auto"/>
        </w:rPr>
      </w:pPr>
    </w:p>
    <w:p>
      <w:pPr>
        <w:ind w:left="560" w:hanging="16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survive and persist in the desired location;</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the intended therapeutic benefits;</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properly integrate into existing tissue in the desired manner; or</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 therapeutic benefits equal to or better than the standard of treatment at the time of testing.</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plan to file with the Food and Drug Administration no later than the first quarter of 2005 our first IND, providing for a clinical trial in infantile and late-infantile Batten’s disease. As part of the IND process, the FDA requires us to qualify the cell bank to be used in these trials as a suitable source of the cells for the proposed clinical trials. In addition, they require us to conduct extensive pre-clinical safety testing (i.e., pharmacology and toxicology studies) in various animal models. We are also required to submit, as part of the IND filing, details of the proposed clinical plan. We must also obtain the approval of the internal review board at the medical institution where the clinical trial would be conducted. We may not be able to satisfy all of the requirements to file the IND or to move the Batten disease program into clinical trials, which could have a material adverse effect on our product development timeline.</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stem cell research and development.</w:t>
      </w:r>
    </w:p>
    <w:p>
      <w:pPr>
        <w:spacing w:after="0" w:line="13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on average, lease payments and payments for operating costs of approximately $1,450,000 per year before sub-tenant rent income for our former science and administrative facility, which we have leased through June 30, 2013, and debt service payments and payments for operating costs of approximately $500,000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June 30, 2004 the reserve was $2,680,000. We currently expect that for the three months ended September 30, 2004, expenses of approximately $300,000 net of subtenant income will be recorded against this reserve. We also expect that, based on our re-evaluation of the reserve as of September 30, 2004, we will adjust the reserve to approximately $3,700,000 by recording an additional wind-down expenses of approximately $1,300,000. Wind-down expenses for the same period in 2003 were $224,000.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but fail to obtain partners to support our stem cell development efforts and to commercialize our technology.</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we may fail to obtain revenues or become profitable.</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patents and proprietary rights, our business, financial condition and results of operations will be harmed.</w:t>
      </w:r>
    </w:p>
    <w:p>
      <w:pPr>
        <w:spacing w:after="0" w:line="2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While we are confident in our position, there is no guarantee that we will prevail. If we are unsuccessful in our defense of the opposed patents, all claimed rights in the opposed patents will be lost in Europe.</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others are first to discover and patent the stem cells we are seeking to discover, we could be blocked from further work on those stem cells.</w:t>
      </w:r>
    </w:p>
    <w:p>
      <w:pPr>
        <w:spacing w:after="0" w:line="2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2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valid claims that our technology infringes upon their technology,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risks of third-party patents and/or technology. We can give no assurance that any of these licenses will provide effective protection against our competitors.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Transkaryotic Therapies, BioMarin, Celgene, Biogen, and Titan Pharmaceuticals. Finally, we also expect to compete with smaller biotechnology companies, some of which are privately owned, such as Neuralstem, Geron, NeuroNova, ReNeuron, ES Cell International, and CellFactors/Diacrin.</w:t>
      </w:r>
    </w:p>
    <w:p>
      <w:pPr>
        <w:spacing w:after="0" w:line="14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believe that our human neural stem cells may have application to many or most of the Lysosomal Storage Diseases (“LSDs”) with CNS involvement. We intend to submit our first IND for Batten’s Disease, which is one of the LSDs that affect the CNS. There are, so far as we know, no approved therapies for Battens or any of the other CNS-specific LSDs, but other companies, including Genzyme, BioMarin, and Transkaryotic Therapies, have products approved to treat peripheral aspects of some of the other LSDs, and other products are in clinical trials.</w:t>
      </w:r>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field of diabetes, a number of major companies currently market products for the treatment of diabetes and are also engaged in the research and development of new therapies. Such companies include Eli Lilly, Novo Nordisk, J&amp;J, Amylin, Serono. Consequently, should we successfully develop a cell-based therapy for diabetes, we would expect to face severe competition from these and similar companies.</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our technology is subject to and restricted by extensive government regulation, which could impede our business.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 – that is, sources that follow all state and federal guidelines for cell procurement. Further, we may not be able to obtain such cells in the quantity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quality sufficient to satisfy the commercial requirements of our potential products. As a result, we may be unable to develop or produce our products in a profitable manner.</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improve our financial control procedures.</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may also need to add additional personnel in the area of financial management. In connection with its audit of the Company’s consolidated financial statements for the year ended December 31, 2003, Grant Thornton LLP, the Company’s independent accountants, communicated to the Audit Committee and management regarding internal control matters with respect to segregation of duties and financial reporting matters that they considered to be deficiencies and which they considered, in the aggregate, to constitute a significant deficiency and material weakness under standards established by the American Institute of Certified Public Accountants. In response to the observations made by Grant Thornton, the Company undertook a re-evaluation of its internal controls and procedures relating to those observations and plans to implement such enhancements as the review suggested were appropriate.</w:t>
      </w:r>
    </w:p>
    <w:p>
      <w:pPr>
        <w:spacing w:after="0" w:line="13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Since health care insurers and other organizations may not pay for our products or may impose limits on reimbursements, our ability to become profitable could be reduced.</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or novel therapies such as ours.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health care reform proposals or legislation. We cannot predict the effect government control and other health care reforms may have on our business.</w:t>
      </w: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limited liquidity and capital resources and may not obtain the significant capital resources we will need to sustain our research and development efforts.</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Securities Market and this Offering</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highly volatile, which may negatively affect our ability to obtain additional financing in the future.</w:t>
      </w:r>
    </w:p>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market price of our stock has been and is likely to continue to be highly volatile due to the risks and uncertainties described in this section of the prospectus, as well as other factors, including:</w:t>
      </w:r>
    </w:p>
    <w:p>
      <w:pPr>
        <w:spacing w:after="0" w:line="170" w:lineRule="exact"/>
        <w:rPr>
          <w:sz w:val="20"/>
          <w:szCs w:val="20"/>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test our technology;</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patent or obtain licenses to necessary technology;</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and publicity regarding the industry in which we operate, as well as the specific areas our product candidates seek to address;</w:t>
      </w:r>
    </w:p>
    <w:p>
      <w:pPr>
        <w:spacing w:after="0" w:line="236" w:lineRule="exact"/>
        <w:rPr>
          <w:rFonts w:ascii="Arial" w:cs="Arial" w:eastAsia="Arial" w:hAnsi="Arial"/>
          <w:sz w:val="17"/>
          <w:szCs w:val="17"/>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225" w:lineRule="exact"/>
        <w:rPr>
          <w:rFonts w:ascii="Arial" w:cs="Arial" w:eastAsia="Arial" w:hAnsi="Arial"/>
          <w:sz w:val="18"/>
          <w:szCs w:val="18"/>
          <w:color w:val="auto"/>
        </w:rPr>
      </w:pPr>
    </w:p>
    <w:p>
      <w:pPr>
        <w:ind w:left="560" w:right="460" w:hanging="169"/>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or state government actions affecting the conduct or funding of stem cell research, including, without limitation, the passage or defeat of Proposition 71, which is to be voted on by California voters on November 2, 2004;</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comments by securities analysts, or our failure to meet market expectations.</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Over the two-year period ended October 25, 2004, the closing price of our common stock as reported on the Nasdaq National Market and the Nasdaq SmallCap Market ranged from a high of $4.09 to a low of $0.49. As a result of this volatility, your investment in our stock is subject to substantial risk. Furthermore, the volatility of our stock price could negatively impact our ability to raise capital in the future.</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common stock price drops significantly, we may be delisted from the NASDAQ SmallCap Market, which could eliminate the trading market for our common stock.</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common stock is quoted on the Nasdaq SmallCap Market. In order to continue to be included in the Nasdaq Small Cap Market, a company must meet Nasdaq’s maintenance criteria. The maintenance criteria most applicable to us requires a minimum bid price of $1.00 per share and additionally requires a minimum of $2,500,000 in stockholders’ equity.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as of June 30, 2004 was $23,743,236. Failure to meet these maintenance criteria may result in the delisting of our common stock from the Nasdaq SmallCap Market. If our common stock were delisted, in order to have our common stock relisted on the SmallCap Market we would be required to meet the criteria for initial listing, which are more stringent than the maintenance criteria. Accordingly,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cannot assure you that if we were delisted we would be able to have our common stock relisted on the Nasdaq SmallCap Market. If our common stock were delisted from the Nasdaq SmallCap Market, we also may be required to pay damages to holders of our common stock under agreements we previously entered into with them in connection with equity financings. Finally, if our common stock were delisted from the Nasdaq SmallCap Market, it might become more difficult for us to raise funds through the sale of our common stock or securities convertible into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your interest in us.</w:t>
      </w:r>
    </w:p>
    <w:p>
      <w:pPr>
        <w:spacing w:after="0" w:line="18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of October 22, 2004, there were outstanding and exercisable warrants to purchase 6,038,430 shares of our common stock, at a weighted average exercise price of $2.09 per share. As of October 22, 2004, there were also outstanding and exercisable options to purchase 6,217,389 shares of our common stock, at a weighted average exercise price of $2.601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further diluting the interest of the purchasers of the securities being sold in this offering.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 Such statements include, without limitation, all statements as to expectation or belief and statements as to our future results of operations, the progress of our research, product development and clinical programs, including our plans to make an IND filing no later than the first quarter of 2005,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inability to sell, assign or sublease our interest in our facilities related to our encapsulated cell technology program, risks of delays in, or adverse results from, our research, development and pre-clinical and clinical testing programs, including our work in preparation for our planned IND filing, obsolescence of our technology, lack of available funding, competition from third parties, intellectual property rights of third parties, failure of our collaborators to perform, regulatory constraints, litigation and other risks to which we are subject.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If all of the 7,500,000 shares of common stock offered hereby are sold, we expect that we will receive net proceeds of approximately $20,950,000, after deducting the Agents’ fees and estimated offering expenses that we will pay. There is no minimum offering amount required to complete this offering. Accordingly, we may sell substantially less than 7,500,000 shares of common stock in this offering and the net proceeds of this offering may be significantly less than $20,950,000.</w:t>
      </w:r>
    </w:p>
    <w:p>
      <w:pPr>
        <w:spacing w:after="0" w:line="146" w:lineRule="exact"/>
        <w:rPr>
          <w:sz w:val="20"/>
          <w:szCs w:val="20"/>
          <w:color w:val="auto"/>
        </w:rPr>
      </w:pPr>
    </w:p>
    <w:p>
      <w:pPr>
        <w:ind w:right="320" w:firstLine="222"/>
        <w:spacing w:after="0" w:line="302" w:lineRule="auto"/>
        <w:rPr>
          <w:sz w:val="20"/>
          <w:szCs w:val="20"/>
          <w:color w:val="auto"/>
        </w:rPr>
      </w:pPr>
      <w:r>
        <w:rPr>
          <w:rFonts w:ascii="Arial" w:cs="Arial" w:eastAsia="Arial" w:hAnsi="Arial"/>
          <w:sz w:val="16"/>
          <w:szCs w:val="16"/>
          <w:color w:val="auto"/>
        </w:rPr>
        <w:t>We intend to use the net proceeds of our sales of common stock in this offering for general corporate purposes, including working capital, product development and capital expenditures. A portion of the net proceeds may also be used for the acquisition of businesses, products and technologies that are complementary to ours, or for other strategic purposes. There are currently no commitments or agreements with respect to any such material acquisition. Pending these uses, the net proceeds will be invested in an interest-bearing money market account with a financial institution.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Our common stock trades on the Nasdaq SmallCap Market under the symbol “STEM.” The high and low intraday sales prices of our common stock as reported by the Nasdaq SmallCap Market (Nasdaq National Market prior to December 23, 2002) have been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4200" w:type="dxa"/>
            <w:vAlign w:val="bottom"/>
          </w:tcPr>
          <w:p>
            <w:pPr>
              <w:ind w:left="3380"/>
              <w:spacing w:after="0"/>
              <w:rPr>
                <w:sz w:val="20"/>
                <w:szCs w:val="20"/>
                <w:color w:val="auto"/>
              </w:rPr>
            </w:pPr>
            <w:r>
              <w:rPr>
                <w:rFonts w:ascii="Arial" w:cs="Arial" w:eastAsia="Arial" w:hAnsi="Arial"/>
                <w:sz w:val="14"/>
                <w:szCs w:val="14"/>
                <w:b w:val="1"/>
                <w:bCs w:val="1"/>
                <w:color w:val="auto"/>
              </w:rPr>
              <w:t>High</w:t>
            </w:r>
          </w:p>
        </w:tc>
        <w:tc>
          <w:tcPr>
            <w:tcW w:w="1020" w:type="dxa"/>
            <w:vAlign w:val="bottom"/>
          </w:tcPr>
          <w:p>
            <w:pPr>
              <w:ind w:left="500"/>
              <w:spacing w:after="0"/>
              <w:rPr>
                <w:sz w:val="20"/>
                <w:szCs w:val="20"/>
                <w:color w:val="auto"/>
              </w:rPr>
            </w:pPr>
            <w:r>
              <w:rPr>
                <w:rFonts w:ascii="Arial" w:cs="Arial" w:eastAsia="Arial" w:hAnsi="Arial"/>
                <w:sz w:val="14"/>
                <w:szCs w:val="14"/>
                <w:b w:val="1"/>
                <w:bCs w:val="1"/>
                <w:color w:val="auto"/>
              </w:rPr>
              <w:t>Low</w:t>
            </w:r>
          </w:p>
        </w:tc>
      </w:tr>
      <w:tr>
        <w:trPr>
          <w:trHeight w:val="216"/>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Fiscal Year Ended December, 2002</w:t>
            </w:r>
          </w:p>
        </w:tc>
        <w:tc>
          <w:tcPr>
            <w:tcW w:w="4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4200" w:type="dxa"/>
            <w:vAlign w:val="bottom"/>
          </w:tcPr>
          <w:p>
            <w:pPr>
              <w:ind w:left="3380"/>
              <w:spacing w:after="0"/>
              <w:rPr>
                <w:sz w:val="20"/>
                <w:szCs w:val="20"/>
                <w:color w:val="auto"/>
              </w:rPr>
            </w:pPr>
            <w:r>
              <w:rPr>
                <w:rFonts w:ascii="Arial" w:cs="Arial" w:eastAsia="Arial" w:hAnsi="Arial"/>
                <w:sz w:val="18"/>
                <w:szCs w:val="18"/>
                <w:color w:val="auto"/>
              </w:rPr>
              <w:t>3.95</w:t>
            </w:r>
          </w:p>
        </w:tc>
        <w:tc>
          <w:tcPr>
            <w:tcW w:w="1020" w:type="dxa"/>
            <w:vAlign w:val="bottom"/>
          </w:tcPr>
          <w:p>
            <w:pPr>
              <w:ind w:left="480"/>
              <w:spacing w:after="0"/>
              <w:rPr>
                <w:sz w:val="20"/>
                <w:szCs w:val="20"/>
                <w:color w:val="auto"/>
              </w:rPr>
            </w:pPr>
            <w:r>
              <w:rPr>
                <w:rFonts w:ascii="Arial" w:cs="Arial" w:eastAsia="Arial" w:hAnsi="Arial"/>
                <w:sz w:val="18"/>
                <w:szCs w:val="18"/>
                <w:color w:val="auto"/>
              </w:rPr>
              <w:t>2.03</w:t>
            </w:r>
          </w:p>
        </w:tc>
      </w:tr>
      <w:tr>
        <w:trPr>
          <w:trHeight w:val="216"/>
        </w:trPr>
        <w:tc>
          <w:tcPr>
            <w:tcW w:w="6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Second Quarter</w:t>
            </w:r>
          </w:p>
        </w:tc>
        <w:tc>
          <w:tcPr>
            <w:tcW w:w="4200" w:type="dxa"/>
            <w:vAlign w:val="bottom"/>
            <w:shd w:val="clear" w:color="auto" w:fill="EEEEEE"/>
          </w:tcPr>
          <w:p>
            <w:pPr>
              <w:ind w:left="3380"/>
              <w:spacing w:after="0"/>
              <w:rPr>
                <w:sz w:val="20"/>
                <w:szCs w:val="20"/>
                <w:color w:val="auto"/>
              </w:rPr>
            </w:pPr>
            <w:r>
              <w:rPr>
                <w:rFonts w:ascii="Arial" w:cs="Arial" w:eastAsia="Arial" w:hAnsi="Arial"/>
                <w:sz w:val="18"/>
                <w:szCs w:val="18"/>
                <w:color w:val="auto"/>
              </w:rPr>
              <w:t>2.58</w:t>
            </w:r>
          </w:p>
        </w:tc>
        <w:tc>
          <w:tcPr>
            <w:tcW w:w="1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1.35</w:t>
            </w:r>
          </w:p>
        </w:tc>
      </w:tr>
      <w:tr>
        <w:trPr>
          <w:trHeight w:val="216"/>
        </w:trPr>
        <w:tc>
          <w:tcPr>
            <w:tcW w:w="62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4200" w:type="dxa"/>
            <w:vAlign w:val="bottom"/>
          </w:tcPr>
          <w:p>
            <w:pPr>
              <w:ind w:left="3380"/>
              <w:spacing w:after="0"/>
              <w:rPr>
                <w:sz w:val="20"/>
                <w:szCs w:val="20"/>
                <w:color w:val="auto"/>
              </w:rPr>
            </w:pPr>
            <w:r>
              <w:rPr>
                <w:rFonts w:ascii="Arial" w:cs="Arial" w:eastAsia="Arial" w:hAnsi="Arial"/>
                <w:sz w:val="18"/>
                <w:szCs w:val="18"/>
                <w:color w:val="auto"/>
              </w:rPr>
              <w:t>2.09</w:t>
            </w:r>
          </w:p>
        </w:tc>
        <w:tc>
          <w:tcPr>
            <w:tcW w:w="1020" w:type="dxa"/>
            <w:vAlign w:val="bottom"/>
          </w:tcPr>
          <w:p>
            <w:pPr>
              <w:ind w:left="480"/>
              <w:spacing w:after="0"/>
              <w:rPr>
                <w:sz w:val="20"/>
                <w:szCs w:val="20"/>
                <w:color w:val="auto"/>
              </w:rPr>
            </w:pPr>
            <w:r>
              <w:rPr>
                <w:rFonts w:ascii="Arial" w:cs="Arial" w:eastAsia="Arial" w:hAnsi="Arial"/>
                <w:sz w:val="18"/>
                <w:szCs w:val="18"/>
                <w:color w:val="auto"/>
              </w:rPr>
              <w:t>0.65</w:t>
            </w:r>
          </w:p>
        </w:tc>
      </w:tr>
      <w:tr>
        <w:trPr>
          <w:trHeight w:val="216"/>
        </w:trPr>
        <w:tc>
          <w:tcPr>
            <w:tcW w:w="6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Fourth Quarter</w:t>
            </w:r>
          </w:p>
        </w:tc>
        <w:tc>
          <w:tcPr>
            <w:tcW w:w="4200" w:type="dxa"/>
            <w:vAlign w:val="bottom"/>
            <w:shd w:val="clear" w:color="auto" w:fill="EEEEEE"/>
          </w:tcPr>
          <w:p>
            <w:pPr>
              <w:ind w:left="3380"/>
              <w:spacing w:after="0"/>
              <w:rPr>
                <w:sz w:val="20"/>
                <w:szCs w:val="20"/>
                <w:color w:val="auto"/>
              </w:rPr>
            </w:pPr>
            <w:r>
              <w:rPr>
                <w:rFonts w:ascii="Arial" w:cs="Arial" w:eastAsia="Arial" w:hAnsi="Arial"/>
                <w:sz w:val="18"/>
                <w:szCs w:val="18"/>
                <w:color w:val="auto"/>
              </w:rPr>
              <w:t>1.30</w:t>
            </w:r>
          </w:p>
        </w:tc>
        <w:tc>
          <w:tcPr>
            <w:tcW w:w="1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0.49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Fiscal Year Ended December 31, 2003</w:t>
            </w: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First Quarter</w:t>
            </w:r>
          </w:p>
        </w:tc>
        <w:tc>
          <w:tcPr>
            <w:tcW w:w="4200" w:type="dxa"/>
            <w:vAlign w:val="bottom"/>
            <w:shd w:val="clear" w:color="auto" w:fill="EEEEEE"/>
          </w:tcPr>
          <w:p>
            <w:pPr>
              <w:ind w:left="3380"/>
              <w:spacing w:after="0"/>
              <w:rPr>
                <w:sz w:val="20"/>
                <w:szCs w:val="20"/>
                <w:color w:val="auto"/>
              </w:rPr>
            </w:pPr>
            <w:r>
              <w:rPr>
                <w:rFonts w:ascii="Arial" w:cs="Arial" w:eastAsia="Arial" w:hAnsi="Arial"/>
                <w:sz w:val="18"/>
                <w:szCs w:val="18"/>
                <w:color w:val="auto"/>
              </w:rPr>
              <w:t>1.48</w:t>
            </w:r>
          </w:p>
        </w:tc>
        <w:tc>
          <w:tcPr>
            <w:tcW w:w="1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0.85</w:t>
            </w:r>
          </w:p>
        </w:tc>
      </w:tr>
      <w:tr>
        <w:trPr>
          <w:trHeight w:val="216"/>
        </w:trPr>
        <w:tc>
          <w:tcPr>
            <w:tcW w:w="620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4200" w:type="dxa"/>
            <w:vAlign w:val="bottom"/>
          </w:tcPr>
          <w:p>
            <w:pPr>
              <w:ind w:left="3380"/>
              <w:spacing w:after="0"/>
              <w:rPr>
                <w:sz w:val="20"/>
                <w:szCs w:val="20"/>
                <w:color w:val="auto"/>
              </w:rPr>
            </w:pPr>
            <w:r>
              <w:rPr>
                <w:rFonts w:ascii="Arial" w:cs="Arial" w:eastAsia="Arial" w:hAnsi="Arial"/>
                <w:sz w:val="18"/>
                <w:szCs w:val="18"/>
                <w:color w:val="auto"/>
              </w:rPr>
              <w:t>2.85</w:t>
            </w:r>
          </w:p>
        </w:tc>
        <w:tc>
          <w:tcPr>
            <w:tcW w:w="1020" w:type="dxa"/>
            <w:vAlign w:val="bottom"/>
          </w:tcPr>
          <w:p>
            <w:pPr>
              <w:ind w:left="480"/>
              <w:spacing w:after="0"/>
              <w:rPr>
                <w:sz w:val="20"/>
                <w:szCs w:val="20"/>
                <w:color w:val="auto"/>
              </w:rPr>
            </w:pPr>
            <w:r>
              <w:rPr>
                <w:rFonts w:ascii="Arial" w:cs="Arial" w:eastAsia="Arial" w:hAnsi="Arial"/>
                <w:sz w:val="18"/>
                <w:szCs w:val="18"/>
                <w:color w:val="auto"/>
              </w:rPr>
              <w:t>0.65</w:t>
            </w:r>
          </w:p>
        </w:tc>
      </w:tr>
      <w:tr>
        <w:trPr>
          <w:trHeight w:val="216"/>
        </w:trPr>
        <w:tc>
          <w:tcPr>
            <w:tcW w:w="6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Third Quarter</w:t>
            </w:r>
          </w:p>
        </w:tc>
        <w:tc>
          <w:tcPr>
            <w:tcW w:w="4200" w:type="dxa"/>
            <w:vAlign w:val="bottom"/>
            <w:shd w:val="clear" w:color="auto" w:fill="EEEEEE"/>
          </w:tcPr>
          <w:p>
            <w:pPr>
              <w:ind w:left="3380"/>
              <w:spacing w:after="0"/>
              <w:rPr>
                <w:sz w:val="20"/>
                <w:szCs w:val="20"/>
                <w:color w:val="auto"/>
              </w:rPr>
            </w:pPr>
            <w:r>
              <w:rPr>
                <w:rFonts w:ascii="Arial" w:cs="Arial" w:eastAsia="Arial" w:hAnsi="Arial"/>
                <w:sz w:val="18"/>
                <w:szCs w:val="18"/>
                <w:color w:val="auto"/>
              </w:rPr>
              <w:t>2.60</w:t>
            </w:r>
          </w:p>
        </w:tc>
        <w:tc>
          <w:tcPr>
            <w:tcW w:w="1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1.16</w:t>
            </w:r>
          </w:p>
        </w:tc>
      </w:tr>
      <w:tr>
        <w:trPr>
          <w:trHeight w:val="216"/>
        </w:trPr>
        <w:tc>
          <w:tcPr>
            <w:tcW w:w="620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4200" w:type="dxa"/>
            <w:vAlign w:val="bottom"/>
          </w:tcPr>
          <w:p>
            <w:pPr>
              <w:ind w:left="3380"/>
              <w:spacing w:after="0"/>
              <w:rPr>
                <w:sz w:val="20"/>
                <w:szCs w:val="20"/>
                <w:color w:val="auto"/>
              </w:rPr>
            </w:pPr>
            <w:r>
              <w:rPr>
                <w:rFonts w:ascii="Arial" w:cs="Arial" w:eastAsia="Arial" w:hAnsi="Arial"/>
                <w:sz w:val="18"/>
                <w:szCs w:val="18"/>
                <w:color w:val="auto"/>
              </w:rPr>
              <w:t>3.12</w:t>
            </w:r>
          </w:p>
        </w:tc>
        <w:tc>
          <w:tcPr>
            <w:tcW w:w="1020" w:type="dxa"/>
            <w:vAlign w:val="bottom"/>
          </w:tcPr>
          <w:p>
            <w:pPr>
              <w:ind w:left="480"/>
              <w:spacing w:after="0"/>
              <w:rPr>
                <w:sz w:val="20"/>
                <w:szCs w:val="20"/>
                <w:color w:val="auto"/>
              </w:rPr>
            </w:pPr>
            <w:r>
              <w:rPr>
                <w:rFonts w:ascii="Arial" w:cs="Arial" w:eastAsia="Arial" w:hAnsi="Arial"/>
                <w:sz w:val="18"/>
                <w:szCs w:val="18"/>
                <w:color w:val="auto"/>
              </w:rPr>
              <w:t>1.70</w:t>
            </w:r>
          </w:p>
        </w:tc>
      </w:tr>
      <w:tr>
        <w:trPr>
          <w:trHeight w:val="216"/>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Fiscal Year Ended December 31, 2004</w:t>
            </w:r>
          </w:p>
        </w:tc>
        <w:tc>
          <w:tcPr>
            <w:tcW w:w="4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4200" w:type="dxa"/>
            <w:vAlign w:val="bottom"/>
          </w:tcPr>
          <w:p>
            <w:pPr>
              <w:ind w:left="3380"/>
              <w:spacing w:after="0"/>
              <w:rPr>
                <w:sz w:val="20"/>
                <w:szCs w:val="20"/>
                <w:color w:val="auto"/>
              </w:rPr>
            </w:pPr>
            <w:r>
              <w:rPr>
                <w:rFonts w:ascii="Arial" w:cs="Arial" w:eastAsia="Arial" w:hAnsi="Arial"/>
                <w:sz w:val="18"/>
                <w:szCs w:val="18"/>
                <w:color w:val="auto"/>
              </w:rPr>
              <w:t>2.69</w:t>
            </w:r>
          </w:p>
        </w:tc>
        <w:tc>
          <w:tcPr>
            <w:tcW w:w="1020" w:type="dxa"/>
            <w:vAlign w:val="bottom"/>
          </w:tcPr>
          <w:p>
            <w:pPr>
              <w:ind w:left="480"/>
              <w:spacing w:after="0"/>
              <w:rPr>
                <w:sz w:val="20"/>
                <w:szCs w:val="20"/>
                <w:color w:val="auto"/>
              </w:rPr>
            </w:pPr>
            <w:r>
              <w:rPr>
                <w:rFonts w:ascii="Arial" w:cs="Arial" w:eastAsia="Arial" w:hAnsi="Arial"/>
                <w:sz w:val="18"/>
                <w:szCs w:val="18"/>
                <w:color w:val="auto"/>
              </w:rPr>
              <w:t>1.56</w:t>
            </w:r>
          </w:p>
        </w:tc>
      </w:tr>
      <w:tr>
        <w:trPr>
          <w:trHeight w:val="216"/>
        </w:trPr>
        <w:tc>
          <w:tcPr>
            <w:tcW w:w="6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Second Quarter</w:t>
            </w:r>
          </w:p>
        </w:tc>
        <w:tc>
          <w:tcPr>
            <w:tcW w:w="4200" w:type="dxa"/>
            <w:vAlign w:val="bottom"/>
            <w:shd w:val="clear" w:color="auto" w:fill="EEEEEE"/>
          </w:tcPr>
          <w:p>
            <w:pPr>
              <w:ind w:left="3380"/>
              <w:spacing w:after="0"/>
              <w:rPr>
                <w:sz w:val="20"/>
                <w:szCs w:val="20"/>
                <w:color w:val="auto"/>
              </w:rPr>
            </w:pPr>
            <w:r>
              <w:rPr>
                <w:rFonts w:ascii="Arial" w:cs="Arial" w:eastAsia="Arial" w:hAnsi="Arial"/>
                <w:sz w:val="18"/>
                <w:szCs w:val="18"/>
                <w:color w:val="auto"/>
              </w:rPr>
              <w:t>2.20</w:t>
            </w:r>
          </w:p>
        </w:tc>
        <w:tc>
          <w:tcPr>
            <w:tcW w:w="1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1.30</w:t>
            </w:r>
          </w:p>
        </w:tc>
      </w:tr>
      <w:tr>
        <w:trPr>
          <w:trHeight w:val="216"/>
        </w:trPr>
        <w:tc>
          <w:tcPr>
            <w:tcW w:w="62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4200" w:type="dxa"/>
            <w:vAlign w:val="bottom"/>
          </w:tcPr>
          <w:p>
            <w:pPr>
              <w:ind w:left="3380"/>
              <w:spacing w:after="0"/>
              <w:rPr>
                <w:sz w:val="20"/>
                <w:szCs w:val="20"/>
                <w:color w:val="auto"/>
              </w:rPr>
            </w:pPr>
            <w:r>
              <w:rPr>
                <w:rFonts w:ascii="Arial" w:cs="Arial" w:eastAsia="Arial" w:hAnsi="Arial"/>
                <w:sz w:val="18"/>
                <w:szCs w:val="18"/>
                <w:color w:val="auto"/>
              </w:rPr>
              <w:t>1.87</w:t>
            </w:r>
          </w:p>
        </w:tc>
        <w:tc>
          <w:tcPr>
            <w:tcW w:w="1020" w:type="dxa"/>
            <w:vAlign w:val="bottom"/>
          </w:tcPr>
          <w:p>
            <w:pPr>
              <w:ind w:left="480"/>
              <w:spacing w:after="0"/>
              <w:rPr>
                <w:sz w:val="20"/>
                <w:szCs w:val="20"/>
                <w:color w:val="auto"/>
              </w:rPr>
            </w:pPr>
            <w:r>
              <w:rPr>
                <w:rFonts w:ascii="Arial" w:cs="Arial" w:eastAsia="Arial" w:hAnsi="Arial"/>
                <w:sz w:val="18"/>
                <w:szCs w:val="18"/>
                <w:color w:val="auto"/>
              </w:rPr>
              <w:t>1.24</w:t>
            </w:r>
          </w:p>
        </w:tc>
      </w:tr>
      <w:tr>
        <w:trPr>
          <w:trHeight w:val="216"/>
        </w:trPr>
        <w:tc>
          <w:tcPr>
            <w:tcW w:w="62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Fourth Quarter (to October 25, 2004)</w:t>
            </w:r>
          </w:p>
        </w:tc>
        <w:tc>
          <w:tcPr>
            <w:tcW w:w="4200" w:type="dxa"/>
            <w:vAlign w:val="bottom"/>
            <w:shd w:val="clear" w:color="auto" w:fill="EEEEEE"/>
          </w:tcPr>
          <w:p>
            <w:pPr>
              <w:ind w:left="3380"/>
              <w:spacing w:after="0"/>
              <w:rPr>
                <w:sz w:val="20"/>
                <w:szCs w:val="20"/>
                <w:color w:val="auto"/>
              </w:rPr>
            </w:pPr>
            <w:r>
              <w:rPr>
                <w:rFonts w:ascii="Arial" w:cs="Arial" w:eastAsia="Arial" w:hAnsi="Arial"/>
                <w:sz w:val="18"/>
                <w:szCs w:val="18"/>
                <w:color w:val="auto"/>
              </w:rPr>
              <w:t>4.87</w:t>
            </w:r>
          </w:p>
        </w:tc>
        <w:tc>
          <w:tcPr>
            <w:tcW w:w="1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1.53</w:t>
            </w:r>
          </w:p>
        </w:tc>
      </w:tr>
    </w:tbl>
    <w:p>
      <w:pPr>
        <w:spacing w:after="0" w:line="16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last reported sales price of the common stock on the Nasdaq SmallCap Market on October 25, 2004 was $4.09 per share. As of October 22, 2004, there were outstanding 54,256,938 shares of our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do not pay cash dividends on our common stock and do not intend to declare or pay dividends in the foreseeable future.</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The Company is authorized to issue 126,000,000 shares of stock, consisting of 125,000,000 shares of common stock and 1,000,000 shares of undesignated preferred stock. The holders of our common stock are entitled to one vote per share on all matters submitted to our stockholders. The holders of our common stock are entitled to receive dividends as and when declared by our board of directors. The Board of Directors is authorized to designate the rights, privileges and preferences of the preferred stock.</w:t>
      </w:r>
    </w:p>
    <w:p>
      <w:pPr>
        <w:spacing w:after="0" w:line="16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Upon any liquidation, dissolution or winding up of StemCells, holders of common stock are entitled to ratable distribution of the assets available for distribution to our stockholders.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Holders of common stock do not have preemptive rights or cumulative voting rights.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02"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Pursuant to an agency agreement, we engaged the Agents as our exclusive agents to solicit offers to purchase our common stock in this offering. The Agents are not obligated to, and have advised us that they will not, purchase any shares of our common stock offered hereby for their own accounts, but each has agreed to use its reasonable best efforts to arrange for the sale, in the aggregate, of up to 7,500,000 shares of our common stock. We will enter into securities purchase agreements directly with the investors in connection with this offering. Assuming purchase agreements are executed by investors as currently contemplated, on and subject to the terms and conditions of the purchase agreements, investors will agree to purchase, and we will agree to sell, up to an aggregate of 7,500,000 shares of our common stock. The purchase agreements will provide for, and closing thereunder will be facilitated by, an escrow arrangement whereby each investor will be required to deposit into an escrow account the amount of the purchase price for the shares of common stock subscribed for by such investor, which amount, net of Agents’ fees and reimbursable expenses, will be distributed to us at the closing.</w:t>
      </w:r>
    </w:p>
    <w:p>
      <w:pPr>
        <w:spacing w:after="0" w:line="126"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expect that the shares of common stock will be delivered only in book-entry form through The Depository Trust Company, New York, New York on or about October 28, 2004.</w:t>
      </w:r>
    </w:p>
    <w:p>
      <w:pPr>
        <w:spacing w:after="0" w:line="130"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Offers and sales of our common stock in this offering will be made to investors that are “accredited investors” as defined in regulations of the SEC. Each investor will be required to make certain representations to us relating to such investor’s investment intent and status as an “accredited investor.”</w:t>
      </w:r>
    </w:p>
    <w:p>
      <w:pPr>
        <w:spacing w:after="0" w:line="9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Each Agent’s compensation for acting as agent for this offering will consist of a cash fee equal to 3% of the gross proceeds from the sale of shares of common stock in this offering and reimbursement of expenses described below.</w:t>
      </w:r>
    </w:p>
    <w:p>
      <w:pPr>
        <w:spacing w:after="0" w:line="13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table sets forth the cash fee to be paid to the Agents for this offering on a per share basis and assuming all of the shares offered hereby are sold at the closing.</w:t>
      </w:r>
    </w:p>
    <w:p>
      <w:pPr>
        <w:sectPr>
          <w:pgSz w:w="11900" w:h="16838" w:orient="portrait"/>
          <w:cols w:equalWidth="0" w:num="1">
            <w:col w:w="11420"/>
          </w:cols>
          <w:pgMar w:left="240" w:top="419" w:right="239" w:bottom="1440" w:gutter="0" w:footer="0" w:header="0"/>
        </w:sectPr>
      </w:pPr>
    </w:p>
    <w:p>
      <w:pPr>
        <w:spacing w:after="0" w:line="338"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Per Share of Common Stock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Maximum Total</w:t>
      </w:r>
    </w:p>
    <w:p>
      <w:pPr>
        <w:spacing w:after="0" w:line="37" w:lineRule="exact"/>
        <w:rPr>
          <w:sz w:val="20"/>
          <w:szCs w:val="20"/>
          <w:color w:val="auto"/>
        </w:rPr>
      </w:pPr>
    </w:p>
    <w:p>
      <w:pPr>
        <w:sectPr>
          <w:pgSz w:w="11900" w:h="16838" w:orient="portrait"/>
          <w:cols w:equalWidth="0" w:num="2">
            <w:col w:w="7480" w:space="720"/>
            <w:col w:w="3220"/>
          </w:cols>
          <w:pgMar w:left="240" w:top="419" w:right="2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Agent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$0.18</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Arial" w:cs="Arial" w:eastAsia="Arial" w:hAnsi="Arial"/>
          <w:sz w:val="16"/>
          <w:szCs w:val="16"/>
          <w:color w:val="auto"/>
        </w:rPr>
        <w:t>$1,350,000</w:t>
      </w:r>
    </w:p>
    <w:p>
      <w:pPr>
        <w:spacing w:after="0" w:line="192" w:lineRule="exact"/>
        <w:rPr>
          <w:sz w:val="20"/>
          <w:szCs w:val="20"/>
          <w:color w:val="auto"/>
        </w:rPr>
      </w:pPr>
    </w:p>
    <w:p>
      <w:pPr>
        <w:sectPr>
          <w:pgSz w:w="11900" w:h="16838" w:orient="portrait"/>
          <w:cols w:equalWidth="0" w:num="3">
            <w:col w:w="5000" w:space="720"/>
            <w:col w:w="1840" w:space="720"/>
            <w:col w:w="3140"/>
          </w:cols>
          <w:pgMar w:left="240" w:top="419" w:right="239" w:bottom="1440" w:gutter="0" w:footer="0" w:header="0"/>
          <w:type w:val="continuous"/>
        </w:sectPr>
      </w:pPr>
    </w:p>
    <w:p>
      <w:pPr>
        <w:jc w:val="both"/>
        <w:ind w:right="300" w:firstLine="222"/>
        <w:spacing w:after="0" w:line="264" w:lineRule="auto"/>
        <w:rPr>
          <w:sz w:val="20"/>
          <w:szCs w:val="20"/>
          <w:color w:val="auto"/>
        </w:rPr>
      </w:pPr>
      <w:r>
        <w:rPr>
          <w:rFonts w:ascii="Arial" w:cs="Arial" w:eastAsia="Arial" w:hAnsi="Arial"/>
          <w:sz w:val="18"/>
          <w:szCs w:val="18"/>
          <w:color w:val="auto"/>
        </w:rPr>
        <w:t>There is no minimum offering amount required to complete this offering. Accordingly, we may sell substantially less than 7,500,000 shares of common stock, in which case our net proceeds would be substantially reduced and the total Agent fees may be substantially less than the maximum total referred to above.</w:t>
      </w:r>
    </w:p>
    <w:p>
      <w:pPr>
        <w:spacing w:after="0" w:line="14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have also agreed to reimburse the Agents for reasonable expenses including fees and disbursements of counsel incurred by the Agents in connection with this offering, estimated to be approximately $50,000.</w:t>
      </w:r>
    </w:p>
    <w:p>
      <w:pPr>
        <w:spacing w:after="0" w:line="130"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expenses directly related to this offering, not including the Agent fees, are estimated to be approximately $200,000 and will be paid by us. Expenses of the offering, exclusive of the Agent fees, include the Agents’ reimbursable expenses, our legal and accounting fees, printing expenses, transfer agent fees, Nasdaq listing fees and miscellaneous fees. We have agreed to indemnify each Agent and its controlling persons from and against, and to make contributions for payments made by such person with respect to, certain liabilities, including liabilities arising under the Securities Act.</w:t>
      </w:r>
    </w:p>
    <w:p>
      <w:pPr>
        <w:spacing w:after="0" w:line="144"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Each of our executive officers and certain of our directors have agreed that, without the prior written consent of the Agents, they will not offer, sell, contract to sell, pledge or otherwise dispose of, or enter into any transaction which is designed to, or might reasonably be expected to, result in the disposition by them, their affiliates or persons in privity with them of, or establish or increase a put equivalent position or liquidate or decrease a call equivalent position with respect to, any shares of our common stock or any securities convertible into or exercisable or exchangeable for shares of our common stock, now or hereafter owned of record or beneficially by them, or publicly announce an intention to effect any such transaction, for a period commencing on the date of this prospectus supplement and ending 90 days thereafter. The restrictions described above do not apply to:</w:t>
      </w:r>
    </w:p>
    <w:p>
      <w:pPr>
        <w:spacing w:after="0" w:line="178" w:lineRule="exact"/>
        <w:rPr>
          <w:sz w:val="20"/>
          <w:szCs w:val="20"/>
          <w:color w:val="auto"/>
        </w:rPr>
      </w:pPr>
    </w:p>
    <w:p>
      <w:pPr>
        <w:ind w:left="560" w:hanging="16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transfers pursuant to a court order, decree or settlement,</w:t>
      </w:r>
    </w:p>
    <w:p>
      <w:pPr>
        <w:spacing w:after="0" w:line="225" w:lineRule="exact"/>
        <w:rPr>
          <w:rFonts w:ascii="Arial" w:cs="Arial" w:eastAsia="Arial" w:hAnsi="Arial"/>
          <w:sz w:val="18"/>
          <w:szCs w:val="18"/>
          <w:color w:val="auto"/>
        </w:rPr>
      </w:pPr>
    </w:p>
    <w:p>
      <w:pPr>
        <w:ind w:left="5540" w:right="4860" w:hanging="5149"/>
        <w:spacing w:after="0" w:line="624" w:lineRule="auto"/>
        <w:tabs>
          <w:tab w:leader="none" w:pos="558" w:val="left"/>
        </w:tabs>
        <w:numPr>
          <w:ilvl w:val="0"/>
          <w:numId w:val="4"/>
        </w:numPr>
        <w:rPr>
          <w:rFonts w:ascii="Arial" w:cs="Arial" w:eastAsia="Arial" w:hAnsi="Arial"/>
          <w:sz w:val="16"/>
          <w:szCs w:val="16"/>
          <w:color w:val="auto"/>
        </w:rPr>
      </w:pPr>
      <w:r>
        <w:rPr>
          <w:rFonts w:ascii="Arial" w:cs="Arial" w:eastAsia="Arial" w:hAnsi="Arial"/>
          <w:sz w:val="16"/>
          <w:szCs w:val="16"/>
          <w:color w:val="auto"/>
        </w:rPr>
        <w:t>pledges of common stock or other securities to a bank or other financial institution, 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hanging="169"/>
        <w:spacing w:after="0" w:line="259"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transfers of common stock or other securities to members of the immediate family of the director or executive officer or to a corporation, partnership, limited liability company or other entity wholly-owned by him or her or members of his or her immediate family, transfers to charitable organizations, or transfers to any trust for the direct or indirect benefit of the director or executive officer or his or her immediate family; provided in each such case the transferee agrees to be bound by the lock-up restrictions, and</w:t>
      </w:r>
    </w:p>
    <w:p>
      <w:pPr>
        <w:spacing w:after="0" w:line="186" w:lineRule="exact"/>
        <w:rPr>
          <w:rFonts w:ascii="Arial" w:cs="Arial" w:eastAsia="Arial" w:hAnsi="Arial"/>
          <w:sz w:val="18"/>
          <w:szCs w:val="18"/>
          <w:color w:val="auto"/>
        </w:rPr>
      </w:pPr>
    </w:p>
    <w:p>
      <w:pPr>
        <w:ind w:left="560" w:right="320" w:hanging="169"/>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exercise of options and transfers of shares of common stock to us that are used to pay taxes applicable to the exercise of options in accordance with our stock option arrangements.</w:t>
      </w:r>
    </w:p>
    <w:p>
      <w:pPr>
        <w:spacing w:after="0" w:line="17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connection with this offering, the Agents may engage in transactions that stabilize, maintain or otherwise affect the market price of our common stock. Any of these activities may maintain the market price of our common stock at a level above that which might otherwise prevail in the open market. The Agents are not required to engage in these activities and, if commenced, may end any of these activities at any time. In connection with this offering, the Agents may distribute prospectuses electronically.</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Agent and its affiliates in the future may provide financial services for us for which they may receive compensation.</w:t>
      </w:r>
    </w:p>
    <w:p>
      <w:pPr>
        <w:spacing w:after="0" w:line="18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validity of the shares of common stock being offered hereby and certain legal matters related to the sale of the shares of common stock will be passed upon for the Company by Ropes &amp; Gray LLP, Boston, Massachusetts. Certain legal matters related to the sale of the shares of our common stock offered hereby will be passed upon for the Agents by Cooley Godward LLP, San Francisco, California.</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9"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file annual, quarterly and special reports, proxy statements and other information with the SEC. These documents are on file with the SEC. You may read and copy any document we file at the SEC’s public reference room at 450 Fifth Street, N.W., Washington, D.C., 20549. You can request copies of these documents by contacting the SEC and paying a fee for the copying cost. Please call the SEC at 1-800-SEC-0330 for further information on the public reference room. Our SEC filings are also available to the public from the SEC’s website at www.sec.gov.</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02" w:lineRule="exact"/>
        <w:rPr>
          <w:sz w:val="20"/>
          <w:szCs w:val="20"/>
          <w:color w:val="auto"/>
        </w:rPr>
      </w:pPr>
    </w:p>
    <w:p>
      <w:pPr>
        <w:ind w:right="60" w:firstLine="222"/>
        <w:spacing w:after="0" w:line="254" w:lineRule="auto"/>
        <w:rPr>
          <w:sz w:val="20"/>
          <w:szCs w:val="20"/>
          <w:color w:val="auto"/>
        </w:rPr>
      </w:pPr>
      <w:r>
        <w:rPr>
          <w:rFonts w:ascii="Arial" w:cs="Arial" w:eastAsia="Arial" w:hAnsi="Arial"/>
          <w:sz w:val="18"/>
          <w:szCs w:val="18"/>
          <w:color w:val="auto"/>
        </w:rPr>
        <w:t>This prospectus supplement and the accompanying prospectus are part of a registration statement on Form S-3, including amendments, relating to the common stock offered by this prospectus supplement and the accompanying prospectus, which has been filed with the SEC. This prospectus supplement and the accompanying prospectus do not contain all of the information set forth in the registration statement and the exhibits and schedules thereto, certain parts of which are omitted in accordance with the rules and regulations of the SEC. Statements contained in this prospectus supplement and the accompanying prospectus as to the contents of any contract or other document referred to are not necessarily complete and in each instance reference is made to the copy of that contract or other document filed as an exhibit to the registration statement. For further information about us and the common stock offered by this prospectus supplement and the accompanying prospectus we refer you to the registration statement and its exhibits and schedules which may be obtained as described above.</w:t>
      </w:r>
    </w:p>
    <w:p>
      <w:pPr>
        <w:spacing w:after="0" w:line="152"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SEC allows us to “incorporate by reference” the information contained in documents that we file with them, which means that we can disclose important information to you by referring you to those documents. The information incorporated by reference is considered to be part of this prospectus supplement and the accompanying prospectus. Information in the accompanying prospectus supersedes information incorporated by reference that we filed with the SEC before the date of the prospectus, and information in this prospectus supplement supersedes information incorporated by reference that we filed with the SEC before the date of this prospectus supplement, while information that we file later with the SEC will automatically update and supersede prior information. We incorporate by reference the documents listed below and any future filings we will make with the SEC under Sections 13(a), 13(c), 14 or 15(d) of the Securities Exchange Act of 1934, as amended, prior to the termination of the offering:</w:t>
      </w:r>
    </w:p>
    <w:p>
      <w:pPr>
        <w:spacing w:after="0" w:line="178" w:lineRule="exact"/>
        <w:rPr>
          <w:sz w:val="20"/>
          <w:szCs w:val="20"/>
          <w:color w:val="auto"/>
        </w:rPr>
      </w:pPr>
    </w:p>
    <w:p>
      <w:pPr>
        <w:ind w:left="560" w:hanging="169"/>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including any amendment filed for the purpose of updating such annual report;</w:t>
      </w:r>
    </w:p>
    <w:p>
      <w:pPr>
        <w:spacing w:after="0" w:line="170" w:lineRule="exact"/>
        <w:rPr>
          <w:rFonts w:ascii="Arial" w:cs="Arial" w:eastAsia="Arial" w:hAnsi="Arial"/>
          <w:sz w:val="18"/>
          <w:szCs w:val="18"/>
          <w:color w:val="auto"/>
        </w:rPr>
      </w:pPr>
    </w:p>
    <w:p>
      <w:pPr>
        <w:ind w:left="560" w:right="100" w:hanging="169"/>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2004 and June 30, 2004, including any amendments filed for the purpose of updating such quarterly reports;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12, 2004, May 4, 2004, June 17, 2004, July 30, 2004 and October 25, 2004;</w:t>
      </w:r>
    </w:p>
    <w:p>
      <w:pPr>
        <w:spacing w:after="0" w:line="225" w:lineRule="exact"/>
        <w:rPr>
          <w:rFonts w:ascii="Arial" w:cs="Arial" w:eastAsia="Arial" w:hAnsi="Arial"/>
          <w:sz w:val="18"/>
          <w:szCs w:val="18"/>
          <w:color w:val="auto"/>
        </w:rPr>
      </w:pPr>
    </w:p>
    <w:p>
      <w:pPr>
        <w:ind w:left="560" w:right="40" w:hanging="169"/>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 No. 1-19871) filed under the Exchange Act, including any amendment or report filed for the purposes of updating such description; and</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April 28, 2004.</w:t>
      </w:r>
    </w:p>
    <w:p>
      <w:pPr>
        <w:spacing w:after="0" w:line="225" w:lineRule="exact"/>
        <w:rPr>
          <w:sz w:val="20"/>
          <w:szCs w:val="20"/>
          <w:color w:val="auto"/>
        </w:rPr>
      </w:pPr>
    </w:p>
    <w:p>
      <w:pPr>
        <w:ind w:right="360" w:firstLine="218"/>
        <w:spacing w:after="0" w:line="277" w:lineRule="auto"/>
        <w:rPr>
          <w:sz w:val="20"/>
          <w:szCs w:val="20"/>
          <w:color w:val="auto"/>
        </w:rPr>
      </w:pPr>
      <w:r>
        <w:rPr>
          <w:rFonts w:ascii="Arial" w:cs="Arial" w:eastAsia="Arial" w:hAnsi="Arial"/>
          <w:sz w:val="18"/>
          <w:szCs w:val="18"/>
          <w:color w:val="auto"/>
        </w:rPr>
        <w:t>You may obtain copies of these filings, at no cost, on our website (www.stemcellsinc.com), and you may request copies of these filings, at no cost, by writing or telephoning us at: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(650) 475-3100</w:t>
      </w:r>
    </w:p>
    <w:p>
      <w:pPr>
        <w:spacing w:after="0" w:line="184"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Except for the SEC filings that are incorporated by reference, the information contained on our website is not a part of this prospectus supplement or the accompanying prospectus.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15,000,000 SHARES OF COMMON STOCK</w:t>
      </w:r>
    </w:p>
    <w:p>
      <w:pPr>
        <w:spacing w:after="0" w:line="170" w:lineRule="exact"/>
        <w:rPr>
          <w:sz w:val="20"/>
          <w:szCs w:val="20"/>
          <w:color w:val="auto"/>
        </w:rPr>
      </w:pPr>
    </w:p>
    <w:p>
      <w:pPr>
        <w:ind w:right="180" w:firstLine="447"/>
        <w:spacing w:after="0" w:line="264" w:lineRule="auto"/>
        <w:rPr>
          <w:sz w:val="20"/>
          <w:szCs w:val="20"/>
          <w:color w:val="auto"/>
        </w:rPr>
      </w:pPr>
      <w:r>
        <w:rPr>
          <w:rFonts w:ascii="Arial" w:cs="Arial" w:eastAsia="Arial" w:hAnsi="Arial"/>
          <w:sz w:val="18"/>
          <w:szCs w:val="18"/>
          <w:color w:val="auto"/>
        </w:rPr>
        <w:t>We may offer from time to time up to 15,000,000 shares of our common stock. We will offer the common stock in amounts, at prices, and on terms to be determined at the time of the offering. We will provide the specific terms of the offering in supplements to this prospectus. This prospectus may not be used to offer and sell our common stock unless accompanied by a prospectus supplement.</w:t>
      </w:r>
    </w:p>
    <w:p>
      <w:pPr>
        <w:spacing w:after="0" w:line="14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Our common stock is listed on the Nasdaq National Market under the symbol “STEM.” The last reported sale price for our common stock on the Nasdaq National Market on July 1, 2002 was $1.59 per share.</w:t>
      </w:r>
    </w:p>
    <w:p>
      <w:pPr>
        <w:spacing w:after="0" w:line="143" w:lineRule="exact"/>
        <w:rPr>
          <w:sz w:val="20"/>
          <w:szCs w:val="20"/>
          <w:color w:val="auto"/>
        </w:rPr>
      </w:pPr>
    </w:p>
    <w:p>
      <w:pPr>
        <w:ind w:right="140" w:firstLine="222"/>
        <w:spacing w:after="0" w:line="308" w:lineRule="auto"/>
        <w:rPr>
          <w:sz w:val="20"/>
          <w:szCs w:val="20"/>
          <w:color w:val="auto"/>
        </w:rPr>
      </w:pPr>
      <w:r>
        <w:rPr>
          <w:rFonts w:ascii="Arial" w:cs="Arial" w:eastAsia="Arial" w:hAnsi="Arial"/>
          <w:sz w:val="17"/>
          <w:szCs w:val="17"/>
          <w:color w:val="auto"/>
        </w:rPr>
        <w:t>We will provide the specific terms of the offering in supplements to this prospectus. You should read this prospectus and any supplement carefully before you invest. This prospectus may not be used to offer and sell our common stock unless accompanied by a prospectus supplement.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offered hereby involve a high degree of risk.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“Risk Factors” beginning on page 2.</w:t>
      </w:r>
    </w:p>
    <w:p>
      <w:pPr>
        <w:spacing w:after="0" w:line="1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300" w:type="dxa"/>
            <w:vAlign w:val="bottom"/>
          </w:tcPr>
          <w:p>
            <w:pPr>
              <w:jc w:val="right"/>
              <w:ind w:right="3890"/>
              <w:spacing w:after="0"/>
              <w:rPr>
                <w:sz w:val="20"/>
                <w:szCs w:val="20"/>
                <w:color w:val="auto"/>
              </w:rPr>
            </w:pPr>
            <w:r>
              <w:rPr>
                <w:rFonts w:ascii="Arial" w:cs="Arial" w:eastAsia="Arial" w:hAnsi="Arial"/>
                <w:sz w:val="18"/>
                <w:szCs w:val="18"/>
                <w:b w:val="1"/>
                <w:bCs w:val="1"/>
                <w:color w:val="auto"/>
                <w:w w:val="89"/>
              </w:rPr>
              <w:t>The date of this Prospectus is July 3, 2002.</w:t>
            </w:r>
          </w:p>
        </w:tc>
      </w:tr>
      <w:tr>
        <w:trPr>
          <w:trHeight w:val="392"/>
        </w:trPr>
        <w:tc>
          <w:tcPr>
            <w:tcW w:w="4020" w:type="dxa"/>
            <w:vAlign w:val="bottom"/>
          </w:tcPr>
          <w:p>
            <w:pPr>
              <w:spacing w:after="0"/>
              <w:rPr>
                <w:sz w:val="24"/>
                <w:szCs w:val="24"/>
                <w:color w:val="auto"/>
              </w:rPr>
            </w:pPr>
          </w:p>
        </w:tc>
        <w:tc>
          <w:tcPr>
            <w:tcW w:w="730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593"/>
        </w:trPr>
        <w:tc>
          <w:tcPr>
            <w:tcW w:w="4020" w:type="dxa"/>
            <w:vAlign w:val="bottom"/>
          </w:tcPr>
          <w:p>
            <w:pPr>
              <w:spacing w:after="0"/>
              <w:rPr>
                <w:sz w:val="20"/>
                <w:szCs w:val="20"/>
                <w:color w:val="auto"/>
              </w:rPr>
            </w:pPr>
            <w:r>
              <w:rPr>
                <w:rFonts w:ascii="Arial" w:cs="Arial" w:eastAsia="Arial" w:hAnsi="Arial"/>
                <w:sz w:val="18"/>
                <w:szCs w:val="18"/>
                <w:color w:val="auto"/>
              </w:rPr>
              <w:t>About This Prospectus</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Executive Office</w:t>
            </w:r>
          </w:p>
        </w:tc>
        <w:tc>
          <w:tcPr>
            <w:tcW w:w="7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7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w w:val="94"/>
              </w:rPr>
              <w:t>Special Note Regarding Forward-Looking Information</w:t>
            </w:r>
          </w:p>
        </w:tc>
        <w:tc>
          <w:tcPr>
            <w:tcW w:w="7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Use of Proceeds</w:t>
            </w:r>
          </w:p>
        </w:tc>
        <w:tc>
          <w:tcPr>
            <w:tcW w:w="7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Plan of Distribution</w:t>
            </w:r>
          </w:p>
        </w:tc>
        <w:tc>
          <w:tcPr>
            <w:tcW w:w="7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Legal Matters</w:t>
            </w:r>
          </w:p>
        </w:tc>
        <w:tc>
          <w:tcPr>
            <w:tcW w:w="7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Experts</w:t>
            </w:r>
          </w:p>
        </w:tc>
        <w:tc>
          <w:tcPr>
            <w:tcW w:w="7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73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under a “shelf” registration process. Under this shelf process, we may sell any number of shares of common stock in one or more offerings up to a total number of shares of 15,000,000. Each time we offer common stock, we will provide a prospectus supplement that will describe the specific terms of the offering. The prospectus supplement and any pricing supplement may also add to, update or change the information contained in this prospectus. Please carefully read this prospectus, the prospectus supplement and any pricing supplement, in addition to the information contained in the documents we refer to under the heading “Where You Can Find More Information.”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0"/>
        <w:spacing w:after="0" w:line="342" w:lineRule="auto"/>
        <w:rPr>
          <w:sz w:val="20"/>
          <w:szCs w:val="20"/>
          <w:color w:val="auto"/>
        </w:rPr>
      </w:pPr>
      <w:r>
        <w:rPr>
          <w:rFonts w:ascii="Arial" w:cs="Arial" w:eastAsia="Arial" w:hAnsi="Arial"/>
          <w:sz w:val="16"/>
          <w:szCs w:val="16"/>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40" w:firstLine="450"/>
        <w:spacing w:after="0" w:line="312" w:lineRule="auto"/>
        <w:rPr>
          <w:sz w:val="20"/>
          <w:szCs w:val="20"/>
          <w:color w:val="auto"/>
        </w:rPr>
      </w:pPr>
      <w:r>
        <w:rPr>
          <w:rFonts w:ascii="Arial" w:cs="Arial" w:eastAsia="Arial" w:hAnsi="Arial"/>
          <w:sz w:val="16"/>
          <w:szCs w:val="16"/>
          <w:i w:val="1"/>
          <w:iCs w:val="1"/>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technology is at an early stage of discovery and development, and we may fail to develop any commercially acceptable products.</w:t>
      </w:r>
    </w:p>
    <w:p>
      <w:pPr>
        <w:spacing w:after="0" w:line="210"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166" w:lineRule="exact"/>
        <w:rPr>
          <w:sz w:val="20"/>
          <w:szCs w:val="20"/>
          <w:color w:val="auto"/>
        </w:rPr>
      </w:pPr>
    </w:p>
    <w:p>
      <w:pPr>
        <w:ind w:left="660" w:hanging="16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survive and persist in the desired location;</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the intended therapeutic benefits;</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properly integrate into existing tissue in the desired manner; or</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therapeutic benefits equal to or better than the standard of treatment at the time of testing.</w:t>
      </w:r>
    </w:p>
    <w:p>
      <w:pPr>
        <w:spacing w:after="0" w:line="225"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46" w:lineRule="exact"/>
        <w:rPr>
          <w:sz w:val="20"/>
          <w:szCs w:val="20"/>
          <w:color w:val="auto"/>
        </w:rPr>
      </w:pPr>
    </w:p>
    <w:p>
      <w:pPr>
        <w:ind w:right="420" w:firstLine="450"/>
        <w:spacing w:after="0" w:line="342" w:lineRule="auto"/>
        <w:rPr>
          <w:sz w:val="20"/>
          <w:szCs w:val="20"/>
          <w:color w:val="auto"/>
        </w:rPr>
      </w:pPr>
      <w:r>
        <w:rPr>
          <w:rFonts w:ascii="Arial" w:cs="Arial" w:eastAsia="Arial" w:hAnsi="Arial"/>
          <w:sz w:val="16"/>
          <w:szCs w:val="16"/>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83"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un in Rhode Island, which diverts funding from our stem cell research and development.</w:t>
      </w:r>
    </w:p>
    <w:p>
      <w:pPr>
        <w:spacing w:after="0" w:line="14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reduce our cash resources and adversely affect our ability to fund further development of our stem cell technology.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need but fail to obtain partners to support our stem cell development efforts and to commercialize our technology.</w:t>
      </w:r>
    </w:p>
    <w:p>
      <w:pPr>
        <w:spacing w:after="0" w:line="185" w:lineRule="exact"/>
        <w:rPr>
          <w:sz w:val="20"/>
          <w:szCs w:val="20"/>
          <w:color w:val="auto"/>
        </w:rPr>
      </w:pPr>
    </w:p>
    <w:p>
      <w:pPr>
        <w:ind w:firstLine="450"/>
        <w:spacing w:after="0" w:line="289" w:lineRule="auto"/>
        <w:rPr>
          <w:sz w:val="20"/>
          <w:szCs w:val="20"/>
          <w:color w:val="auto"/>
        </w:rPr>
      </w:pPr>
      <w:r>
        <w:rPr>
          <w:rFonts w:ascii="Arial" w:cs="Arial" w:eastAsia="Arial" w:hAnsi="Arial"/>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operating losses and we may fail to obtain revenues or become profitable.</w:t>
      </w:r>
    </w:p>
    <w:p>
      <w:pPr>
        <w:spacing w:after="0" w:line="198"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are unable to protect our patents and proprietary rights, our business, financial condition and results of operation will be harmed.</w:t>
      </w:r>
    </w:p>
    <w:p>
      <w:pPr>
        <w:spacing w:after="0" w:line="196" w:lineRule="exact"/>
        <w:rPr>
          <w:sz w:val="20"/>
          <w:szCs w:val="20"/>
          <w:color w:val="auto"/>
        </w:rPr>
      </w:pPr>
    </w:p>
    <w:p>
      <w:pPr>
        <w:ind w:right="40" w:firstLine="447"/>
        <w:spacing w:after="0" w:line="286" w:lineRule="auto"/>
        <w:rPr>
          <w:sz w:val="20"/>
          <w:szCs w:val="20"/>
          <w:color w:val="auto"/>
        </w:rPr>
      </w:pPr>
      <w:r>
        <w:rPr>
          <w:rFonts w:ascii="Arial" w:cs="Arial" w:eastAsia="Arial" w:hAnsi="Arial"/>
          <w:sz w:val="16"/>
          <w:szCs w:val="16"/>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court could decide that the patent was issued invalidly. Further, patents issue for a limited term and our patents may expire before we utilize them profitably.</w:t>
      </w:r>
    </w:p>
    <w:p>
      <w:pPr>
        <w:spacing w:after="0" w:line="221"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60" w:firstLine="450"/>
        <w:spacing w:after="0" w:line="264" w:lineRule="auto"/>
        <w:rPr>
          <w:sz w:val="20"/>
          <w:szCs w:val="20"/>
          <w:color w:val="auto"/>
        </w:rPr>
      </w:pPr>
      <w:r>
        <w:rPr>
          <w:rFonts w:ascii="Arial" w:cs="Arial" w:eastAsia="Arial" w:hAnsi="Arial"/>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54" w:lineRule="exact"/>
        <w:rPr>
          <w:sz w:val="20"/>
          <w:szCs w:val="20"/>
          <w:color w:val="auto"/>
        </w:rPr>
      </w:pPr>
    </w:p>
    <w:p>
      <w:pPr>
        <w:ind w:right="500" w:firstLine="450"/>
        <w:spacing w:after="0" w:line="277" w:lineRule="auto"/>
        <w:rPr>
          <w:sz w:val="20"/>
          <w:szCs w:val="20"/>
          <w:color w:val="auto"/>
        </w:rPr>
      </w:pPr>
      <w:r>
        <w:rPr>
          <w:rFonts w:ascii="Arial" w:cs="Arial" w:eastAsia="Arial" w:hAnsi="Arial"/>
          <w:sz w:val="18"/>
          <w:szCs w:val="18"/>
          <w:b w:val="1"/>
          <w:bCs w:val="1"/>
          <w:i w:val="1"/>
          <w:iCs w:val="1"/>
          <w:color w:val="auto"/>
        </w:rPr>
        <w:t>If we are unable to obtain necessary licenses to third party patents and other rights, we may not be able to commercially develop our expected products.</w:t>
      </w:r>
    </w:p>
    <w:p>
      <w:pPr>
        <w:spacing w:after="0" w:line="130" w:lineRule="exact"/>
        <w:rPr>
          <w:sz w:val="20"/>
          <w:szCs w:val="20"/>
          <w:color w:val="auto"/>
        </w:rPr>
      </w:pPr>
    </w:p>
    <w:p>
      <w:pPr>
        <w:ind w:firstLine="440"/>
        <w:spacing w:after="0" w:line="276"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132" w:lineRule="exact"/>
        <w:rPr>
          <w:sz w:val="20"/>
          <w:szCs w:val="20"/>
          <w:color w:val="auto"/>
        </w:rPr>
      </w:pPr>
    </w:p>
    <w:p>
      <w:pPr>
        <w:ind w:right="80" w:firstLine="447"/>
        <w:spacing w:after="0" w:line="259" w:lineRule="auto"/>
        <w:rPr>
          <w:sz w:val="20"/>
          <w:szCs w:val="20"/>
          <w:color w:val="auto"/>
        </w:rPr>
      </w:pPr>
      <w:r>
        <w:rPr>
          <w:rFonts w:ascii="Arial" w:cs="Arial" w:eastAsia="Arial" w:hAnsi="Arial"/>
          <w:sz w:val="18"/>
          <w:szCs w:val="18"/>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85" w:lineRule="exact"/>
        <w:rPr>
          <w:sz w:val="20"/>
          <w:szCs w:val="20"/>
          <w:color w:val="auto"/>
        </w:rPr>
      </w:pPr>
    </w:p>
    <w:p>
      <w:pPr>
        <w:ind w:right="260" w:firstLine="447"/>
        <w:spacing w:after="0" w:line="257" w:lineRule="auto"/>
        <w:rPr>
          <w:sz w:val="20"/>
          <w:szCs w:val="20"/>
          <w:color w:val="auto"/>
        </w:rPr>
      </w:pPr>
      <w:r>
        <w:rPr>
          <w:rFonts w:ascii="Arial" w:cs="Arial" w:eastAsia="Arial" w:hAnsi="Arial"/>
          <w:sz w:val="18"/>
          <w:szCs w:val="18"/>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Pharmacia Corp., and Genzyme have at least one clinical trial for Parkinson’s disease in progress at some phase, and some have more than one. At least seven companies already have products on the market. We expect competition to increase.</w:t>
      </w:r>
    </w:p>
    <w:p>
      <w:pPr>
        <w:spacing w:after="0" w:line="148"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In general,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Layton Bioscience, NeuralStem Biopharmaceuticals,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NeuroNova, and ReNeuron, and with universities and other research institutions who are developing treatments for degenerative diseases that are stem cell-based.</w:t>
      </w:r>
    </w:p>
    <w:p>
      <w:pPr>
        <w:spacing w:after="0" w:line="143"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Our competitors may succeed in developing technologies and products that are more effective than the ones we are developing, or that would render our technology obsolete or non-competitive.</w:t>
      </w:r>
    </w:p>
    <w:p>
      <w:pPr>
        <w:spacing w:after="0" w:line="130" w:lineRule="exact"/>
        <w:rPr>
          <w:sz w:val="20"/>
          <w:szCs w:val="20"/>
          <w:color w:val="auto"/>
        </w:rPr>
      </w:pPr>
    </w:p>
    <w:p>
      <w:pPr>
        <w:ind w:right="40" w:firstLine="447"/>
        <w:spacing w:after="0" w:line="286" w:lineRule="auto"/>
        <w:rPr>
          <w:sz w:val="20"/>
          <w:szCs w:val="20"/>
          <w:color w:val="auto"/>
        </w:rPr>
      </w:pPr>
      <w:r>
        <w:rPr>
          <w:rFonts w:ascii="Arial" w:cs="Arial" w:eastAsia="Arial" w:hAnsi="Arial"/>
          <w:sz w:val="17"/>
          <w:szCs w:val="17"/>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Development of our technology is subject to and restricted by extensive government regulation which could impede our business.</w:t>
      </w:r>
    </w:p>
    <w:p>
      <w:pPr>
        <w:spacing w:after="0" w:line="210" w:lineRule="exact"/>
        <w:rPr>
          <w:sz w:val="20"/>
          <w:szCs w:val="20"/>
          <w:color w:val="auto"/>
        </w:rPr>
      </w:pPr>
    </w:p>
    <w:p>
      <w:pPr>
        <w:ind w:right="20" w:firstLine="450"/>
        <w:spacing w:after="0" w:line="273"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38" w:lineRule="exact"/>
        <w:rPr>
          <w:sz w:val="20"/>
          <w:szCs w:val="20"/>
          <w:color w:val="auto"/>
        </w:rPr>
      </w:pPr>
    </w:p>
    <w:p>
      <w:pPr>
        <w:ind w:right="40" w:firstLine="447"/>
        <w:spacing w:after="0" w:line="276" w:lineRule="auto"/>
        <w:rPr>
          <w:sz w:val="20"/>
          <w:szCs w:val="20"/>
          <w:color w:val="auto"/>
        </w:rPr>
      </w:pPr>
      <w:r>
        <w:rPr>
          <w:rFonts w:ascii="Arial" w:cs="Arial" w:eastAsia="Arial" w:hAnsi="Arial"/>
          <w:sz w:val="17"/>
          <w:szCs w:val="17"/>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 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56"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b w:val="1"/>
          <w:bCs w:val="1"/>
          <w:i w:val="1"/>
          <w:iCs w:val="1"/>
          <w:color w:val="auto"/>
        </w:rPr>
        <w:t>If we lose the services of key personnel or are unable to attract and retain additional qualified personnel, we may have to delay, reduce or eliminate some or all of our research and development programs.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66"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b w:val="1"/>
          <w:bCs w:val="1"/>
          <w:i w:val="1"/>
          <w:iCs w:val="1"/>
          <w:color w:val="auto"/>
        </w:rPr>
        <w:t>Since health care insurers and other organizations may not pay for our products or may impose limits on reimbursements, our ability to become profitable could be reduced.</w:t>
      </w:r>
    </w:p>
    <w:p>
      <w:pPr>
        <w:spacing w:after="0" w:line="130" w:lineRule="exact"/>
        <w:rPr>
          <w:sz w:val="20"/>
          <w:szCs w:val="20"/>
          <w:color w:val="auto"/>
        </w:rPr>
      </w:pPr>
    </w:p>
    <w:p>
      <w:pPr>
        <w:ind w:right="80" w:firstLine="450"/>
        <w:spacing w:after="0" w:line="289" w:lineRule="auto"/>
        <w:rPr>
          <w:sz w:val="20"/>
          <w:szCs w:val="20"/>
          <w:color w:val="auto"/>
        </w:rPr>
      </w:pPr>
      <w:r>
        <w:rPr>
          <w:rFonts w:ascii="Arial" w:cs="Arial" w:eastAsia="Arial" w:hAnsi="Arial"/>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26"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61" w:lineRule="exact"/>
        <w:rPr>
          <w:sz w:val="20"/>
          <w:szCs w:val="20"/>
          <w:color w:val="auto"/>
        </w:rPr>
      </w:pPr>
    </w:p>
    <w:p>
      <w:pPr>
        <w:ind w:right="560" w:firstLine="450"/>
        <w:spacing w:after="0" w:line="277" w:lineRule="auto"/>
        <w:rPr>
          <w:sz w:val="20"/>
          <w:szCs w:val="20"/>
          <w:color w:val="auto"/>
        </w:rPr>
      </w:pPr>
      <w:r>
        <w:rPr>
          <w:rFonts w:ascii="Arial" w:cs="Arial" w:eastAsia="Arial" w:hAnsi="Arial"/>
          <w:sz w:val="18"/>
          <w:szCs w:val="18"/>
          <w:b w:val="1"/>
          <w:bCs w:val="1"/>
          <w:i w:val="1"/>
          <w:iCs w:val="1"/>
          <w:color w:val="auto"/>
        </w:rPr>
        <w:t>We have limited liquidity and capital resources and may not obtain the significant capital resources we will need to sustain our research and development efforts.</w:t>
      </w:r>
    </w:p>
    <w:p>
      <w:pPr>
        <w:spacing w:after="0" w:line="130" w:lineRule="exact"/>
        <w:rPr>
          <w:sz w:val="20"/>
          <w:szCs w:val="20"/>
          <w:color w:val="auto"/>
        </w:rPr>
      </w:pPr>
    </w:p>
    <w:p>
      <w:pPr>
        <w:ind w:right="40" w:firstLine="447"/>
        <w:spacing w:after="0" w:line="255" w:lineRule="auto"/>
        <w:rPr>
          <w:sz w:val="20"/>
          <w:szCs w:val="20"/>
          <w:color w:val="auto"/>
        </w:rPr>
      </w:pPr>
      <w:r>
        <w:rPr>
          <w:rFonts w:ascii="Arial" w:cs="Arial" w:eastAsia="Arial" w:hAnsi="Arial"/>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53"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b w:val="1"/>
          <w:bCs w:val="1"/>
          <w:i w:val="1"/>
          <w:iCs w:val="1"/>
          <w:color w:val="auto"/>
        </w:rPr>
        <w:t>If our common stock price drops significantly, we may be delisted from the Nasdaq National Market, which could eliminate the trading market for our Common Stock.</w:t>
      </w:r>
    </w:p>
    <w:p>
      <w:pPr>
        <w:spacing w:after="0" w:line="143"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2001 was $13,207,807.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142"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46"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b w:val="1"/>
          <w:bCs w:val="1"/>
          <w:i w:val="1"/>
          <w:iCs w:val="1"/>
          <w:color w:val="auto"/>
        </w:rPr>
        <w:t>The sale and issuance of the 3% and 6% cumulative convertible redeemable preferred stock will have an impact to earnings available to common stockholders.</w:t>
      </w:r>
    </w:p>
    <w:p>
      <w:pPr>
        <w:spacing w:after="0" w:line="143"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Of the proceeds from our sale of the 3% and 6% cumulative convertible redeemable preferred stock, approximately $3.1 million will be allocated to the common stock warrants and the conversion feature included with the subscription agreement, and will be reflected as an increase to additional paid-in capital and a decrease to the 3% and 6% cumulative convertible redeemable preferred stock. This $3.1 million will be accreted to the preferred stock over the term of the redemption period. This accretion, along with the preferred stock dividend, will increase the net loss (reduce the net income) available to common stockholders.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89"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and Section 21E of the Securities Exchange Act that involve substantial risks and uncertainties. You can identify these statements by forward-looking words such as “anticipate,” “believe,” “could,” “estimate,” “expect,” “intend,” “may,” “should,” “will,” and “would” or similar words. You should carefully read statements that contain these words because they discuss our future expectations, contain projections of our future results of operations or of our financial position or state other “forward-looking” information. We believe that it is important to communicate our future expectations to our investors. However, there may be events in the future that we are not able to accurately predict or control. The factors listed above in the section captioned “Risk Factors,” as well as any cautionary language in this prospectus, provide examples of risks, uncertainties and events that may cause our actual results to differ materially from the expectations we describe in our forward-looking statements. Before you invest, you should be aware that the occurrence of the events described in these risk factors and elsewhere in this prospectus could have a material adverse effect on our business, results of operations and financial position.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Unless we inform you otherwise in a prospectus supplement or any pricing supplement, we expect to use the net proceeds from any and all offerings of the common stock registered hereunder for general corporate purposes, including working capital, product development and capital expenditures. A portion of the net proceeds may also be used for the acquisition of businesses, products and technologies that are complementary to ours. There are currently no commitments or agreements with respect to any such material acquisition.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89" w:lineRule="exact"/>
        <w:rPr>
          <w:sz w:val="20"/>
          <w:szCs w:val="20"/>
          <w:color w:val="auto"/>
        </w:rPr>
      </w:pPr>
    </w:p>
    <w:p>
      <w:pPr>
        <w:ind w:right="440" w:firstLine="447"/>
        <w:spacing w:after="0" w:line="277" w:lineRule="auto"/>
        <w:rPr>
          <w:sz w:val="20"/>
          <w:szCs w:val="20"/>
          <w:color w:val="auto"/>
        </w:rPr>
      </w:pPr>
      <w:r>
        <w:rPr>
          <w:rFonts w:ascii="Arial" w:cs="Arial" w:eastAsia="Arial" w:hAnsi="Arial"/>
          <w:sz w:val="18"/>
          <w:szCs w:val="18"/>
          <w:color w:val="auto"/>
        </w:rPr>
        <w:t>We may offer the common stock covered by this prospectus in and outside the United States by one or more of, or a combination of, the following methods:</w:t>
      </w:r>
    </w:p>
    <w:p>
      <w:pPr>
        <w:spacing w:after="0" w:line="170" w:lineRule="exact"/>
        <w:rPr>
          <w:sz w:val="20"/>
          <w:szCs w:val="20"/>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underwriters for resale to the public or to investors;</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225" w:lineRule="exact"/>
        <w:rPr>
          <w:rFonts w:ascii="Arial" w:cs="Arial" w:eastAsia="Arial" w:hAnsi="Arial"/>
          <w:sz w:val="18"/>
          <w:szCs w:val="18"/>
          <w:color w:val="auto"/>
        </w:rPr>
      </w:pPr>
    </w:p>
    <w:p>
      <w:pPr>
        <w:ind w:left="660" w:right="100" w:hanging="161"/>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payment of all or a portion of the purchase price from one or more acquisitions of companies, businesses or assets complementary to our existing business; or</w:t>
      </w:r>
    </w:p>
    <w:p>
      <w:pPr>
        <w:spacing w:after="0" w:line="170"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consideration for rights for us to use third party technologies pursuant to one or more license, development or other similar agreements.</w:t>
      </w:r>
    </w:p>
    <w:p>
      <w:pPr>
        <w:spacing w:after="0" w:line="236" w:lineRule="exact"/>
        <w:rPr>
          <w:rFonts w:ascii="Arial" w:cs="Arial" w:eastAsia="Arial" w:hAnsi="Arial"/>
          <w:sz w:val="17"/>
          <w:szCs w:val="17"/>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set forth in a prospectus supplement the terms of the offering of securities, including:</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securities exchanges on which such securities may be listed.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agents</w:t>
      </w:r>
    </w:p>
    <w:p>
      <w:pPr>
        <w:spacing w:after="0" w:line="202" w:lineRule="exact"/>
        <w:rPr>
          <w:sz w:val="20"/>
          <w:szCs w:val="20"/>
          <w:color w:val="auto"/>
        </w:rPr>
      </w:pPr>
    </w:p>
    <w:p>
      <w:pPr>
        <w:ind w:right="140" w:firstLine="447"/>
        <w:spacing w:after="0" w:line="264" w:lineRule="auto"/>
        <w:rPr>
          <w:sz w:val="20"/>
          <w:szCs w:val="20"/>
          <w:color w:val="auto"/>
        </w:rPr>
      </w:pPr>
      <w:r>
        <w:rPr>
          <w:rFonts w:ascii="Arial" w:cs="Arial" w:eastAsia="Arial" w:hAnsi="Arial"/>
          <w:sz w:val="18"/>
          <w:szCs w:val="18"/>
          <w:color w:val="auto"/>
        </w:rPr>
        <w:t>We may designate agents to solicit purchases for the period of the agent’s appointment or to sell the common stock on a continuing basis. Unless we inform you otherwise in the applicable prospectus supplement, any agent will agree to use its reasonable best efforts to solicit purchases for the period of the agent’s appointment.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89"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If we use underwriters for a sale of the common stock, the underwriters will acquire the common stock for their own account. The underwriters may resell the common stock in one or more transactions,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including negotiated transactions, at a fixed public offering price or at varying prices determined at the time of sale. The obligations of the underwriters to purchase the common stock will be subject to the conditions set forth in the applicable underwriting agreements. The underwriters will be obligated to purchase all the offered common stock if they purchase any of the offered common stock. The underwriters may from time to time change any public offering price and any discounts or concessions allowed or reallowed or paid to dealers. We may use underwriters with whom we have a material relationship. We will describe in the prospectus supplement which names the underwriter the nature of any such relationship.</w:t>
      </w:r>
    </w:p>
    <w:p>
      <w:pPr>
        <w:spacing w:after="0" w:line="146" w:lineRule="exact"/>
        <w:rPr>
          <w:sz w:val="20"/>
          <w:szCs w:val="20"/>
          <w:color w:val="auto"/>
        </w:rPr>
      </w:pPr>
    </w:p>
    <w:p>
      <w:pPr>
        <w:jc w:val="both"/>
        <w:ind w:right="220" w:firstLine="450"/>
        <w:spacing w:after="0" w:line="264" w:lineRule="auto"/>
        <w:rPr>
          <w:sz w:val="20"/>
          <w:szCs w:val="20"/>
          <w:color w:val="auto"/>
        </w:rPr>
      </w:pPr>
      <w:r>
        <w:rPr>
          <w:rFonts w:ascii="Arial" w:cs="Arial" w:eastAsia="Arial" w:hAnsi="Arial"/>
          <w:sz w:val="18"/>
          <w:szCs w:val="18"/>
          <w:color w:val="auto"/>
        </w:rPr>
        <w:t>If we use dealers in the sale of common stock, we will sell the common stock to the dealers as principals. They may then resell that common stock to the public at varying prices determined by the dealers at the time of resale. The dealers participating in any sale of our common stock may be deemed to be underwriters within the meaning of the Securities Act with respect to any sale of that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underwriters, dealers and agents</w:t>
      </w:r>
    </w:p>
    <w:p>
      <w:pPr>
        <w:spacing w:after="0" w:line="189" w:lineRule="exact"/>
        <w:rPr>
          <w:sz w:val="20"/>
          <w:szCs w:val="20"/>
          <w:color w:val="auto"/>
        </w:rPr>
      </w:pPr>
    </w:p>
    <w:p>
      <w:pPr>
        <w:ind w:right="160" w:firstLine="450"/>
        <w:spacing w:after="0" w:line="255" w:lineRule="auto"/>
        <w:rPr>
          <w:sz w:val="20"/>
          <w:szCs w:val="20"/>
          <w:color w:val="auto"/>
        </w:rPr>
      </w:pPr>
      <w:r>
        <w:rPr>
          <w:rFonts w:ascii="Arial" w:cs="Arial" w:eastAsia="Arial" w:hAnsi="Arial"/>
          <w:sz w:val="18"/>
          <w:szCs w:val="18"/>
          <w:color w:val="auto"/>
        </w:rPr>
        <w:t>Underwriters, dealers and agents that participate in the distribution of the common stock may be underwriters as defined in the Securities Act and any discounts or commissions they receive from us, as well as any profit on their resale of the common stock, may be treated as underwriting discounts and commissions under the Securities Act. We will identify in the applicable prospectus supplement any underwriters, dealers or agents and will describe their compensation. We may have agreements with the underwriters, dealers or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189" w:lineRule="exact"/>
        <w:rPr>
          <w:sz w:val="20"/>
          <w:szCs w:val="20"/>
          <w:color w:val="auto"/>
        </w:rPr>
      </w:pPr>
    </w:p>
    <w:p>
      <w:pPr>
        <w:ind w:right="400" w:firstLine="447"/>
        <w:spacing w:after="0" w:line="264" w:lineRule="auto"/>
        <w:rPr>
          <w:sz w:val="20"/>
          <w:szCs w:val="20"/>
          <w:color w:val="auto"/>
        </w:rPr>
      </w:pPr>
      <w:r>
        <w:rPr>
          <w:rFonts w:ascii="Arial" w:cs="Arial" w:eastAsia="Arial" w:hAnsi="Arial"/>
          <w:sz w:val="18"/>
          <w:szCs w:val="18"/>
          <w:color w:val="auto"/>
        </w:rPr>
        <w:t>We may sell the common stock directly. In that event, no underwriters or agents would be involved. We may sell the common stock directly to institutional investors or others who may be deemed to be underwriters within the meaning of the Securities Act with respect to any sale of that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02"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If we so indicate in a prospectus supplement, we may authorize underwriters, dealers or agents to solicit offers from selected types of institutions to purchase common stock from us at the public offering price under delayed delivery requirements. These contracts would provide for payment and delivery on a specified date in the future. Institutions with which such contracts may be made include commercial and savings banks, insurance companies, pension funds, investment companies, educational and charitable institutions and others. The contracts would be subject only to those conditions described in the prospectus supplement. The applicable prospectus supplement relating to such contracts will set forth the price to be paid for common stock under the contracts, the commission payable for solicitation of the contracts and the date or dates in the future for delivery of the common stock under the contracts.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activities</w:t>
      </w:r>
    </w:p>
    <w:p>
      <w:pPr>
        <w:spacing w:after="0" w:line="189"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common stock in the open market. These transactions may include overallotment and stabilizing transactions and purchases to cover syndicate short positions created in connection with the offering. The underwriters may also impose a penalty bid, in which selling concessions allowed to syndicate members or other broker-dealers for the offered common stock sold for their account may be reclaimed by the syndicate if the offered common stock is repurchased by the syndicate in stabilizing or covering transactions. These activities may stabilize, maintain or otherwise affect the market price of the offered common stock, which may be higher than the price that might otherwise prevail in the open market. If commenced, these activities may be discontinued at any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Any underwriters who are qualified market makers on the NASDAQ National Market may engage in passive market making transactions in the common stock on the Nasdaq National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highest independent bid for the security; if all independent bids are lowered below the passive market maker’s bid, however, the passive market maker’s bid then must be lowered when certain purchase limits are exceeded.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We may offer the common stock in payment of all or a portion of the purchase price from one or more acquisitions of companies, businesses or assets complementary to our existing business. We expect that the terms of acquisitions in which the common stock would be issued by us would be determined by negotiations between us and the owners of the companies, businesses or assets we intend to acquire. It is anticipated that the common stock issued in any such acquisition would be valued for purposes of the acquisition at a price reasonably related to the market value of the common stock either at the time of the execution of the definitive acquisition agreement or at the time of the consummation of the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development or other similar agreements</w:t>
      </w:r>
    </w:p>
    <w:p>
      <w:pPr>
        <w:spacing w:after="0" w:line="202" w:lineRule="exact"/>
        <w:rPr>
          <w:sz w:val="20"/>
          <w:szCs w:val="20"/>
          <w:color w:val="auto"/>
        </w:rPr>
      </w:pPr>
    </w:p>
    <w:p>
      <w:pPr>
        <w:ind w:right="60" w:firstLine="447"/>
        <w:spacing w:after="0" w:line="302" w:lineRule="auto"/>
        <w:rPr>
          <w:sz w:val="20"/>
          <w:szCs w:val="20"/>
          <w:color w:val="auto"/>
        </w:rPr>
      </w:pPr>
      <w:r>
        <w:rPr>
          <w:rFonts w:ascii="Arial" w:cs="Arial" w:eastAsia="Arial" w:hAnsi="Arial"/>
          <w:sz w:val="16"/>
          <w:szCs w:val="16"/>
          <w:color w:val="auto"/>
        </w:rPr>
        <w:t>We may offer the common stock as consideration for rights for us to use third party technologies pursuant to one or more license, development or other similar agreements. We expect that the terms of those agreements would be determined by negotiations between us and the other party or parties to a particular agreement. The common stock issued as part of any such agreement would be valued for purposes of the agreement at a price reasonably related to the market value of the common stock either at the time of the signing of the agreement, or such other date as the agreement stipulates.</w:t>
      </w:r>
    </w:p>
    <w:p>
      <w:pPr>
        <w:spacing w:after="0" w:line="1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shares of our common stock offered hereby will be passed upon for us by Ropes &amp; Gray, Boston, Massachusetts.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Ernst &amp; Young LLP, independent auditors, have audited our consolidated financial statements included in our Annual Report on Form 10-K for the year ended December 31, 2001,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firstLine="447"/>
        <w:spacing w:after="0" w:line="253" w:lineRule="auto"/>
        <w:rPr>
          <w:sz w:val="20"/>
          <w:szCs w:val="20"/>
          <w:color w:val="auto"/>
        </w:rPr>
      </w:pPr>
      <w:r>
        <w:rPr>
          <w:rFonts w:ascii="Arial" w:cs="Arial" w:eastAsia="Arial" w:hAnsi="Arial"/>
          <w:sz w:val="18"/>
          <w:szCs w:val="18"/>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89" w:lineRule="exact"/>
        <w:rPr>
          <w:sz w:val="20"/>
          <w:szCs w:val="20"/>
          <w:color w:val="auto"/>
        </w:rPr>
      </w:pPr>
    </w:p>
    <w:p>
      <w:pPr>
        <w:ind w:right="60" w:firstLine="447"/>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187" w:lineRule="exact"/>
        <w:rPr>
          <w:sz w:val="20"/>
          <w:szCs w:val="20"/>
          <w:color w:val="auto"/>
        </w:rPr>
      </w:pPr>
    </w:p>
    <w:p>
      <w:pPr>
        <w:ind w:left="660" w:hanging="16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2001 (filed March 7, 2002);</w:t>
      </w:r>
    </w:p>
    <w:p>
      <w:pPr>
        <w:spacing w:after="0" w:line="225" w:lineRule="exact"/>
        <w:rPr>
          <w:rFonts w:ascii="Arial" w:cs="Arial" w:eastAsia="Arial" w:hAnsi="Arial"/>
          <w:sz w:val="18"/>
          <w:szCs w:val="18"/>
          <w:color w:val="auto"/>
        </w:rPr>
      </w:pPr>
    </w:p>
    <w:p>
      <w:pPr>
        <w:ind w:left="660" w:hanging="16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2002 (filed May 3, 2002);</w:t>
      </w:r>
    </w:p>
    <w:p>
      <w:pPr>
        <w:spacing w:after="0" w:line="225" w:lineRule="exact"/>
        <w:rPr>
          <w:rFonts w:ascii="Arial" w:cs="Arial" w:eastAsia="Arial" w:hAnsi="Arial"/>
          <w:sz w:val="18"/>
          <w:szCs w:val="18"/>
          <w:color w:val="auto"/>
        </w:rPr>
      </w:pPr>
    </w:p>
    <w:p>
      <w:pPr>
        <w:ind w:left="660" w:hanging="16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170" w:lineRule="exact"/>
        <w:rPr>
          <w:rFonts w:ascii="Arial" w:cs="Arial" w:eastAsia="Arial" w:hAnsi="Arial"/>
          <w:sz w:val="18"/>
          <w:szCs w:val="18"/>
          <w:color w:val="auto"/>
        </w:rPr>
      </w:pPr>
    </w:p>
    <w:p>
      <w:pPr>
        <w:ind w:left="660" w:right="140" w:hanging="161"/>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181" w:lineRule="exact"/>
        <w:rPr>
          <w:sz w:val="20"/>
          <w:szCs w:val="20"/>
          <w:color w:val="auto"/>
        </w:rPr>
      </w:pPr>
    </w:p>
    <w:p>
      <w:pPr>
        <w:ind w:right="20" w:firstLine="447"/>
        <w:spacing w:after="0" w:line="312" w:lineRule="auto"/>
        <w:rPr>
          <w:sz w:val="20"/>
          <w:szCs w:val="20"/>
          <w:color w:val="auto"/>
        </w:rPr>
      </w:pPr>
      <w:r>
        <w:rPr>
          <w:rFonts w:ascii="Arial" w:cs="Arial" w:eastAsia="Arial" w:hAnsi="Arial"/>
          <w:sz w:val="16"/>
          <w:szCs w:val="16"/>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 than exhibits to those documents). You should direct requests for documents to:</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Telephone number: (650) 475-3100</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sectPr>
      <w:pgSz w:w="11900" w:h="16838" w:orient="portrait"/>
      <w:cols w:equalWidth="0" w:num="1">
        <w:col w:w="11340"/>
      </w:cols>
      <w:pgMar w:left="240" w:top="4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2019-12-13T21:58:29Z</dcterms:created>
  <dcterms:modified xsi:type="dcterms:W3CDTF">2019-12-13T21:58:29Z</dcterms:modified>
</cp:coreProperties>
</file>