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s-3.htm"/>
      <w:bookmarkStart w:id="1" w:name="ksforms3"/>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March 10,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MICROBOT MEDICAL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9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94-3078125</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 Derby St., Bld. 27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Hingham, MA 02043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(781) 875-3605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Harel Gadot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President and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 Derby St., Bld. 27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Hingham, MA 02043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(781) 875-3605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Stephen E. Fox,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Ruskin Moscou Faltischek, P.C.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1425 RXR Plaza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East Tower, 15</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Uniondale, New York 11556-1425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(516) 663-6600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after the effective date of this registration statement, as determined by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1925"/>
        <w:gridCol w:w="230"/>
        <w:gridCol w:w="2345"/>
        <w:gridCol w:w="245"/>
      </w:tblGrid>
      <w:tr>
        <w:trPr/>
        <w:tc>
          <w:tcPr>
            <w:tcW w:w="19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9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w:t>
      </w:r>
      <w:r>
        <w:rPr>
          <w:rFonts w:ascii="Times New Roman;Times;Serif" w:hAnsi="Times New Roman;Times;Serif"/>
          <w:b/>
          <w:i w:val="false"/>
          <w:caps w:val="false"/>
          <w:smallCaps w:val="false"/>
          <w:sz w:val="20"/>
        </w:rPr>
        <w:t>a</w:t>
      </w:r>
      <w:r>
        <w:rPr>
          <w:rFonts w:ascii="Times New Roman;Times;Serif" w:hAnsi="Times New Roman;Times;Serif"/>
          <w:b/>
          <w:i w:val="false"/>
          <w:caps/>
          <w:sz w:val="20"/>
        </w:rPr>
        <w:t>) of the Securities Act of 1933, AS AMENDED, or until THE registration statement shall become effective on such date as the SECURITIES AND EXCHANGE Commission, acting pursuant to SAID Section 8(</w:t>
      </w:r>
      <w:r>
        <w:rPr>
          <w:rFonts w:ascii="Times New Roman;Times;Serif" w:hAnsi="Times New Roman;Times;Serif"/>
          <w:b/>
          <w:i w:val="false"/>
          <w:caps w:val="false"/>
          <w:smallCaps w:val="false"/>
          <w:sz w:val="20"/>
        </w:rPr>
        <w:t>a</w:t>
      </w:r>
      <w:r>
        <w:rPr>
          <w:rFonts w:ascii="Times New Roman;Times;Serif" w:hAnsi="Times New Roman;Times;Serif"/>
          <w:b/>
          <w:i w:val="false"/>
          <w:caps/>
          <w:sz w:val="20"/>
        </w:rPr>
        <w:t>), may determine.</w:t>
      </w:r>
    </w:p>
    <w:p>
      <w:pPr>
        <w:pStyle w:val="TextBody"/>
        <w:bidi w:val="0"/>
        <w:spacing w:before="0" w:after="0"/>
        <w:jc w:val="center"/>
        <w:rPr>
          <w:caps/>
        </w:rPr>
      </w:pPr>
      <w:r>
        <w:rPr>
          <w:caps/>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FF0000"/>
          <w:sz w:val="20"/>
        </w:rPr>
      </w:pPr>
      <w:r>
        <w:rPr>
          <w:rFonts w:ascii="Times New Roman;Times;Serif" w:hAnsi="Times New Roman;Times;Serif"/>
          <w:b/>
          <w:i w:val="false"/>
          <w:caps/>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MARCH 10,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2857500" cy="1428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14287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12,542,268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or other disposition from time to time of up to 12,542,268 shares of our common stock, $0.01 par value per share, by the selling stockholders named in this prospectus, including their transferees, pledgees, donees or successors, that may be issued upon the exercise of outstanding preferred investment options held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cover the issuance of the shares underlying the preferred investment options to the selling stockholders upon their exercise. We are not selling any shares of common stock under this prospectus and will not receive any of the proceeds from the sale of shares of common stock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the shares covered by this prospectus does not mean that the selling stockholders will actually exercise outstanding options held by them or offer or resell any of these shares once issued to them. The selling stockholders may resell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11.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resale of shares of our common stock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ticker symbol “MBOT.” On March 6, 2025, the last reported closing price of our common stock on the Nasdaq Capital Market was $1.39.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You should review carefully the risks and uncertainties described under the heading “Risk Factors” beginning on page 7 of this prospectus, and under similar headings in any amendments or supplements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2025.</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605"/>
        <w:gridCol w:w="530"/>
      </w:tblGrid>
      <w:tr>
        <w:trPr/>
        <w:tc>
          <w:tcPr>
            <w:tcW w:w="660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Pages</w:t>
            </w:r>
          </w:p>
        </w:tc>
      </w:tr>
      <w:tr>
        <w:trPr/>
        <w:tc>
          <w:tcPr>
            <w:tcW w:w="660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ABOUT THIS PROSPECTUS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60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i w:val="false"/>
                  <w:caps w:val="false"/>
                  <w:smallCaps w:val="false"/>
                  <w:sz w:val="20"/>
                </w:rPr>
                <w:t>PROSPECTUS SUMMARY</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60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i w:val="false"/>
                  <w:caps w:val="false"/>
                  <w:smallCaps w:val="false"/>
                  <w:sz w:val="20"/>
                </w:rPr>
                <w:t>RISK FACTORS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60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i w:val="false"/>
                  <w:caps w:val="false"/>
                  <w:smallCaps w:val="false"/>
                  <w:sz w:val="20"/>
                </w:rPr>
                <w:t>CAUTIONARY NOTE REGARDING FORWARD-LOOKING STATEMENTS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60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i w:val="false"/>
                  <w:caps w:val="false"/>
                  <w:smallCaps w:val="false"/>
                  <w:sz w:val="20"/>
                </w:rPr>
                <w:t>USE OF PROCEEDS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60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i w:val="false"/>
                  <w:caps w:val="false"/>
                  <w:smallCaps w:val="false"/>
                  <w:sz w:val="20"/>
                </w:rPr>
                <w:t>SELLING STOCKHOLDERS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60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i w:val="false"/>
                  <w:caps w:val="false"/>
                  <w:smallCaps w:val="false"/>
                  <w:sz w:val="20"/>
                </w:rPr>
                <w:t>PLAN OF DISTRIBUTION</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60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i w:val="false"/>
                  <w:caps w:val="false"/>
                  <w:smallCaps w:val="false"/>
                  <w:sz w:val="20"/>
                </w:rPr>
                <w:t>DESCRIPTION OF SECURITIES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60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i w:val="false"/>
                  <w:caps w:val="false"/>
                  <w:smallCaps w:val="false"/>
                  <w:sz w:val="20"/>
                </w:rPr>
                <w:t>LEGAL MATTERS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60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i w:val="false"/>
                  <w:caps w:val="false"/>
                  <w:smallCaps w:val="false"/>
                  <w:sz w:val="20"/>
                </w:rPr>
                <w:t>EXPERTS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60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i w:val="false"/>
                  <w:caps w:val="false"/>
                  <w:smallCaps w:val="false"/>
                  <w:sz w:val="20"/>
                </w:rPr>
                <w:t>WHERE YOU CAN FIND MORE INFORMATION</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60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i w:val="false"/>
                  <w:caps w:val="false"/>
                  <w:smallCaps w:val="false"/>
                  <w:sz w:val="20"/>
                </w:rPr>
                <w:t>INCORPORATION OF CERTAIN INFORMATION BY REFERENCE</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bl>
    <w:p>
      <w:pPr>
        <w:pStyle w:val="TextBody"/>
        <w:bidi w:val="0"/>
        <w:spacing w:before="0" w:after="0"/>
        <w:ind w:left="0" w:right="0" w:firstLine="72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United States Securities and Exchange Commission (the “SEC”). You should read this prospectus, including the documents incorporated by reference herein, and the related registration statement carefully. This prospectus and registration statement contain important information you should consider when making your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have provided in this prospectus, including the documents incorporated by reference herein, and any applicable prospectus supplement. We have not authorized anyone to provide you with different information. No dealer, salesperson or other person is authorized to give any information or to represent anything not contained in this prospectus, including the documents incorporated by reference herein, and any applicable prospectus supplement. You must not rely on any unauthorized information or representation. This prospectus is an offer to sell only the securities offered hereby, but only under circumstances and in jurisdictions where it is lawful to do so. You should assume that the information in this prospectus, including the documents incorporated by reference herein, and any applicable prospectus supplement is accurate only as of the date on the front of the respective document, regardless of the time of delivery of this prospectus, any applicable prospectus supplement, or any sale of a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before making an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in this prospectus, the terms “Microbot,” the “Company,” “we,” “our” or “us” in this prospectus refer to Microbot Medical Inc. and its wholly-owned subsidiaries.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certain information about us and this offering contained elsewhere in this prospectus or in the documents we incorporate by reference. Because it is only a summary, it does not contain all of the information that you should consider before investing in shares of our securities and it is qualified in its entirety by, and should be read in conjunction with, the more detailed information appearing elsewhere or incorporated by reference in this prospectus. Before you decide to invest in our securities, you should read the entire prospectus carefully, including “Risk Factors” beginning on page 7, and the consolidated financial statements and related notes and the other information included or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our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technological platform, we are developing the first ever fully disposable robot for various endovascular interventional procedures.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Registered Direct Offerings and Concurrent 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2025, we entered into a securities purchase agreement with investors, pursuant to which we agreed to issue and sell, in a registered direct offering priced at-the-market under the rules of The Nasdaq Stock Market, an aggregate of 4,000,001 shares of our common stock at an offering price of $1.75 per share. In a concurrent private placement, we agreed to issue to the same investors series G preferred investment options to purchase up to 8,000,002 shares of our common stock at an exercise price of $1.75 per share. Each series G preferred investment option was exercisable immediately and expires two years from the initial exercise date. The offerings closed on January 7, 2025, and we raised approximately $7.0 million in aggregate gross proceeds from such offerings, before deducting placement agent fees and expenses and related offering expenses. We also issued at closing to the placement agent or its designees, warrants to purchase 200,000 shares of our common stock, which were exercisable immediately, expire two years from issuance, and have an exercise price of $2.1875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7, 2025, we entered into a securities purchase agreement with investors, pursuant to which we agreed to issue and sell, in a registered direct offering priced at-the-market under the rules of The Nasdaq Stock Market, an aggregate of 3,788,550 shares of our common stock at an offering price of $2.27 per share. In a concurrent private placement, we agreed to issue to the same investors series H preferred investment options to purchase up to 7,577,100 shares of our common stock at an exercise price of $2.10 per share. Each series H preferred investment option was exercisable immediately and expires two years from the initial exercise date. The offerings closed on January 10, 2025, and we raised approximately $8.6 million in aggregate gross proceeds from such offerings, before deducting placement agent fees and expenses and related offering expenses. We also issued at closing to the placement agent or its designees, warrants to purchase 189,428 shares of our common stock, which were exercisable immediately, expire two years from issuance, and have an exercise price of $2.8375 per share.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9, 2025, we entered into a securities purchase agreement with investors, pursuant to which we agreed to issue and sell, in a registered direct offering priced at-the-market under the rules of The Nasdaq Stock Market, an aggregate of 6,103,289 shares of our common stock at an offering price of $2.13 per share. In a concurrent private placement, we agreed to issue to the same investors series I preferred investment options to purchase up to 12,206,578 shares of our common stock at an exercise price of $2.13 per share. Each series I preferred investment option was exercisable commencing on or after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(the “Stockholder Approval Date”) and will expire two years from the initial exercise date. The offerings closed on February 11, 2025, and we raised approximately $11.8 million in aggregate net proceeds from such offerings, after deducting placement agent fees and expenses and related offering expenses. We also issued at closing to the placement agent or its designees, warrants to purchase 305,164 shares of our common stock, which </w:t>
      </w:r>
      <w:r>
        <w:rPr>
          <w:rFonts w:ascii="Times New Roman;Times;Serif" w:hAnsi="Times New Roman;Times;Serif"/>
          <w:b w:val="false"/>
          <w:i w:val="false"/>
          <w:caps w:val="false"/>
          <w:smallCaps w:val="false"/>
          <w:sz w:val="20"/>
          <w:shd w:fill="FFFFFF" w:val="clear"/>
        </w:rPr>
        <w:t>are exercisable on or after the later of (i) the Authorized Share Increase Date and (ii) the Stockholder Approval Date, will expire two years from the initial exercise date (but no later than February 9, 2030), and have an exercise price of $2.6625 per share</w:t>
      </w:r>
      <w:r>
        <w:rPr>
          <w:rFonts w:ascii="Times New Roman;Times;Serif" w:hAnsi="Times New Roman;Times;Serif"/>
          <w:b w:val="false"/>
          <w:i w:val="false"/>
          <w:caps w:val="false"/>
          <w:smallCaps w:val="false"/>
          <w:sz w:val="20"/>
        </w:rPr>
        <w:t>. We are seeking stockholder approval to increase the number of authorized shares of our common stock to 120,000,000 and to approve the issuance of the options and shares underlying the options, at a special meeting of stockholders expected to be held on April 11,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ATM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we entered into an At-the-Market Offering Agreement, as amended on July 1, 2024 (the “ATM Agreement”) with Wainwright as sales agent, in connection with an “at the market offering” under which we may offer and sell, from time to time in our sole discretion, shares of our common stock having an aggregate offering price of up to $4,819,905 at market prices or as otherwise agreed with Wainwright. The compensation to Wainwright for sales of the shares is a placement fee of 3.0% of the gross sales price of the shares of common stock sold pursuant to the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entering into the ATM Agreement, on July 1, 2024, we filed with the SEC a prospectus supplement relating to the offer, issuance and sale of up to $4,819,905 of our shares of common stock pursuant to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January 7, 2025, we issued and sold an aggregate of 4,276,486 shares of our common stock pursuant to the ATM Agreement, for total gross proceeds of $4,819,278 before deducting aggregate placement fees of $144,578 and other offering expenses. Accordingly, we are no longer selling any further shares of our common stock under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510(k) Premarket Notification Submission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we announced that we submitted a 510(k) premarket notification to the U.S. Food and Drug Administration (FDA) for our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The 510(k) submission follows the successful completion of our multi-center, single-arm, trial to evaluate the performance and safety of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human subjects undergoing Peripheral Vascular Interventions.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FDA marketing clearance during the second quarter of 2025, with U.S. commercialization activities expected to commence after the clearance.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Israel-Hamas War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date of this prospectus, although a cease fire with Hamas was declared on January 15, 2025 and there is currently a ceasefire with Hezbollah in Lebanon.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considered various ongoing risks relating to the military operations and related matters,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some of our Israeli subcontractors, vendors, suppliers and other companies in which the Company relies, are currently only partially active, as instructed by the relevant authorities;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slowdown in the number of international flights in and out of Israel.</w:t>
            </w:r>
          </w:p>
        </w:tc>
      </w:tr>
    </w:tbl>
    <w:p>
      <w:pPr>
        <w:pStyle w:val="TextBody"/>
        <w:bidi w:val="0"/>
        <w:spacing w:before="0" w:after="0"/>
        <w:ind w:left="108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date of this prospectus, we have determined that there have not been any materially adverse effects on our business or operations, but we continue to monitor the situation, as any collapse of the cease-fire with Hamas or Hezbollah or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Technological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Surgical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 Endovascular Robotic Surgical System features a unique compact design with the capability to be operated remotely, reduce radiation exposure and physical strain to the physician, as well as the potential to eliminate the use of multiple consumables when used with its NovaCross</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platform or possibly other guidewire/microcatheter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addressable markets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its current version includes the peripheral interventional radiology market, with future versions expected to include the Interventional Cardiology and Interventional Neuroradiology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unique characteristics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 compact, mobile, disposable and remotely controlled – also may open the opportunity of expanding telerobotic interventions to patients with limited access to life-saving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is being designed to have the following attributes: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Compact size - Eliminates the need for large capital equipment in dedicated cath-lab rooms with dedicated staff.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disposable - To our knowledge, the first fully disposable, robotic system for endovascular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&amp; Done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 Has the potential to be compatible with Microbot’s NitiLoop’s NovaCross</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products or possibly other instruments that combines guidewire and microcatheter into a single device. We are currently evaluating this combination in different applications.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the art maneuverability - Provides linear and rotational control of its guidewire, as well as linear and rotational control of a guide catheter, and the linear motion for an additional microcatheter (“over the wire”) device.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Compatibility with a wide range of commercially-available guidewires, microcatheters and guide-catheters.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operator safety and comfort - Aims to reduce exposure to ionizing radiation and reduce physical strain due to the need for heavy lead vests otherwise to be worn during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Ease of use - Its intuitive remote controls aims to simplify advanced procedures while shortening the physician’s learning curve.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Telemedicine capability – May serve as a platform for supporting tele-catheterization, carried out remotely by highly trained specialists. The Company’s research collaboration with Corewell Health™ has demonstrated the feasibility of using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System between separate and remote facilities in a coronary simulation model. The project assesses the feasibility of using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to perform simulated cardiovascular interventional procedures across two sites within the Corewell Health™ system located 5 miles apart. The telesurgery feature of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still being evaluated and is not covered under the Company’s pending 510(k) premarket submission with the U.S. Food and Drug Administration.</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2020, Microbot announced the successful conclusion of its feasibility animal study using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2023, we announced that the LIBERTY®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System’s remote operation capabilities, to pre-determined vascular targets, with a 100% success rate of reaching the intended target with no observable on-site complications.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announced the successful initial outcomes from our pivotal preclinical study with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The pivotal study was conducted by three leading interventional radiologists that utilized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to reach a total of 48 animal targets. A total of 6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Systems were used in the study. All 6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human clinical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 (MDR 2017/745) and supporting our future CE Mark approval, and to ultimately allow us to market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U.S. Food &amp; Drug Administration (FDA) regarding the quality system management regulation and its incorporation by reference of the ISO 13485 standard, we believe it will help streamline our transition into this revised FDA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we announced that we submitted a 510(k) premarket notification to the U.S. Food and Drug Administration (FDA) for our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The 510(k) submission follows the successful completion of our multi-center, single-arm, trial to evaluate the performance and safety of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human subjects undergoing Peripheral Vascular Interventions.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FDA marketing clearance during the second quarter of 2025, with U.S. commercialization activities expected to commence after the clearance.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 exploring the feasibility of integrating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with an imaging system to create an autonomous robotic system for endovascular procedures.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NovaCross</w:t>
      </w:r>
      <w:r>
        <w:rPr>
          <w:rFonts w:ascii="Times New Roman;Times;Serif" w:hAnsi="Times New Roman;Times;Serif"/>
          <w:b/>
          <w:i/>
          <w:caps w:val="false"/>
          <w:smallCaps w:val="false"/>
          <w:position w:val="7"/>
          <w:sz w:val="16"/>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address is 175 Derby St., Bld. 27, Hingham, MA 02043.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financial results are subject to various risk and uncertainties. Before deciding to invest in our securities, you should carefully consider the factors described under “Risk Factors” beginning on page 7 of this prospectus, as well as the other information included elsewhere in this prospectus, and the risk factors described under “Part I, Item 1A. Risk Factors” in our most recent Annual Report on Form 10-K and in any subsequently-filed Quarterly Reports on Form 10-Q, and those contained in our other filings with the SEC that are incorporated by reference in this prospectus. Any of the foregoing risk factors could adversely affect our business, results of operations, financial condition and prospects. Additional risks and uncertainties not presently known to us or that we currently deem immaterial may also adversely affect our business operations.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stockholders identified in this prospectus of up to 12,542,268 shares of our common stock,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12,206,578 shares of our common stock issuable to certain of the selling stockholders upon the exercise of outstanding series I preferred investment options expiring two years from the initial exercise date of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law (the “Stockholder Approval Date”), at an exercise price per share of $2.13;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305,164 shares of our common stock issuable to certain of the selling stockholders upon the exercise of outstanding preferred investment options expiring two years from the initial exercise date of the later of (i) the Authorized Share Increase Date and (ii) the Stockholder Approval Date, at an exercise price per share of $2.6625;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30,526 shares of our common stock issuable to certain of the selling stockholders upon the exercise of outstanding preferred investment options expiring in July 2030, at an exercise price per share of $1.875.</w:t>
            </w:r>
          </w:p>
        </w:tc>
      </w:tr>
    </w:tbl>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4400"/>
        <w:gridCol w:w="60"/>
        <w:gridCol w:w="1505"/>
      </w:tblGrid>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offered by the selling stockholders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12,542,268 shares</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outstanding before the offering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34,744,476 shares</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to be outstanding after the offering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47,286,744 shares</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 Symbol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MBOT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99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number of shares outstanding as of February 28, 2025.</w:t>
            </w:r>
          </w:p>
        </w:tc>
      </w:tr>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the exercise of all of the 12,542,268 options held by the selling stockholders, the underlying shares of which are being registered pursuant to the registration statement of which this prospectus forms a part. Does not include the exercise of any other options or warrants that may be outstanding or issuable, including those that may be held by the selling stockholders.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12,542,268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receive up to a total of approximately $26.9 million in gross proceeds if all of the 12,542,268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all costs associated with this registration statement and prospectus.</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dividends on our capital stock and do not anticipate paying any dividends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on Form S-3, of which this prospectus forms a part, to satisfy registration rights we granted to the selling stockholders.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risks. Before deciding whether to purchase our securities, you should carefully consider the risk factors incorporated by reference from our Annual Report on Form 10-K for the year ended December 31, 2023 filed with the SEC on March 27, 2024, under the heading “Item 1A. Risk Factors”, any updates to those risk factors contained in our Quarterly Reports on Form 10-Q or Current Reports on Form 8-K and the other information contained in this prospectus or any applicable prospectus supplement, as updated by those subsequent filings with the SEC under the Securities Exchange Act of 1934, as amended (the “Exchange Act”) that are incorporated herein by reference. These risks could materially affect our business, results of operations and financial condition and could cause the value of our securities to decline in value, in which case you may lose all or part of your investment. For more information, see “Where You Can Find More Information” and “Incorporation of Certain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Political, social and geopolitical conditions can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social and geopolitical conditions in the markets in which our products are expected to be sold have been and could continue to be difficult to predict, resulting in adverse effects on our business. The results of elections, referendums or other political conditions (including government shutdowns), geopolitical events and tensions, wars and other military conflicts in these markets have in the past impacted and could continue to impact how existing laws, regulations and government programs or policies are implemented or result in uncertainty as to how such laws, regulations, programs or policies may change, including with respect to the negotiation of new trade agreements, new, expanded or retaliatory tariffs against certain countries or covering certain products or ingredients, sanctions, environmental and climate change regulations, taxes, benefit programs, the movement of goods, services and people between countries, relationships between countries, customer or consumer perception of a particular country or its government and other matters. Such conditions have resulted in and could continue to result in exchange rate fluctuation, limitations on access to equity or credit markets and other corporate banking services, volatility in global stock markets and global economic uncertainty and heightened risk to employee safety, any of which can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Political uncertainty may have an adverse impact on our operating performance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political uncertainty may have an adverse impact on our operating performance and results of operations. In particular, the U.S. continues to experience significant political events that cast uncertainty on global financial and economic markets, especially following the recent presidential election. It is presently unclear as to all of the actions the second Trump administration in the U.S. will implement, and if implemented, how these actions may impact us or how we operate in the U.S., particularly any changes in personnel or processes or procedures at the Food and Drug Administration. Any actions taken by the Trump administration, including the many recent executive orders, may have a negative impact on the U.S. economy in general and on our business, financial condition, and results of operations in particular, especially if any such impact delays our planned 510(k)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may be required to confirm the safety and demonstrate the efficacy of our planned products; uncertainty as to whether the U.S. Food and Drug Administration, or the FDA, or other regulatory authorities will clear our proposed products for commercialization and sale; the risk that any planned clinical trials or studies could be substantially delayed beyond their expected dates or cause us to incur substantial unanticipated costs; uncertainties in our ability to obtain the capital resources needed to continue our current or future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such as employees of Microbot and its vendors and business partners being called to active military duty; and other risks to which we are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Times;Serif" w:hAnsi="Times New Roman;Times;Serif"/>
          <w:b w:val="false"/>
          <w:i/>
          <w:caps w:val="false"/>
          <w:smallCaps w:val="false"/>
          <w:sz w:val="20"/>
        </w:rPr>
        <w:t>Business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12,542,268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receive up to a total of approximately $26.9 million in gross proceeds if all of the 12,542,268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all costs associated with this registration statement and prospectus.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 forth certain information regarding the selling stockholders and the shares of common stock beneficially owned by them.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13d-3(d) promulgated by the SEC under the Exchange Act. Unless otherwise provided, the percentage of shares beneficially owned prior to the offering is based on 34,744,476 shares of our common stock outstanding as of March 6,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5"/>
        <w:gridCol w:w="60"/>
        <w:gridCol w:w="89"/>
        <w:gridCol w:w="1489"/>
        <w:gridCol w:w="60"/>
        <w:gridCol w:w="60"/>
        <w:gridCol w:w="120"/>
        <w:gridCol w:w="889"/>
        <w:gridCol w:w="95"/>
        <w:gridCol w:w="60"/>
        <w:gridCol w:w="70"/>
        <w:gridCol w:w="1307"/>
        <w:gridCol w:w="60"/>
        <w:gridCol w:w="60"/>
        <w:gridCol w:w="98"/>
        <w:gridCol w:w="1623"/>
        <w:gridCol w:w="82"/>
        <w:gridCol w:w="82"/>
        <w:gridCol w:w="124"/>
        <w:gridCol w:w="885"/>
        <w:gridCol w:w="117"/>
      </w:tblGrid>
      <w:tr>
        <w:trPr/>
        <w:tc>
          <w:tcPr>
            <w:tcW w:w="27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78" w:type="dxa"/>
            <w:gridSpan w:val="2"/>
            <w:tcBorders/>
            <w:vAlign w:val="center"/>
          </w:tcPr>
          <w:p>
            <w:pPr>
              <w:pStyle w:val="TableContents"/>
              <w:bidi w:val="0"/>
              <w:jc w:val="center"/>
              <w:rPr>
                <w:b/>
              </w:rPr>
            </w:pPr>
            <w:r>
              <w:rPr>
                <w:b/>
              </w:rPr>
              <w:t>Number of</w:t>
            </w:r>
          </w:p>
          <w:p>
            <w:pPr>
              <w:pStyle w:val="TableContents"/>
              <w:bidi w:val="0"/>
              <w:jc w:val="center"/>
              <w:rPr>
                <w:b/>
              </w:rPr>
            </w:pPr>
            <w:r>
              <w:rPr>
                <w:b/>
              </w:rPr>
              <w:t>Shares of</w:t>
            </w:r>
          </w:p>
          <w:p>
            <w:pPr>
              <w:pStyle w:val="TableContents"/>
              <w:bidi w:val="0"/>
              <w:jc w:val="center"/>
              <w:rPr>
                <w:b/>
              </w:rPr>
            </w:pPr>
            <w:r>
              <w:rPr>
                <w:b/>
              </w:rPr>
              <w:t>Common</w:t>
            </w:r>
          </w:p>
          <w:p>
            <w:pPr>
              <w:pStyle w:val="TableContents"/>
              <w:bidi w:val="0"/>
              <w:jc w:val="center"/>
              <w:rPr>
                <w:b/>
              </w:rPr>
            </w:pPr>
            <w:r>
              <w:rPr>
                <w:b/>
              </w:rPr>
              <w:t>Stock</w:t>
            </w:r>
          </w:p>
          <w:p>
            <w:pPr>
              <w:pStyle w:val="TableContents"/>
              <w:bidi w:val="0"/>
              <w:jc w:val="center"/>
              <w:rPr>
                <w:b/>
              </w:rPr>
            </w:pPr>
            <w:r>
              <w:rPr>
                <w:b/>
              </w:rPr>
              <w:t>Beneficially</w:t>
            </w:r>
          </w:p>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7" w:type="dxa"/>
            <w:gridSpan w:val="2"/>
            <w:tcBorders/>
            <w:vAlign w:val="center"/>
          </w:tcPr>
          <w:p>
            <w:pPr>
              <w:pStyle w:val="TableContents"/>
              <w:bidi w:val="0"/>
              <w:jc w:val="center"/>
              <w:rPr>
                <w:b/>
              </w:rPr>
            </w:pPr>
            <w:r>
              <w:rPr>
                <w:b/>
              </w:rPr>
              <w:t>Number of</w:t>
            </w:r>
          </w:p>
          <w:p>
            <w:pPr>
              <w:pStyle w:val="TableContents"/>
              <w:bidi w:val="0"/>
              <w:jc w:val="center"/>
              <w:rPr>
                <w:b/>
              </w:rPr>
            </w:pPr>
            <w:r>
              <w:rPr>
                <w:b/>
              </w:rPr>
              <w:t>Shares of</w:t>
            </w:r>
          </w:p>
          <w:p>
            <w:pPr>
              <w:pStyle w:val="TableContents"/>
              <w:bidi w:val="0"/>
              <w:spacing w:before="0" w:after="283"/>
              <w:jc w:val="center"/>
              <w:rPr>
                <w:b/>
              </w:rPr>
            </w:pPr>
            <w:r>
              <w:rPr>
                <w:b/>
              </w:rPr>
              <w:t>Common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94" w:type="dxa"/>
            <w:gridSpan w:val="6"/>
            <w:tcBorders>
              <w:bottom w:val="single" w:sz="8" w:space="0" w:color="000000"/>
            </w:tcBorders>
            <w:tcMar>
              <w:bottom w:w="28" w:type="dxa"/>
            </w:tcMar>
            <w:vAlign w:val="center"/>
          </w:tcPr>
          <w:p>
            <w:pPr>
              <w:pStyle w:val="TableContents"/>
              <w:bidi w:val="0"/>
              <w:jc w:val="center"/>
              <w:rPr>
                <w:b/>
              </w:rPr>
            </w:pPr>
            <w:r>
              <w:rPr>
                <w:b/>
              </w:rPr>
              <w:t>Shares of Common</w:t>
            </w:r>
          </w:p>
          <w:p>
            <w:pPr>
              <w:pStyle w:val="TableContents"/>
              <w:bidi w:val="0"/>
              <w:jc w:val="center"/>
              <w:rPr>
                <w:b/>
              </w:rPr>
            </w:pPr>
            <w:r>
              <w:rPr>
                <w:b/>
              </w:rPr>
              <w:t>Stock Beneficially</w:t>
            </w:r>
          </w:p>
          <w:p>
            <w:pPr>
              <w:pStyle w:val="TableContents"/>
              <w:bidi w:val="0"/>
              <w:jc w:val="center"/>
              <w:rPr>
                <w:b/>
              </w:rPr>
            </w:pPr>
            <w:r>
              <w:rPr>
                <w:b/>
              </w:rPr>
              <w:t>Owned After Sale of All</w:t>
            </w:r>
          </w:p>
          <w:p>
            <w:pPr>
              <w:pStyle w:val="TableContents"/>
              <w:bidi w:val="0"/>
              <w:jc w:val="center"/>
              <w:rPr>
                <w:b/>
              </w:rPr>
            </w:pPr>
            <w:r>
              <w:rPr>
                <w:b/>
              </w:rPr>
              <w:t>Shares of Common</w:t>
            </w:r>
          </w:p>
          <w:p>
            <w:pPr>
              <w:pStyle w:val="TableContents"/>
              <w:bidi w:val="0"/>
              <w:jc w:val="center"/>
              <w:rPr>
                <w:b/>
              </w:rPr>
            </w:pPr>
            <w:r>
              <w:rPr>
                <w:b/>
              </w:rPr>
              <w:t>Stock Pursuant to this</w:t>
            </w:r>
          </w:p>
          <w:p>
            <w:pPr>
              <w:pStyle w:val="TableContents"/>
              <w:bidi w:val="0"/>
              <w:spacing w:before="0" w:after="283"/>
              <w:jc w:val="center"/>
              <w:rPr>
                <w:b/>
              </w:rPr>
            </w:pPr>
            <w:r>
              <w:rPr>
                <w:b/>
              </w:rPr>
              <w:t>Prospectus</w:t>
            </w:r>
          </w:p>
        </w:tc>
        <w:tc>
          <w:tcPr>
            <w:tcW w:w="117" w:type="dxa"/>
            <w:tcBorders/>
            <w:vAlign w:val="center"/>
          </w:tcPr>
          <w:p>
            <w:pPr>
              <w:pStyle w:val="TableContents"/>
              <w:bidi w:val="0"/>
              <w:spacing w:before="0" w:after="283"/>
              <w:jc w:val="center"/>
              <w:rPr/>
            </w:pPr>
            <w:r>
              <w:rPr/>
              <w:t> </w:t>
            </w:r>
          </w:p>
        </w:tc>
      </w:tr>
      <w:tr>
        <w:trPr/>
        <w:tc>
          <w:tcPr>
            <w:tcW w:w="2775" w:type="dxa"/>
            <w:tcBorders>
              <w:bottom w:val="single" w:sz="8" w:space="0" w:color="000000"/>
            </w:tcBorders>
            <w:tcMar>
              <w:bottom w:w="28" w:type="dxa"/>
            </w:tcMar>
            <w:vAlign w:val="center"/>
          </w:tcPr>
          <w:p>
            <w:pPr>
              <w:pStyle w:val="TableContents"/>
              <w:bidi w:val="0"/>
              <w:spacing w:before="0" w:after="283"/>
              <w:jc w:val="center"/>
              <w:rPr>
                <w:b/>
              </w:rPr>
            </w:pPr>
            <w:r>
              <w:rPr>
                <w:b/>
              </w:rPr>
              <w:t>Selling Stockholder</w:t>
            </w:r>
          </w:p>
        </w:tc>
        <w:tc>
          <w:tcPr>
            <w:tcW w:w="60" w:type="dxa"/>
            <w:tcBorders/>
            <w:vAlign w:val="center"/>
          </w:tcPr>
          <w:p>
            <w:pPr>
              <w:pStyle w:val="TableContents"/>
              <w:bidi w:val="0"/>
              <w:spacing w:before="0" w:after="283"/>
              <w:jc w:val="center"/>
              <w:rPr/>
            </w:pPr>
            <w:r>
              <w:rPr/>
              <w:t> </w:t>
            </w:r>
          </w:p>
        </w:tc>
        <w:tc>
          <w:tcPr>
            <w:tcW w:w="15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Before Any Sale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Class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 Offered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82"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center"/>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Class</w:t>
            </w:r>
          </w:p>
        </w:tc>
        <w:tc>
          <w:tcPr>
            <w:tcW w:w="117" w:type="dxa"/>
            <w:tcBorders/>
            <w:vAlign w:val="center"/>
          </w:tcPr>
          <w:p>
            <w:pPr>
              <w:pStyle w:val="TableContents"/>
              <w:bidi w:val="0"/>
              <w:spacing w:before="0" w:after="283"/>
              <w:jc w:val="center"/>
              <w:rPr/>
            </w:pPr>
            <w:r>
              <w:rPr/>
              <w:t> </w:t>
            </w:r>
          </w:p>
        </w:tc>
      </w:tr>
      <w:tr>
        <w:trPr/>
        <w:tc>
          <w:tcPr>
            <w:tcW w:w="27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Intracoastal Capital, LLC</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5,868,172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2,816,902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3,051,270</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(1</w:t>
            </w:r>
          </w:p>
        </w:tc>
        <w:tc>
          <w:tcPr>
            <w:tcW w:w="117" w:type="dxa"/>
            <w:tcBorders/>
            <w:shd w:fill="CCEEFF" w:val="clear"/>
            <w:vAlign w:val="center"/>
          </w:tcPr>
          <w:p>
            <w:pPr>
              <w:pStyle w:val="TableContents"/>
              <w:bidi w:val="0"/>
              <w:spacing w:before="0" w:after="283"/>
              <w:jc w:val="left"/>
              <w:rPr/>
            </w:pPr>
            <w:r>
              <w:rPr/>
              <w:t>)</w:t>
            </w:r>
          </w:p>
        </w:tc>
      </w:tr>
      <w:tr>
        <w:trPr/>
        <w:tc>
          <w:tcPr>
            <w:tcW w:w="27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CVI Investments, Inc.</w:t>
            </w:r>
            <w:r>
              <w:rPr>
                <w:rFonts w:ascii="Times New Roman;Times;Serif" w:hAnsi="Times New Roman;Times;Serif"/>
                <w:position w:val="7"/>
                <w:sz w:val="16"/>
                <w:sz w:val="20"/>
              </w:rPr>
              <w:t>(2)(3)</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9,507,077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3,755,870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623" w:type="dxa"/>
            <w:tcBorders/>
            <w:shd w:fill="FFFFFF" w:val="clear"/>
            <w:vAlign w:val="center"/>
          </w:tcPr>
          <w:p>
            <w:pPr>
              <w:pStyle w:val="TableContents"/>
              <w:bidi w:val="0"/>
              <w:spacing w:before="0" w:after="283"/>
              <w:jc w:val="right"/>
              <w:rPr/>
            </w:pPr>
            <w:r>
              <w:rPr/>
              <w:t>5,751,207</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(2</w:t>
            </w:r>
          </w:p>
        </w:tc>
        <w:tc>
          <w:tcPr>
            <w:tcW w:w="117" w:type="dxa"/>
            <w:tcBorders/>
            <w:shd w:fill="FFFFFF" w:val="clear"/>
            <w:vAlign w:val="center"/>
          </w:tcPr>
          <w:p>
            <w:pPr>
              <w:pStyle w:val="TableContents"/>
              <w:bidi w:val="0"/>
              <w:spacing w:before="0" w:after="283"/>
              <w:jc w:val="left"/>
              <w:rPr/>
            </w:pPr>
            <w:r>
              <w:rPr/>
              <w:t>)</w:t>
            </w:r>
          </w:p>
        </w:tc>
      </w:tr>
      <w:tr>
        <w:trPr/>
        <w:tc>
          <w:tcPr>
            <w:tcW w:w="27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Anson Investments Master Fund LP</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7,506,658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2,929,580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4,577,078</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(4</w:t>
            </w:r>
          </w:p>
        </w:tc>
        <w:tc>
          <w:tcPr>
            <w:tcW w:w="117" w:type="dxa"/>
            <w:tcBorders/>
            <w:shd w:fill="CCEEFF" w:val="clear"/>
            <w:vAlign w:val="center"/>
          </w:tcPr>
          <w:p>
            <w:pPr>
              <w:pStyle w:val="TableContents"/>
              <w:bidi w:val="0"/>
              <w:spacing w:before="0" w:after="283"/>
              <w:jc w:val="left"/>
              <w:rPr/>
            </w:pPr>
            <w:r>
              <w:rPr/>
              <w:t>)</w:t>
            </w:r>
          </w:p>
        </w:tc>
      </w:tr>
      <w:tr>
        <w:trPr/>
        <w:tc>
          <w:tcPr>
            <w:tcW w:w="27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Anson East Master Fund LP</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1,896,322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826,290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623" w:type="dxa"/>
            <w:tcBorders/>
            <w:shd w:fill="FFFFFF" w:val="clear"/>
            <w:vAlign w:val="center"/>
          </w:tcPr>
          <w:p>
            <w:pPr>
              <w:pStyle w:val="TableContents"/>
              <w:bidi w:val="0"/>
              <w:spacing w:before="0" w:after="283"/>
              <w:jc w:val="right"/>
              <w:rPr/>
            </w:pPr>
            <w:r>
              <w:rPr/>
              <w:t>1,070,032</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2.92</w:t>
            </w:r>
          </w:p>
        </w:tc>
        <w:tc>
          <w:tcPr>
            <w:tcW w:w="117" w:type="dxa"/>
            <w:tcBorders/>
            <w:shd w:fill="FFFFFF" w:val="clear"/>
            <w:vAlign w:val="center"/>
          </w:tcPr>
          <w:p>
            <w:pPr>
              <w:pStyle w:val="TableContents"/>
              <w:bidi w:val="0"/>
              <w:spacing w:before="0" w:after="283"/>
              <w:jc w:val="left"/>
              <w:rPr/>
            </w:pPr>
            <w:r>
              <w:rPr/>
              <w:t> </w:t>
            </w:r>
          </w:p>
        </w:tc>
      </w:tr>
      <w:tr>
        <w:trPr/>
        <w:tc>
          <w:tcPr>
            <w:tcW w:w="27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Stuywater Capital LLC</w:t>
            </w:r>
            <w:r>
              <w:rPr>
                <w:rFonts w:ascii="Times New Roman;Times;Serif" w:hAnsi="Times New Roman;Times;Serif"/>
                <w:position w:val="7"/>
                <w:sz w:val="16"/>
                <w:sz w:val="20"/>
              </w:rPr>
              <w:t>(3)(6)</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3,802,684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1,877,936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1,924,748</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(6</w:t>
            </w:r>
          </w:p>
        </w:tc>
        <w:tc>
          <w:tcPr>
            <w:tcW w:w="117" w:type="dxa"/>
            <w:tcBorders/>
            <w:shd w:fill="CCEEFF" w:val="clear"/>
            <w:vAlign w:val="center"/>
          </w:tcPr>
          <w:p>
            <w:pPr>
              <w:pStyle w:val="TableContents"/>
              <w:bidi w:val="0"/>
              <w:spacing w:before="0" w:after="283"/>
              <w:jc w:val="left"/>
              <w:rPr/>
            </w:pPr>
            <w:r>
              <w:rPr/>
              <w:t>)</w:t>
            </w:r>
          </w:p>
        </w:tc>
      </w:tr>
      <w:tr>
        <w:trPr/>
        <w:tc>
          <w:tcPr>
            <w:tcW w:w="27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Noam Rubenstein</w:t>
            </w:r>
            <w:r>
              <w:rPr>
                <w:rFonts w:ascii="Times New Roman;Times;Serif" w:hAnsi="Times New Roman;Times;Serif"/>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346,006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105,743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623" w:type="dxa"/>
            <w:tcBorders/>
            <w:shd w:fill="FFFFFF" w:val="clear"/>
            <w:vAlign w:val="center"/>
          </w:tcPr>
          <w:p>
            <w:pPr>
              <w:pStyle w:val="TableContents"/>
              <w:bidi w:val="0"/>
              <w:spacing w:before="0" w:after="283"/>
              <w:jc w:val="right"/>
              <w:rPr/>
            </w:pPr>
            <w:r>
              <w:rPr/>
              <w:t>240,263</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c>
          <w:tcPr>
            <w:tcW w:w="117" w:type="dxa"/>
            <w:tcBorders/>
            <w:shd w:fill="FFFFFF" w:val="clear"/>
            <w:vAlign w:val="center"/>
          </w:tcPr>
          <w:p>
            <w:pPr>
              <w:pStyle w:val="TableContents"/>
              <w:bidi w:val="0"/>
              <w:spacing w:before="0" w:after="283"/>
              <w:jc w:val="left"/>
              <w:rPr/>
            </w:pPr>
            <w:r>
              <w:rPr/>
              <w:t> </w:t>
            </w:r>
          </w:p>
        </w:tc>
      </w:tr>
      <w:tr>
        <w:trPr/>
        <w:tc>
          <w:tcPr>
            <w:tcW w:w="27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Vasinkevich</w:t>
            </w:r>
            <w:r>
              <w:rPr>
                <w:rFonts w:ascii="Times New Roman;Times;Serif" w:hAnsi="Times New Roman;Times;Serif"/>
                <w:position w:val="7"/>
                <w:sz w:val="16"/>
                <w:sz w:val="20"/>
              </w:rPr>
              <w:t>(7)</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704,370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1.99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215,261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489,109</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1.38</w:t>
            </w:r>
          </w:p>
        </w:tc>
        <w:tc>
          <w:tcPr>
            <w:tcW w:w="117" w:type="dxa"/>
            <w:tcBorders/>
            <w:shd w:fill="CCEEFF" w:val="clear"/>
            <w:vAlign w:val="center"/>
          </w:tcPr>
          <w:p>
            <w:pPr>
              <w:pStyle w:val="TableContents"/>
              <w:bidi w:val="0"/>
              <w:spacing w:before="0" w:after="283"/>
              <w:jc w:val="left"/>
              <w:rPr/>
            </w:pPr>
            <w:r>
              <w:rPr/>
              <w:t> </w:t>
            </w:r>
          </w:p>
        </w:tc>
      </w:tr>
      <w:tr>
        <w:trPr/>
        <w:tc>
          <w:tcPr>
            <w:tcW w:w="27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Craig Schwabe</w:t>
            </w:r>
            <w:r>
              <w:rPr>
                <w:rFonts w:ascii="Times New Roman;Times;Serif" w:hAnsi="Times New Roman;Times;Serif"/>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37,072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11,329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623" w:type="dxa"/>
            <w:tcBorders/>
            <w:shd w:fill="FFFFFF" w:val="clear"/>
            <w:vAlign w:val="center"/>
          </w:tcPr>
          <w:p>
            <w:pPr>
              <w:pStyle w:val="TableContents"/>
              <w:bidi w:val="0"/>
              <w:spacing w:before="0" w:after="283"/>
              <w:jc w:val="right"/>
              <w:rPr/>
            </w:pPr>
            <w:r>
              <w:rPr/>
              <w:t>25,743</w:t>
            </w:r>
          </w:p>
        </w:tc>
        <w:tc>
          <w:tcPr>
            <w:tcW w:w="82" w:type="dxa"/>
            <w:tcBorders/>
            <w:shd w:fill="FFFFFF" w:val="clear"/>
            <w:vAlign w:val="center"/>
          </w:tcPr>
          <w:p>
            <w:pPr>
              <w:pStyle w:val="TableContents"/>
              <w:bidi w:val="0"/>
              <w:spacing w:before="0" w:after="283"/>
              <w:jc w:val="left"/>
              <w:rPr>
                <w:sz w:val="4"/>
                <w:szCs w:val="4"/>
              </w:rPr>
            </w:pPr>
            <w:r>
              <w:rPr>
                <w:sz w:val="4"/>
                <w:szCs w:val="4"/>
              </w:rPr>
            </w:r>
          </w:p>
        </w:tc>
        <w:tc>
          <w:tcPr>
            <w:tcW w:w="82"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r>
      <w:tr>
        <w:trPr/>
        <w:tc>
          <w:tcPr>
            <w:tcW w:w="27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Worthman</w:t>
            </w:r>
            <w:r>
              <w:rPr>
                <w:rFonts w:ascii="Times New Roman;Times;Serif" w:hAnsi="Times New Roman;Times;Serif"/>
                <w:position w:val="7"/>
                <w:sz w:val="16"/>
                <w:sz w:val="20"/>
              </w:rPr>
              <w:t>(7)</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10,985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3,357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7,628</w:t>
            </w:r>
          </w:p>
        </w:tc>
        <w:tc>
          <w:tcPr>
            <w:tcW w:w="82"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r>
      <w:tr>
        <w:trPr/>
        <w:tc>
          <w:tcPr>
            <w:tcW w:w="27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r>
              <w:rPr>
                <w:rFonts w:ascii="Times New Roman;Times;Serif" w:hAnsi="Times New Roman;Times;Serif"/>
                <w:b/>
                <w:position w:val="7"/>
                <w:sz w:val="16"/>
                <w:sz w:val="20"/>
              </w:rPr>
              <w:t>(8)</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double" w:sz="6" w:space="0" w:color="000000"/>
            </w:tcBorders>
            <w:shd w:fill="FFFFFF" w:val="clear"/>
            <w:tcMar>
              <w:bottom w:w="28" w:type="dxa"/>
            </w:tcMar>
            <w:vAlign w:val="center"/>
          </w:tcPr>
          <w:p>
            <w:pPr>
              <w:pStyle w:val="TableContents"/>
              <w:bidi w:val="0"/>
              <w:spacing w:before="0" w:after="283"/>
              <w:jc w:val="right"/>
              <w:rPr/>
            </w:pPr>
            <w:r>
              <w:rPr/>
              <w:t>12,542,268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623"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the outstanding shares of our common stock.</w:t>
            </w:r>
          </w:p>
        </w:tc>
      </w:tr>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options to purchase shares of our common stock.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(the “Exchange Act”)) of the securities reported herein that are held by Intracoastal. The options are subject to a beneficial ownership limitation of 4.99% or 9.99%,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office of Intracoastal is 245 Palm Trail, Delray Beach, FL 33483. </w:t>
            </w:r>
          </w:p>
        </w:tc>
      </w:tr>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Heights Capital Management, Inc. (“Heights”), the authorized agent of CVI Investments, Inc. (“CVI”), has discretionary authority to vote and dispose of the shares held by CVI and may be deemed to be the beneficial owner of these shares. Martin Kobinger, in his capacity as President of Heights,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S-1 of which this prospectus forms a part. Pursuant to a Schedule 13G filed by CVI on January 13, 2025, Heights and CVI beneficially owned approximately 6.1% of our common stock, based on 20,651,434 shares outstanding at December 4, 2024. The options are subject to a beneficial ownership limitation of 4.99% or 9.99%, as the case may be,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w:t>
            </w:r>
          </w:p>
        </w:tc>
      </w:tr>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is an affiliate of a registered broker-dealer.</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options to purchase shares of our common stock. Anson Advisors Inc and Anson Funds Management LP, the Co-Investment Advisers of Anson Investments Master Fund LP (“Anson”), hold voting and dispositive power over the common stock held by Anson. Tony Moore is the managing member of Anson Management GP LLC, which is the general partner of Anson Funds Management LP. Moez Kassam and Amin Nathoo are directors of Anson Advisors Inc. Mr. Moore, Mr. Kassam and Mr. Nathoo each disclaim beneficial ownership of these shares of common stock except to the extent of their pecuniary interest therein.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address of Anson is Maples Corporate Services Limited, PO Box 309, Ugland House, Grand Cayman, KY1-1104, Cayman Islands.</w:t>
            </w:r>
          </w:p>
        </w:tc>
      </w:tr>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options to purchase shares of our common stock. Anson Advisors Inc and Anson Funds Management LP, the Co-Investment Advisers of Anson East Master Fund LP (“Anson East”), hold voting and dispositive power over the common stock held by Anson East. Tony Moore is the managing member of Anson Management GP LLC, which is the general partner of Anson Funds Management LP. Moez Kassam and Amin Nathoo are directors of Anson Advisors Inc. Mr. Moore, Mr. Kassam and Mr. Nathoo each disclaim beneficial ownership of these shares of common stock except to the extent of their pecuniary interest therein.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address of Anson East is Maples Corporate Services Limited, PO Box 309, Ugland House, Grand Cayman, KY1-1104, Cayman Islands. </w:t>
            </w:r>
          </w:p>
        </w:tc>
      </w:tr>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938,968 shares of our common stock and options to purchase an aggregate of 2,863,716 shares of our common stock. Noam Rubenstein, the sole member of Stuywater Capital LLC (“Stuywater”), has sole voting control and investment discretion over the securities reported herein that are held by Stuywater. As a result, he may be deemed to have beneficial ownership (as determined under Section 13(d) of the Securities Exchange Act of 1934, as amended) of the securities reported herein that are held by Stuywater. The options are subject to a beneficial ownership limitation of 4.99%, which restricts the selling stockholder from exercising that portion of the options that would result in the selling stockholder and its affiliates owning, after exercise, a number of shares of common stock in excess of the beneficial ownership limitation. The address of Stuywater is 430 Park Avenue, 3rd Floor, New York, New York 10022. </w:t>
            </w:r>
          </w:p>
        </w:tc>
      </w:tr>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warrants or options to purchase shares of common stock. Each of such selling stockholders is affiliated with H.C. Wainwright &amp; Co., LLC, a registered broker dealer with a registered address of c/o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 </w:t>
            </w:r>
          </w:p>
        </w:tc>
      </w:tr>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take into account any 4.99% beneficial ownership limitation that certain of the selling stockholders are subject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Relationships with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connection with the transactions described above and elsewhere in this prospectus, we have not had any material relationships with the selling stockholders in the last three years.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any one or more of the following methods when disposing of shares or interests therein: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effected after the date the registration statement of which this prospectus is a part is declared effective by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the selling stockholders to sell a specified number of such shares at a stipulated price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by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may resell all or a portion of the shares in open market transactions in reliance upon Rule 144 under the Securities Act, provided that they meet the criteria and conform to the requirements of that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DESCRIPTION OF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60,000,000 shares of common stock, par value $0.01, of which 34,744,476 shares were issued and outstanding as of March 6, 2025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stockholder approval to increase the number of authorized shares of our common stock to 120,000,000, at a special meeting of stockholders expected to be held on April 11,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6, 2025, we had: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3,002,145 shares of our common stock issuable upon the exercise of outstanding stock options granted to employees, directors and consultants, with exercise prices ranging from approximately $0.005 to $15.75 and having a weighted-average exercise price of $4.19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156,585 shares of our common stock reserved for future grant under our 2017 Equity Incentive Plan;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147,217 shares of our common stock reserved for future grant under our 2020 Omnibus Performance Award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and Preferred Investment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6, 2025, we had outstanding: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51,125 shares of our common stock issuable upon the exercise of outstanding warrants expiring in October 2027, at an exercise price per share of $6.1125;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32,778 shares of our common stock issuable upon the exercise of outstanding warrants expiring in November 2026, at an exercise price per share of $2.75;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60,476 shares of our common stock issuable upon the exercise of outstanding warrants expiring in November 2026, at an exercise price per share of $2.75;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35,088 shares of our common stock issuable upon the exercise of outstanding warrants expiring in November 2026, at an exercise price per share of $2.6719;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1,075,165 shares of our common stock issuable upon the exercise of outstanding series E preferred investment options expiring in July 2029, at an exercise price per share of $1.50;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3,133,338 shares of our common stock issuable upon the exercise of outstanding series F preferred investment options expiring in June 2026, at an exercise price per share of $1.50;</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8,000,002 shares of our common stock issuable upon the exercise of outstanding series G preferred investment options expiring in January 2027, at an exercise price per share of $1.75;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7,577,100 shares of our common stock issuable upon the exercise of outstanding series H preferred investment options expiring in January 2027, at an exercise price per share of $2.10;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12,206,578 shares of our common stock issuable upon the exercise of outstanding series I preferred investment options, expiring two years after the later of (i) the Authorized Share Increase Date and (ii) the Stockholder Approval Date, at an exercise price per share of $2.13;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31,231 shares of our common stock issuable upon the exercise of outstanding warrants expiring in June 2028, at an exercise price per share of $4.0625;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84,284 shares of our common stock issuable upon the exercise of outstanding placement agent preferred investment options expiring in July 2029, at an exercise price per share of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78,333 shares of our common stock issuable upon the exercise of outstanding placement agent preferred investment options expiring in June 2026, at an exercise price per share of $1.875;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 shares of our common stock issuable upon the exercise of outstanding placement agent preferred investment options expiring in January 2027, at an exercise price per share of $2.1875;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189,428 shares of our common stock issuable upon the exercise of outstanding placement agent preferred investment options expiring in January 2027, at an exercise price per share of $2.8375;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305,164 shares of our common stock issuable upon the exercise of placement agent preferred investment options, expiring two years after the later of (i) the Authorized Share Increase Date and (ii) the Stockholder Approval Date, at an exercise price per share of $2.6625;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30,526 shares of our common stock issuable upon the exercise of placement agent preferred investment options, expiring in July 2030, at an exercise price per share of $1.875.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being registered pursuant to the Registration Statement on Form S-3 of which this prospectus forms a part, are underlying our 12,206,578 outstanding series I preferred investment options, our 305,164 outstanding placement agent preferred investment options, and our 30,526 outstanding placement agent preferred investment options. See “Prospectus Summary-Recent Developments-Registered Direct Offerings” above, for a summary of the terms of the series I preferred investment options and the placement agent preferred investment options issued concurrently therewith.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our common stock are currently quoted on the Nasdaq Capital Market under the symbol “MBOT”.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of our common stock is Computershare Trust Company, N.A. Its address is 150 Royall Street, Canton, MA 02021.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Provisions of Delaware Law and of the Company’s 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Staggered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provisions for 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stockholder action by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Super-majority stockholder vote required for certain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of Liability and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pStyle w:val="TextBody"/>
        <w:bidi w:val="0"/>
        <w:spacing w:before="0" w:after="0"/>
        <w:ind w:left="0"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breach of the director’s duty of loyalty to us or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acts or omissions not in good faith or which involve intentional misconduct or a knowing violation of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174 of the DGCL;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transaction from which the director derived an improper personal benefit.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being offered under this prospectus by us will be passed upon for us by Ruskin Moscou Faltischek, P.C., Uniondale,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Microbot Medical Inc. as of December 31, 2023 and 2022, and for each of the two years in the period ended December 31, 2023,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and file annual, quarterly and current reports, proxy statements and other information with the SEC. SEC filings are available at the SEC’s website at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2023 filed with the SEC on March 27,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Reports on Form 10-Q for the quarters ended </w:t>
            </w:r>
            <w:hyperlink r:id="rId4">
              <w:r>
                <w:rPr>
                  <w:rStyle w:val="InternetLink"/>
                  <w:rFonts w:ascii="Times New Roman;Times;Serif" w:hAnsi="Times New Roman;Times;Serif"/>
                  <w:b w:val="false"/>
                  <w:i w:val="false"/>
                  <w:caps w:val="false"/>
                  <w:smallCaps w:val="false"/>
                  <w:sz w:val="20"/>
                </w:rPr>
                <w:t>March 31, 2024</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June 30, 2024</w:t>
              </w:r>
            </w:hyperlink>
            <w:r>
              <w:rPr>
                <w:rFonts w:ascii="Times New Roman;Times;Serif" w:hAnsi="Times New Roman;Times;Serif"/>
                <w:b w:val="false"/>
                <w:i w:val="false"/>
                <w:caps w:val="false"/>
                <w:smallCaps w:val="false"/>
                <w:sz w:val="20"/>
              </w:rPr>
              <w:t xml:space="preserve">, and </w:t>
            </w:r>
            <w:hyperlink r:id="rId6">
              <w:r>
                <w:rPr>
                  <w:rStyle w:val="InternetLink"/>
                  <w:rFonts w:ascii="Times New Roman;Times;Serif" w:hAnsi="Times New Roman;Times;Serif"/>
                  <w:b w:val="false"/>
                  <w:i w:val="false"/>
                  <w:caps w:val="false"/>
                  <w:smallCaps w:val="false"/>
                  <w:sz w:val="20"/>
                </w:rPr>
                <w:t>September 30, 2024</w:t>
              </w:r>
            </w:hyperlink>
            <w:r>
              <w:rPr>
                <w:rFonts w:ascii="Times New Roman;Times;Serif" w:hAnsi="Times New Roman;Times;Serif"/>
                <w:b w:val="false"/>
                <w:i w:val="false"/>
                <w:caps w:val="false"/>
                <w:smallCaps w:val="false"/>
                <w:sz w:val="20"/>
              </w:rPr>
              <w:t>, filed with the SEC on May 15, 2024, August 14, 2024, and November 13, 2024, respectively;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7">
              <w:r>
                <w:rPr>
                  <w:rStyle w:val="InternetLink"/>
                  <w:rFonts w:ascii="Times New Roman;Times;Serif" w:hAnsi="Times New Roman;Times;Serif"/>
                  <w:b w:val="false"/>
                  <w:i w:val="false"/>
                  <w:caps w:val="false"/>
                  <w:smallCaps w:val="false"/>
                  <w:sz w:val="20"/>
                </w:rPr>
                <w:t>January 2, 2024</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January 12, 2024</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January 18, 2024</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January 30, 2024</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February 27, 2024</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April 15, 2024</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April 24, 2024</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June 3, 2024</w:t>
              </w:r>
            </w:hyperlink>
            <w:r>
              <w:rPr>
                <w:rFonts w:ascii="Times New Roman;Times;Serif" w:hAnsi="Times New Roman;Times;Serif"/>
                <w:b w:val="false"/>
                <w:i w:val="false"/>
                <w:caps w:val="false"/>
                <w:smallCaps w:val="false"/>
                <w:sz w:val="20"/>
              </w:rPr>
              <w:t xml:space="preserve">, </w:t>
            </w:r>
            <w:hyperlink r:id="rId15">
              <w:r>
                <w:rPr>
                  <w:rStyle w:val="InternetLink"/>
                  <w:rFonts w:ascii="Times New Roman;Times;Serif" w:hAnsi="Times New Roman;Times;Serif"/>
                  <w:b w:val="false"/>
                  <w:i w:val="false"/>
                  <w:caps w:val="false"/>
                  <w:smallCaps w:val="false"/>
                  <w:sz w:val="20"/>
                </w:rPr>
                <w:t>June 4, 2024</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June 17, 2024</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July 1, 2024</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July 3, 2024</w:t>
              </w:r>
            </w:hyperlink>
            <w:r>
              <w:rPr>
                <w:rFonts w:ascii="Times New Roman;Times;Serif" w:hAnsi="Times New Roman;Times;Serif"/>
                <w:b w:val="false"/>
                <w:i w:val="false"/>
                <w:caps w:val="false"/>
                <w:smallCaps w:val="false"/>
                <w:sz w:val="20"/>
              </w:rPr>
              <w:t xml:space="preserve">, </w:t>
            </w:r>
            <w:hyperlink r:id="rId19">
              <w:r>
                <w:rPr>
                  <w:rStyle w:val="InternetLink"/>
                  <w:rFonts w:ascii="Times New Roman;Times;Serif" w:hAnsi="Times New Roman;Times;Serif"/>
                  <w:b w:val="false"/>
                  <w:i w:val="false"/>
                  <w:caps w:val="false"/>
                  <w:smallCaps w:val="false"/>
                  <w:sz w:val="20"/>
                </w:rPr>
                <w:t>July 8, 2024</w:t>
              </w:r>
            </w:hyperlink>
            <w:r>
              <w:rPr>
                <w:rFonts w:ascii="Times New Roman;Times;Serif" w:hAnsi="Times New Roman;Times;Serif"/>
                <w:b w:val="false"/>
                <w:i w:val="false"/>
                <w:caps w:val="false"/>
                <w:smallCaps w:val="false"/>
                <w:sz w:val="20"/>
              </w:rPr>
              <w:t xml:space="preserve">, </w:t>
            </w:r>
            <w:hyperlink r:id="rId20">
              <w:r>
                <w:rPr>
                  <w:rStyle w:val="InternetLink"/>
                  <w:rFonts w:ascii="Times New Roman;Times;Serif" w:hAnsi="Times New Roman;Times;Serif"/>
                  <w:b w:val="false"/>
                  <w:i w:val="false"/>
                  <w:caps w:val="false"/>
                  <w:smallCaps w:val="false"/>
                  <w:sz w:val="20"/>
                </w:rPr>
                <w:t>July 9, 2024</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July 18, 2024</w:t>
              </w:r>
            </w:hyperlink>
            <w:r>
              <w:rPr>
                <w:rFonts w:ascii="Times New Roman;Times;Serif" w:hAnsi="Times New Roman;Times;Serif"/>
                <w:b w:val="false"/>
                <w:i w:val="false"/>
                <w:caps w:val="false"/>
                <w:smallCaps w:val="false"/>
                <w:sz w:val="20"/>
              </w:rPr>
              <w:t xml:space="preserve">, </w:t>
            </w:r>
            <w:hyperlink r:id="rId22">
              <w:r>
                <w:rPr>
                  <w:rStyle w:val="InternetLink"/>
                  <w:rFonts w:ascii="Times New Roman;Times;Serif" w:hAnsi="Times New Roman;Times;Serif"/>
                  <w:b w:val="false"/>
                  <w:i w:val="false"/>
                  <w:caps w:val="false"/>
                  <w:smallCaps w:val="false"/>
                  <w:sz w:val="20"/>
                </w:rPr>
                <w:t>August 1, 2024</w:t>
              </w:r>
            </w:hyperlink>
            <w:r>
              <w:rPr>
                <w:rFonts w:ascii="Times New Roman;Times;Serif" w:hAnsi="Times New Roman;Times;Serif"/>
                <w:b w:val="false"/>
                <w:i w:val="false"/>
                <w:caps w:val="false"/>
                <w:smallCaps w:val="false"/>
                <w:sz w:val="20"/>
              </w:rPr>
              <w:t xml:space="preserve">, </w:t>
            </w:r>
            <w:hyperlink r:id="rId23">
              <w:r>
                <w:rPr>
                  <w:rStyle w:val="InternetLink"/>
                  <w:rFonts w:ascii="Times New Roman;Times;Serif" w:hAnsi="Times New Roman;Times;Serif"/>
                  <w:b w:val="false"/>
                  <w:i w:val="false"/>
                  <w:caps w:val="false"/>
                  <w:smallCaps w:val="false"/>
                  <w:sz w:val="20"/>
                </w:rPr>
                <w:t>August 13, 2024</w:t>
              </w:r>
            </w:hyperlink>
            <w:r>
              <w:rPr>
                <w:rFonts w:ascii="Times New Roman;Times;Serif" w:hAnsi="Times New Roman;Times;Serif"/>
                <w:b w:val="false"/>
                <w:i w:val="false"/>
                <w:caps w:val="false"/>
                <w:smallCaps w:val="false"/>
                <w:sz w:val="20"/>
              </w:rPr>
              <w:t xml:space="preserve">, </w:t>
            </w:r>
            <w:hyperlink r:id="rId24">
              <w:r>
                <w:rPr>
                  <w:rStyle w:val="InternetLink"/>
                  <w:rFonts w:ascii="Times New Roman;Times;Serif" w:hAnsi="Times New Roman;Times;Serif"/>
                  <w:b w:val="false"/>
                  <w:i w:val="false"/>
                  <w:caps w:val="false"/>
                  <w:smallCaps w:val="false"/>
                  <w:sz w:val="20"/>
                </w:rPr>
                <w:t>August 22, 2024</w:t>
              </w:r>
            </w:hyperlink>
            <w:r>
              <w:rPr>
                <w:rFonts w:ascii="Times New Roman;Times;Serif" w:hAnsi="Times New Roman;Times;Serif"/>
                <w:b w:val="false"/>
                <w:i w:val="false"/>
                <w:caps w:val="false"/>
                <w:smallCaps w:val="false"/>
                <w:sz w:val="20"/>
              </w:rPr>
              <w:t xml:space="preserve">, </w:t>
            </w:r>
            <w:hyperlink r:id="rId25">
              <w:r>
                <w:rPr>
                  <w:rStyle w:val="InternetLink"/>
                  <w:rFonts w:ascii="Times New Roman;Times;Serif" w:hAnsi="Times New Roman;Times;Serif"/>
                  <w:b w:val="false"/>
                  <w:i w:val="false"/>
                  <w:caps w:val="false"/>
                  <w:smallCaps w:val="false"/>
                  <w:sz w:val="20"/>
                </w:rPr>
                <w:t>September 17, 2024</w:t>
              </w:r>
            </w:hyperlink>
            <w:r>
              <w:rPr>
                <w:rFonts w:ascii="Times New Roman;Times;Serif" w:hAnsi="Times New Roman;Times;Serif"/>
                <w:b w:val="false"/>
                <w:i w:val="false"/>
                <w:caps w:val="false"/>
                <w:smallCaps w:val="false"/>
                <w:sz w:val="20"/>
              </w:rPr>
              <w:t xml:space="preserve">, </w:t>
            </w:r>
            <w:hyperlink r:id="rId26">
              <w:r>
                <w:rPr>
                  <w:rStyle w:val="InternetLink"/>
                  <w:rFonts w:ascii="Times New Roman;Times;Serif" w:hAnsi="Times New Roman;Times;Serif"/>
                  <w:b w:val="false"/>
                  <w:i w:val="false"/>
                  <w:caps w:val="false"/>
                  <w:smallCaps w:val="false"/>
                  <w:sz w:val="20"/>
                </w:rPr>
                <w:t>September 30, 2024</w:t>
              </w:r>
            </w:hyperlink>
            <w:r>
              <w:rPr>
                <w:rFonts w:ascii="Times New Roman;Times;Serif" w:hAnsi="Times New Roman;Times;Serif"/>
                <w:b w:val="false"/>
                <w:i w:val="false"/>
                <w:caps w:val="false"/>
                <w:smallCaps w:val="false"/>
                <w:sz w:val="20"/>
              </w:rPr>
              <w:t xml:space="preserve">, </w:t>
            </w:r>
            <w:hyperlink r:id="rId27">
              <w:r>
                <w:rPr>
                  <w:rStyle w:val="InternetLink"/>
                  <w:rFonts w:ascii="Times New Roman;Times;Serif" w:hAnsi="Times New Roman;Times;Serif"/>
                  <w:b w:val="false"/>
                  <w:i w:val="false"/>
                  <w:caps w:val="false"/>
                  <w:smallCaps w:val="false"/>
                  <w:sz w:val="20"/>
                </w:rPr>
                <w:t>October 11, 2024</w:t>
              </w:r>
            </w:hyperlink>
            <w:r>
              <w:rPr>
                <w:rFonts w:ascii="Times New Roman;Times;Serif" w:hAnsi="Times New Roman;Times;Serif"/>
                <w:b w:val="false"/>
                <w:i w:val="false"/>
                <w:caps w:val="false"/>
                <w:smallCaps w:val="false"/>
                <w:sz w:val="20"/>
              </w:rPr>
              <w:t xml:space="preserve">, </w:t>
            </w:r>
            <w:hyperlink r:id="rId28">
              <w:r>
                <w:rPr>
                  <w:rStyle w:val="InternetLink"/>
                  <w:rFonts w:ascii="Times New Roman;Times;Serif" w:hAnsi="Times New Roman;Times;Serif"/>
                  <w:b w:val="false"/>
                  <w:i w:val="false"/>
                  <w:caps w:val="false"/>
                  <w:smallCaps w:val="false"/>
                  <w:sz w:val="20"/>
                </w:rPr>
                <w:t>October 15, 2024</w:t>
              </w:r>
            </w:hyperlink>
            <w:r>
              <w:rPr>
                <w:rFonts w:ascii="Times New Roman;Times;Serif" w:hAnsi="Times New Roman;Times;Serif"/>
                <w:b w:val="false"/>
                <w:i w:val="false"/>
                <w:caps w:val="false"/>
                <w:smallCaps w:val="false"/>
                <w:sz w:val="20"/>
              </w:rPr>
              <w:t xml:space="preserve">, </w:t>
            </w:r>
            <w:hyperlink r:id="rId29">
              <w:r>
                <w:rPr>
                  <w:rStyle w:val="InternetLink"/>
                  <w:rFonts w:ascii="Times New Roman;Times;Serif" w:hAnsi="Times New Roman;Times;Serif"/>
                  <w:b w:val="false"/>
                  <w:i w:val="false"/>
                  <w:caps w:val="false"/>
                  <w:smallCaps w:val="false"/>
                  <w:sz w:val="20"/>
                </w:rPr>
                <w:t>December 10, 2024</w:t>
              </w:r>
            </w:hyperlink>
            <w:r>
              <w:rPr>
                <w:rFonts w:ascii="Times New Roman;Times;Serif" w:hAnsi="Times New Roman;Times;Serif"/>
                <w:b w:val="false"/>
                <w:i w:val="false"/>
                <w:caps w:val="false"/>
                <w:smallCaps w:val="false"/>
                <w:sz w:val="20"/>
              </w:rPr>
              <w:t xml:space="preserve">, </w:t>
            </w:r>
            <w:hyperlink r:id="rId30">
              <w:r>
                <w:rPr>
                  <w:rStyle w:val="InternetLink"/>
                  <w:rFonts w:ascii="Times New Roman;Times;Serif" w:hAnsi="Times New Roman;Times;Serif"/>
                  <w:b w:val="false"/>
                  <w:i w:val="false"/>
                  <w:caps w:val="false"/>
                  <w:smallCaps w:val="false"/>
                  <w:sz w:val="20"/>
                </w:rPr>
                <w:t>December 19, 2024</w:t>
              </w:r>
            </w:hyperlink>
            <w:r>
              <w:rPr>
                <w:rFonts w:ascii="Times New Roman;Times;Serif" w:hAnsi="Times New Roman;Times;Serif"/>
                <w:b w:val="false"/>
                <w:i w:val="false"/>
                <w:caps w:val="false"/>
                <w:smallCaps w:val="false"/>
                <w:sz w:val="20"/>
              </w:rPr>
              <w:t xml:space="preserve">, </w:t>
            </w:r>
            <w:hyperlink r:id="rId31">
              <w:r>
                <w:rPr>
                  <w:rStyle w:val="InternetLink"/>
                  <w:rFonts w:ascii="Times New Roman;Times;Serif" w:hAnsi="Times New Roman;Times;Serif"/>
                  <w:b w:val="false"/>
                  <w:i w:val="false"/>
                  <w:caps w:val="false"/>
                  <w:smallCaps w:val="false"/>
                  <w:sz w:val="20"/>
                </w:rPr>
                <w:t>January 6, 2025</w:t>
              </w:r>
            </w:hyperlink>
            <w:r>
              <w:rPr>
                <w:rFonts w:ascii="Times New Roman;Times;Serif" w:hAnsi="Times New Roman;Times;Serif"/>
                <w:b w:val="false"/>
                <w:i w:val="false"/>
                <w:caps w:val="false"/>
                <w:smallCaps w:val="false"/>
                <w:sz w:val="20"/>
              </w:rPr>
              <w:t xml:space="preserve">, </w:t>
            </w:r>
            <w:hyperlink r:id="rId32">
              <w:r>
                <w:rPr>
                  <w:rStyle w:val="InternetLink"/>
                  <w:rFonts w:ascii="Times New Roman;Times;Serif" w:hAnsi="Times New Roman;Times;Serif"/>
                  <w:b w:val="false"/>
                  <w:i w:val="false"/>
                  <w:caps w:val="false"/>
                  <w:smallCaps w:val="false"/>
                  <w:sz w:val="20"/>
                </w:rPr>
                <w:t>January 7, 2025</w:t>
              </w:r>
            </w:hyperlink>
            <w:r>
              <w:rPr>
                <w:rFonts w:ascii="Times New Roman;Times;Serif" w:hAnsi="Times New Roman;Times;Serif"/>
                <w:b w:val="false"/>
                <w:i w:val="false"/>
                <w:caps w:val="false"/>
                <w:smallCaps w:val="false"/>
                <w:sz w:val="20"/>
              </w:rPr>
              <w:t xml:space="preserve">, </w:t>
            </w:r>
            <w:hyperlink r:id="rId33">
              <w:r>
                <w:rPr>
                  <w:rStyle w:val="InternetLink"/>
                  <w:rFonts w:ascii="Times New Roman;Times;Serif" w:hAnsi="Times New Roman;Times;Serif"/>
                  <w:b w:val="false"/>
                  <w:i w:val="false"/>
                  <w:caps w:val="false"/>
                  <w:smallCaps w:val="false"/>
                  <w:sz w:val="20"/>
                </w:rPr>
                <w:t>January 10, 2025</w:t>
              </w:r>
            </w:hyperlink>
            <w:r>
              <w:rPr>
                <w:rFonts w:ascii="Times New Roman;Times;Serif" w:hAnsi="Times New Roman;Times;Serif"/>
                <w:b w:val="false"/>
                <w:i w:val="false"/>
                <w:caps w:val="false"/>
                <w:smallCaps w:val="false"/>
                <w:sz w:val="20"/>
              </w:rPr>
              <w:t xml:space="preserve">, </w:t>
            </w:r>
            <w:hyperlink r:id="rId34">
              <w:r>
                <w:rPr>
                  <w:rStyle w:val="InternetLink"/>
                  <w:rFonts w:ascii="Times New Roman;Times;Serif" w:hAnsi="Times New Roman;Times;Serif"/>
                  <w:b w:val="false"/>
                  <w:i w:val="false"/>
                  <w:caps w:val="false"/>
                  <w:smallCaps w:val="false"/>
                  <w:sz w:val="20"/>
                </w:rPr>
                <w:t>January 24, 2025</w:t>
              </w:r>
            </w:hyperlink>
            <w:r>
              <w:rPr>
                <w:rFonts w:ascii="Times New Roman;Times;Serif" w:hAnsi="Times New Roman;Times;Serif"/>
                <w:b w:val="false"/>
                <w:i w:val="false"/>
                <w:caps w:val="false"/>
                <w:smallCaps w:val="false"/>
                <w:sz w:val="20"/>
              </w:rPr>
              <w:t xml:space="preserve">, </w:t>
            </w:r>
            <w:hyperlink r:id="rId35">
              <w:r>
                <w:rPr>
                  <w:rStyle w:val="InternetLink"/>
                  <w:rFonts w:ascii="Times New Roman;Times;Serif" w:hAnsi="Times New Roman;Times;Serif"/>
                  <w:b w:val="false"/>
                  <w:i w:val="false"/>
                  <w:caps w:val="false"/>
                  <w:smallCaps w:val="false"/>
                  <w:sz w:val="20"/>
                </w:rPr>
                <w:t>January 27, 2025</w:t>
              </w:r>
            </w:hyperlink>
            <w:r>
              <w:rPr>
                <w:rFonts w:ascii="Times New Roman;Times;Serif" w:hAnsi="Times New Roman;Times;Serif"/>
                <w:b w:val="false"/>
                <w:i w:val="false"/>
                <w:caps w:val="false"/>
                <w:smallCaps w:val="false"/>
                <w:sz w:val="20"/>
              </w:rPr>
              <w:t xml:space="preserve">, </w:t>
            </w:r>
            <w:hyperlink r:id="rId36">
              <w:r>
                <w:rPr>
                  <w:rStyle w:val="InternetLink"/>
                  <w:rFonts w:ascii="Times New Roman;Times;Serif" w:hAnsi="Times New Roman;Times;Serif"/>
                  <w:b w:val="false"/>
                  <w:i w:val="false"/>
                  <w:caps w:val="false"/>
                  <w:smallCaps w:val="false"/>
                  <w:sz w:val="20"/>
                </w:rPr>
                <w:t>February 7, 2025</w:t>
              </w:r>
            </w:hyperlink>
            <w:r>
              <w:rPr>
                <w:rFonts w:ascii="Times New Roman;Times;Serif" w:hAnsi="Times New Roman;Times;Serif"/>
                <w:b w:val="false"/>
                <w:i w:val="false"/>
                <w:caps w:val="false"/>
                <w:smallCaps w:val="false"/>
                <w:sz w:val="20"/>
              </w:rPr>
              <w:t xml:space="preserve">, </w:t>
            </w:r>
            <w:hyperlink r:id="rId37">
              <w:r>
                <w:rPr>
                  <w:rStyle w:val="InternetLink"/>
                  <w:rFonts w:ascii="Times New Roman;Times;Serif" w:hAnsi="Times New Roman;Times;Serif"/>
                  <w:b w:val="false"/>
                  <w:i w:val="false"/>
                  <w:caps w:val="false"/>
                  <w:smallCaps w:val="false"/>
                  <w:sz w:val="20"/>
                </w:rPr>
                <w:t>February 10, 2025</w:t>
              </w:r>
            </w:hyperlink>
            <w:r>
              <w:rPr>
                <w:rFonts w:ascii="Times New Roman;Times;Serif" w:hAnsi="Times New Roman;Times;Serif"/>
                <w:b w:val="false"/>
                <w:i w:val="false"/>
                <w:caps w:val="false"/>
                <w:smallCaps w:val="false"/>
                <w:sz w:val="20"/>
              </w:rPr>
              <w:t xml:space="preserve">, </w:t>
            </w:r>
            <w:hyperlink r:id="rId38">
              <w:r>
                <w:rPr>
                  <w:rStyle w:val="InternetLink"/>
                  <w:rFonts w:ascii="Times New Roman;Times;Serif" w:hAnsi="Times New Roman;Times;Serif"/>
                  <w:b w:val="false"/>
                  <w:i w:val="false"/>
                  <w:caps w:val="false"/>
                  <w:smallCaps w:val="false"/>
                  <w:sz w:val="20"/>
                </w:rPr>
                <w:t>February 11, 2025</w:t>
              </w:r>
            </w:hyperlink>
            <w:r>
              <w:rPr>
                <w:rFonts w:ascii="Times New Roman;Times;Serif" w:hAnsi="Times New Roman;Times;Serif"/>
                <w:b w:val="false"/>
                <w:i w:val="false"/>
                <w:caps w:val="false"/>
                <w:smallCaps w:val="false"/>
                <w:sz w:val="20"/>
              </w:rPr>
              <w:t xml:space="preserve">, </w:t>
            </w:r>
            <w:hyperlink r:id="rId39">
              <w:r>
                <w:rPr>
                  <w:rStyle w:val="InternetLink"/>
                  <w:rFonts w:ascii="Times New Roman;Times;Serif" w:hAnsi="Times New Roman;Times;Serif"/>
                  <w:b w:val="false"/>
                  <w:i w:val="false"/>
                  <w:caps w:val="false"/>
                  <w:smallCaps w:val="false"/>
                  <w:sz w:val="20"/>
                </w:rPr>
                <w:t>February 12, 2025</w:t>
              </w:r>
            </w:hyperlink>
            <w:r>
              <w:rPr>
                <w:rFonts w:ascii="Times New Roman;Times;Serif" w:hAnsi="Times New Roman;Times;Serif"/>
                <w:b w:val="false"/>
                <w:i w:val="false"/>
                <w:caps w:val="false"/>
                <w:smallCaps w:val="false"/>
                <w:sz w:val="20"/>
              </w:rPr>
              <w:t xml:space="preserve"> and </w:t>
            </w:r>
            <w:hyperlink r:id="rId40">
              <w:r>
                <w:rPr>
                  <w:rStyle w:val="InternetLink"/>
                  <w:rFonts w:ascii="Times New Roman;Times;Serif" w:hAnsi="Times New Roman;Times;Serif"/>
                  <w:b w:val="false"/>
                  <w:i w:val="false"/>
                  <w:caps w:val="false"/>
                  <w:smallCaps w:val="false"/>
                  <w:sz w:val="20"/>
                </w:rPr>
                <w:t>February 25, 2025</w:t>
              </w:r>
            </w:hyperlink>
            <w:r>
              <w:rPr>
                <w:rFonts w:ascii="Times New Roman;Times;Serif" w:hAnsi="Times New Roman;Times;Serif"/>
                <w:b w:val="false"/>
                <w:i w:val="false"/>
                <w:caps w:val="false"/>
                <w:smallCaps w:val="false"/>
                <w:sz w:val="20"/>
              </w:rPr>
              <w:t xml:space="preserve"> (except in each case for information contained therein which is furnished rather than filed);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Definitive Proxy Statement on </w:t>
            </w:r>
            <w:hyperlink r:id="rId41">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xml:space="preserve">, filed with the SEC on November 6, 2024 (but only with respect to information required by Part III of our Annual Report on </w:t>
            </w:r>
            <w:hyperlink r:id="rId4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2023, which information shall update and supersede information included in Part III of our Annual Report on Form 10-K for the fiscal year ended December 31, 2023);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our common stock contained in our registration statement on Form 8-A filed August 3, 1998, under the Exchange Act, including any amendment or report filed for the purpose of updating such description;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subsequently filed by us pursuant to Sections 13(a), 13(c), 14 and 15(d) of the Exchange Act, except as to any portion of any report or documents that is not deemed filed under such provisions, after the date of this prospectus and prior to the termination of this offering.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file number for each of the documents listed above is 000-19871.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Attn: Chief Financial Officer, 175 Derby St., Bld. 27, Hingham, MA 02043. You may also telephone us at (781) 875-3605.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various expenses in connection with the sale and distribution of the securities being registered, all of which are being borne by us.</w:t>
      </w:r>
    </w:p>
    <w:p>
      <w:pPr>
        <w:pStyle w:val="TextBody"/>
        <w:bidi w:val="0"/>
        <w:spacing w:before="0" w:after="0"/>
        <w:ind w:left="0" w:right="0" w:hanging="0"/>
        <w:jc w:val="left"/>
        <w:rPr>
          <w:caps w:val="false"/>
          <w:smallCaps w:val="false"/>
        </w:rPr>
      </w:pPr>
      <w:r>
        <w:rPr>
          <w:caps w:val="false"/>
          <w:smallCaps w:val="false"/>
        </w:rPr>
        <w:t> </w:t>
      </w:r>
    </w:p>
    <w:tbl>
      <w:tblPr>
        <w:tblW w:w="4155" w:type="dxa"/>
        <w:jc w:val="center"/>
        <w:tblInd w:w="0" w:type="dxa"/>
        <w:tblLayout w:type="fixed"/>
        <w:tblCellMar>
          <w:top w:w="0" w:type="dxa"/>
          <w:left w:w="0" w:type="dxa"/>
          <w:bottom w:w="0" w:type="dxa"/>
          <w:right w:w="0" w:type="dxa"/>
        </w:tblCellMar>
      </w:tblPr>
      <w:tblGrid>
        <w:gridCol w:w="2900"/>
        <w:gridCol w:w="60"/>
        <w:gridCol w:w="140"/>
        <w:gridCol w:w="980"/>
        <w:gridCol w:w="75"/>
      </w:tblGrid>
      <w:tr>
        <w:trPr/>
        <w:tc>
          <w:tcPr>
            <w:tcW w:w="2900"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2,611.50</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10,000.00</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15,000.00</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Miscellaneous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2,388.50</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30,000.00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6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to this registration statement are listed in the Exhibit Index to this registration statement, which Exhibit Index is hereby incorporated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include any material information with respect to the plan of distribution not previously disclosed in the registration statement or any material change to such information in the registration statement;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of 1933 to any purchaser:</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810" w:right="0" w:firstLine="45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ind w:left="36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Hingham, State of Massachusetts, on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March, 2025.</w:t>
      </w:r>
    </w:p>
    <w:p>
      <w:pPr>
        <w:pStyle w:val="TextBody"/>
        <w:bidi w:val="0"/>
        <w:spacing w:before="0" w:after="0"/>
        <w:ind w:left="0" w:right="0" w:firstLine="72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75"/>
        <w:gridCol w:w="320"/>
        <w:gridCol w:w="40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President and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MEN BY THESE PRESENTS, that each person whose signature appears below constitutes and appoints Harel Gadot and Rachel Vaknin and each of them such person’s true and lawful attorney-in-fact and agent, for such person and in such person’s name, place and stead, in any and all capacities, to sign any and all amendments, including post-effective amendments, to this registration statement or any registration statement relating to this offering to be effective upon filing pursuant to Rule 462(b) under the Securities Act of 1933,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such person might or could do in person, hereby ratifying and confirming all that said attorney-in-fact and agent or such person’s substitute or substitutes, may lawfully do or cause to be done by virtue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590" w:type="dxa"/>
        <w:jc w:val="left"/>
        <w:tblInd w:w="0" w:type="dxa"/>
        <w:tblLayout w:type="fixed"/>
        <w:tblCellMar>
          <w:top w:w="0" w:type="dxa"/>
          <w:left w:w="0" w:type="dxa"/>
          <w:bottom w:w="28" w:type="dxa"/>
          <w:right w:w="0" w:type="dxa"/>
        </w:tblCellMar>
      </w:tblPr>
      <w:tblGrid>
        <w:gridCol w:w="2180"/>
        <w:gridCol w:w="60"/>
        <w:gridCol w:w="3965"/>
        <w:gridCol w:w="60"/>
        <w:gridCol w:w="1325"/>
      </w:tblGrid>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10, 2025</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Harel Gadot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Rachel Vaknin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10, 2025</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Rachel Vaknin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Tal Wenderow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J. Wilson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10, 2025</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J. Wilson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Prattipati Laxminarain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10, 2025</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Prattipati Laxminarain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Scott Burell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10, 2025</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Scott Burell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Martin Madden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10, 2025</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Martin Madden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Aileen Stockburger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10, 2025</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Aileen Stockburger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Agreement and Plan of Merger and Reorganization, dated as of August 15, 2016, by and among StemCells, Inc., C&amp;RD Israel Ltd. and Microbot Medical Ltd. (incorporated by reference to the Company’s Current Report on Form 8-K filed on August 15, 2016)</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Restated Certificate of Incorporation of the Company (incorporated by reference to the Company’s Annual Report on Form 10-K for the fiscal year ended December 31, 2006 and filed on March 15, 2007).</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Certificate of Amendment to the Restated Certificate of Incorporation of the Company (incorporated by reference to the Company’s Current Report on Form 8-K filed on November 29, 2016)</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4, 2018)</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Amended and Restated By-Laws of the Company (incorporated by reference to the Company’s Current Report on Form 8-K filed on May 3, 2016)</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Certificate of Elimination (incorporated by reference to the Company’s Current Report on Form 8-K filed on December 12, 2018)</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11, 2019)</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Amendment to Section 5 of the Amended and Restated By-Laws of the Company (incorporated by reference to the Company’s Current Report on Form 8-K filed on May 3, 2021)</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Description of the Company’s Securities (incorporated by reference to the Registrant’s Annual Report on Form 10-K for the fiscal year ended December 31, 2019)</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Form of Series A Warrant (incorporated by reference to the Registrant’s Current Report on Form 8-K filed on October 25, 2022)</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October 25, 2022)</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May 23,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May 24,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Form of Warrant Amendment Agreement (incorporated by reference to the Registrant’s Current Report on Form 8-K filed on May 24,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Form of Series C Warrant (incorporated by reference to the Registrant’s Current Report on Form 8-K filed on June 6,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June 6,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Form of Series D Warrant (incorporated by reference to the Registrant’s Current Report on Form 8-K filed on June 28,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June 28,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Form of Inducement Investment Option (incorporated by reference to the Registrant’s Current Report on Form 8-K filed on January 2, 2024)</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2, 2024)</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Form of Series F Preferred Investment Option (incorporated by reference to the Registrant’s Current Report on Form 8-K filed on June 4, 2024)</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June 4, 2024)</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Form of Series G Preferred Investment Option (incorporated by reference to the Registrant’s Current Report on Form 8-K filed on January 7,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66">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7,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67">
              <w:r>
                <w:rPr>
                  <w:rStyle w:val="InternetLink"/>
                  <w:rFonts w:ascii="Times New Roman;Times;Serif" w:hAnsi="Times New Roman;Times;Serif"/>
                  <w:b w:val="false"/>
                  <w:i w:val="false"/>
                  <w:caps w:val="false"/>
                  <w:smallCaps w:val="false"/>
                  <w:sz w:val="20"/>
                </w:rPr>
                <w:t>Form of Series H Preferred Investment Option (incorporated by reference to the Registrant’s Current Report on Form 8-K filed on January 10,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68">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10,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69">
              <w:r>
                <w:rPr>
                  <w:rStyle w:val="InternetLink"/>
                  <w:rFonts w:ascii="Times New Roman;Times;Serif" w:hAnsi="Times New Roman;Times;Serif"/>
                  <w:b w:val="false"/>
                  <w:i w:val="false"/>
                  <w:caps w:val="false"/>
                  <w:smallCaps w:val="false"/>
                  <w:sz w:val="20"/>
                </w:rPr>
                <w:t>Form of Series I Preferred Investment Option (incorporated by reference to the Registrant’s Current Report on Form 8-K filed on February 11,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70">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February 11,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shd w:fill="FFFFFF" w:val="clear"/>
                </w:rPr>
                <w:t>Opinion of Ruskin Moscou Faltischek, P.C.</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Ruskin Moscou Faltischek, P.C. (contained in Exhibit 5.1)</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w:anchor="ex23-2.htm">
              <w:r>
                <w:rPr>
                  <w:rStyle w:val="InternetLink"/>
                  <w:rFonts w:ascii="Times New Roman;Times;Serif" w:hAnsi="Times New Roman;Times;Serif"/>
                  <w:b w:val="false"/>
                  <w:i w:val="false"/>
                  <w:caps w:val="false"/>
                  <w:smallCaps w:val="false"/>
                  <w:sz w:val="20"/>
                  <w:shd w:fill="FFFFFF" w:val="clear"/>
                </w:rPr>
                <w:t>Consent of Brightman Almagor Zohar &amp; Co., a firm in the Deloitte Global Network</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rPr>
                <w:t>Power of Attorney (included on the signature page hereto)</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righ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5" w:name="ex5-1.htm"/>
      <w:bookmarkStart w:id="16" w:name="ksex51"/>
      <w:bookmarkEnd w:id="15"/>
      <w:bookmarkEnd w:id="16"/>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2781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1"/>
                    <a:stretch>
                      <a:fillRect/>
                    </a:stretch>
                  </pic:blipFill>
                  <pic:spPr bwMode="auto">
                    <a:xfrm>
                      <a:off x="0" y="0"/>
                      <a:ext cx="2857500" cy="27813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1400" w:type="dxa"/>
        <w:jc w:val="left"/>
        <w:tblInd w:w="0" w:type="dxa"/>
        <w:tblLayout w:type="fixed"/>
        <w:tblCellMar>
          <w:top w:w="0" w:type="dxa"/>
          <w:left w:w="0" w:type="dxa"/>
          <w:bottom w:w="0" w:type="dxa"/>
          <w:right w:w="0" w:type="dxa"/>
        </w:tblCellMar>
      </w:tblPr>
      <w:tblGrid>
        <w:gridCol w:w="75"/>
        <w:gridCol w:w="13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10,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 Grove Street, Suite 388</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Braintree, MA 02184</w:t>
      </w:r>
    </w:p>
    <w:p>
      <w:pPr>
        <w:pStyle w:val="TextBody"/>
        <w:bidi w:val="0"/>
        <w:spacing w:before="0" w:after="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75"/>
        <w:gridCol w:w="305"/>
        <w:gridCol w:w="2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on Form S-3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Microbot Medical Inc. (the “Company”) in connection with the preparation and filing of that certain Registration Statement on Form S-3 (the “Registration Statement”) filed on the date hereof with the Securities and Exchange Commission (the “SEC”) under the Securities Act of 1933, as amended, with respect to the registration of the resale of an aggregate of up to 12,542,268 shares (the “Shares”) of the Company’s common stock, $0.01 par value per share, issuable upon the exercise in full of outstanding investment options of the Company (the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being registered on behalf of certain persons or entities identified in the Registration Statement. The offering of the Shares will be as set forth in the prospectus contained in the Registration Statement, and as supplemented by one or more supplements to the prospectus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counsel to the Company, we have examined the originals or copies of such documents, corporate records and other instruments and undertaken such further inquiry as we have deemed necessary or appropriate for purposes of this opinion, including, but not limited to, the Registration Statement, corporate resolutions authorizing the issuance of the Shares and the Certificate of Incorporation and Bylaws of the Company, including amendments thereto. In such examination, we have assumed the following: (a) the authenticity of original documents and the genuineness of all signatures; (b) the legal capacity of all natural persons, the accuracy and completeness of all documents submitted to us; (c) the conformity to the originals of all documents submitted to us as copies; (d) the genuineness of all signatures contained in the records, documents, instruments and certificates we have reviewed; and (e) the truth, accuracy and completeness of the information, representations and warranties contained in the records, documents, instruments and certificates we have reviewed. This opinion letter is given, and all statements herein are made, in the context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Based on and subject to the foregoing, we are of the opinion that the Shares, when issued upon exercise of the Options in accordance with the terms thereof, are or </w:t>
      </w:r>
      <w:r>
        <w:rPr>
          <w:rFonts w:ascii="Times New Roman;Times;Serif" w:hAnsi="Times New Roman;Times;Serif"/>
          <w:b w:val="false"/>
          <w:i w:val="false"/>
          <w:caps w:val="false"/>
          <w:smallCaps w:val="false"/>
          <w:sz w:val="20"/>
        </w:rPr>
        <w:t>will be duly and validly authorized</w:t>
      </w:r>
      <w:r>
        <w:rPr>
          <w:rFonts w:ascii="Times New Roman;Times;Serif" w:hAnsi="Times New Roman;Times;Serif"/>
          <w:b w:val="false"/>
          <w:i w:val="false"/>
          <w:caps w:val="false"/>
          <w:smallCaps w:val="false"/>
          <w:sz w:val="20"/>
          <w:shd w:fill="FFFFFF" w:val="clear"/>
        </w:rPr>
        <w:t>, validly issued, fully paid and non-assessable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10, 2025</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herein is as of the date hereof. We assume no obligation to advise you of changes that may hereafter be brought to our attention. We are members of the Bar of the State of New York. We do not express any opinion concerning the laws of any jurisdiction other than (i) the State of New York, (ii) the Federal laws of the United States and (iii) the Delaware General Corporation Law. Our opinion is based on statutory laws and judicial decisions that are in effect on the date hereof, and we do not opine with respect to any law, regulation, rule or governmental policy that may be enacted or adopted after the date hereof, nor do we assume any responsibility to advise you of future changes in our opinion. We do not express an opinion on any matters other than those expressly set forth in this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opinion is expressed herein with respect to the qualification of the Shares under the securities or blue sky laws of any state or any foreign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and filing of this opinion as an exhibit to the Registration Statement as filed with the Securities and Exchange Commission and to the reference to our firm under the heading “Legal Matters” in the Prospectus and the Registration Statement. In giving this consent, we do not admit that we are within the category of persons whose consent is required under Section 7 of the Act or the rules and regulations of the Securities and Exchange Commission promulgated thereunder.</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3320" w:type="dxa"/>
        <w:jc w:val="left"/>
        <w:tblInd w:w="0" w:type="dxa"/>
        <w:tblLayout w:type="fixed"/>
        <w:tblCellMar>
          <w:top w:w="0" w:type="dxa"/>
          <w:left w:w="0" w:type="dxa"/>
          <w:bottom w:w="0" w:type="dxa"/>
          <w:right w:w="0" w:type="dxa"/>
        </w:tblCellMar>
      </w:tblPr>
      <w:tblGrid>
        <w:gridCol w:w="75"/>
        <w:gridCol w:w="32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Ruskin Moscou Faltischek PC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RUSKIN MOSCOU FALTISCHEK, P.C.</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7" w:name="ex23-2.htm"/>
      <w:bookmarkStart w:id="18" w:name="ksex232"/>
      <w:bookmarkEnd w:id="17"/>
      <w:bookmarkEnd w:id="1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our report dated March 27, 2024 relating to the financial statements of Microbot Medical Inc. appearing in the Annual Report on Form 10-K of Microbot Medical Inc. for the year ended December 31, 2023. We also consent to the reference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Brightman Almagor Zohar &amp;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Brightman Almagor Zohar &amp;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Firm in the Deloitte Global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10, 2025</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9" w:name="ex107.htm"/>
      <w:bookmarkStart w:id="20" w:name="ksex107"/>
      <w:bookmarkEnd w:id="19"/>
      <w:bookmarkEnd w:id="2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1: Newly Registered and Carry Forward Securities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42"/>
        <w:gridCol w:w="60"/>
        <w:gridCol w:w="783"/>
        <w:gridCol w:w="60"/>
        <w:gridCol w:w="60"/>
        <w:gridCol w:w="1122"/>
        <w:gridCol w:w="60"/>
        <w:gridCol w:w="60"/>
        <w:gridCol w:w="153"/>
        <w:gridCol w:w="857"/>
        <w:gridCol w:w="177"/>
        <w:gridCol w:w="60"/>
        <w:gridCol w:w="61"/>
        <w:gridCol w:w="968"/>
        <w:gridCol w:w="60"/>
        <w:gridCol w:w="60"/>
        <w:gridCol w:w="224"/>
        <w:gridCol w:w="683"/>
        <w:gridCol w:w="60"/>
        <w:gridCol w:w="60"/>
        <w:gridCol w:w="125"/>
        <w:gridCol w:w="950"/>
        <w:gridCol w:w="60"/>
        <w:gridCol w:w="60"/>
        <w:gridCol w:w="60"/>
        <w:gridCol w:w="1010"/>
        <w:gridCol w:w="60"/>
        <w:gridCol w:w="60"/>
        <w:gridCol w:w="154"/>
        <w:gridCol w:w="916"/>
        <w:gridCol w:w="80"/>
      </w:tblGrid>
      <w:tr>
        <w:trPr/>
        <w:tc>
          <w:tcPr>
            <w:tcW w:w="104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Type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br/>
              <w:t>Class Title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w:t>
              <w:br/>
              <w:t>Calculation</w:t>
              <w:br/>
              <w:t>Rule or</w:t>
              <w:br/>
              <w:t>Carry</w:t>
              <w:br/>
              <w:t>Forward</w:t>
              <w:br/>
              <w:t>Rule</w:t>
            </w:r>
          </w:p>
        </w:tc>
        <w:tc>
          <w:tcPr>
            <w:tcW w:w="1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br/>
              <w:t xml:space="preserve">Registered </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w:t>
              <w:br/>
              <w:t>Maximum</w:t>
              <w:br/>
              <w:t>Offering</w:t>
              <w:br/>
              <w:t>Price</w:t>
              <w:br/>
              <w:t>Per Unit</w:t>
            </w:r>
            <w:r>
              <w:rPr>
                <w:rFonts w:ascii="Times New Roman;Times;Serif" w:hAnsi="Times New Roman;Times;Serif"/>
                <w:b/>
                <w:i w:val="false"/>
                <w:caps w:val="false"/>
                <w:smallCaps w:val="false"/>
                <w:position w:val="7"/>
                <w:sz w:val="16"/>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br/>
              <w:t>Aggregate</w:t>
              <w:br/>
              <w:t>Offering</w:t>
              <w:br/>
              <w:t>Price</w:t>
            </w:r>
            <w:r>
              <w:rPr>
                <w:rFonts w:ascii="Times New Roman;Times;Serif" w:hAnsi="Times New Roman;Times;Serif"/>
                <w:b/>
                <w:i w:val="false"/>
                <w:caps w:val="false"/>
                <w:smallCaps w:val="false"/>
                <w:position w:val="7"/>
                <w:sz w:val="16"/>
                <w:sz w:val="20"/>
              </w:rPr>
              <w:t xml:space="preserve">(1)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 Rate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Registration</w:t>
              <w:br/>
              <w:t>Fee</w:t>
            </w:r>
            <w:r>
              <w:rPr>
                <w:rFonts w:ascii="Times New Roman;Times;Serif" w:hAnsi="Times New Roman;Times;Serif"/>
                <w:b/>
                <w:i w:val="false"/>
                <w:caps w:val="false"/>
                <w:smallCaps w:val="false"/>
                <w:position w:val="7"/>
                <w:sz w:val="16"/>
                <w:sz w:val="20"/>
              </w:rPr>
              <w:t>(2)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to be Paid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Stock, $0.01 par value per share </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w:t>
            </w:r>
          </w:p>
        </w:tc>
        <w:tc>
          <w:tcPr>
            <w:tcW w:w="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12,542,268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17,433,753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0.00015310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2,669.11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Previously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 Forward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55" w:type="dxa"/>
            <w:gridSpan w:val="8"/>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Offering Amounts</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17,433,753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0.00015310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2,669.11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55" w:type="dxa"/>
            <w:gridSpan w:val="8"/>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Fee Offsets</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55" w:type="dxa"/>
            <w:gridSpan w:val="8"/>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Fee Due</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2,669.11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416 under the Securities Act, this registration statement shall also cover any additional shares of the registrant’s securities that become issuable by reason of any share splits, share dividends or similar transactions.</w:t>
            </w:r>
          </w:p>
        </w:tc>
      </w:tr>
      <w:tr>
        <w:trPr/>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in accordance with Rules 457(c) solely for purposes of calculating the registration fee, based on the average of the high and low prices of the Registrant’s common stock as reported on the Nasdaq Capital Market on March 6, 2025 ($1.39 per share of common stock).</w:t>
            </w:r>
          </w:p>
        </w:tc>
      </w:tr>
      <w:tr>
        <w:trPr/>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an aggregate of 12,542,268 shares of the Registrant’s common stock issuable upon the exercise of outstanding investment options of the Registrant.</w:t>
            </w:r>
          </w:p>
        </w:tc>
      </w:tr>
    </w:tbl>
    <w:p>
      <w:pPr>
        <w:pStyle w:val="TextBody"/>
        <w:bidi w:val="0"/>
        <w:spacing w:before="0" w:after="0"/>
        <w:ind w:left="36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36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83975/000149315224011521/form10-k.htm" TargetMode="External"/><Relationship Id="rId4" Type="http://schemas.openxmlformats.org/officeDocument/2006/relationships/hyperlink" Target="https://www.sec.gov/Archives/edgar/data/883975/000149315224019535/form10-q.htm" TargetMode="External"/><Relationship Id="rId5" Type="http://schemas.openxmlformats.org/officeDocument/2006/relationships/hyperlink" Target="https://www.sec.gov/Archives/edgar/data/883975/000149315224032031/form10-q.htm" TargetMode="External"/><Relationship Id="rId6" Type="http://schemas.openxmlformats.org/officeDocument/2006/relationships/hyperlink" Target="https://www.sec.gov/Archives/edgar/data/883975/000149315224045136/form10-q.htm" TargetMode="External"/><Relationship Id="rId7" Type="http://schemas.openxmlformats.org/officeDocument/2006/relationships/hyperlink" Target="https://www.sec.gov/Archives/edgar/data/883975/000149315224000109/form8-k.htm" TargetMode="External"/><Relationship Id="rId8" Type="http://schemas.openxmlformats.org/officeDocument/2006/relationships/hyperlink" Target="https://www.sec.gov/Archives/edgar/data/883975/000149315224002201/form8-k.htm" TargetMode="External"/><Relationship Id="rId9" Type="http://schemas.openxmlformats.org/officeDocument/2006/relationships/hyperlink" Target="https://www.sec.gov/Archives/edgar/data/883975/000149315224002827/form8-k.htm" TargetMode="External"/><Relationship Id="rId10" Type="http://schemas.openxmlformats.org/officeDocument/2006/relationships/hyperlink" Target="https://www.sec.gov/Archives/edgar/data/883975/000149315224004231/form8-k.htm" TargetMode="External"/><Relationship Id="rId11" Type="http://schemas.openxmlformats.org/officeDocument/2006/relationships/hyperlink" Target="https://www.sec.gov/Archives/edgar/data/883975/000149315224007874/form8-k.htm" TargetMode="External"/><Relationship Id="rId12" Type="http://schemas.openxmlformats.org/officeDocument/2006/relationships/hyperlink" Target="https://www.sec.gov/Archives/edgar/data/883975/000149315224014554/form8-k.htm" TargetMode="External"/><Relationship Id="rId13" Type="http://schemas.openxmlformats.org/officeDocument/2006/relationships/hyperlink" Target="https://www.sec.gov/Archives/edgar/data/883975/000149315224015810/form8-k.htm" TargetMode="External"/><Relationship Id="rId14" Type="http://schemas.openxmlformats.org/officeDocument/2006/relationships/hyperlink" Target="https://www.sec.gov/Archives/edgar/data/883975/000149315224022309/form8-k.htm" TargetMode="External"/><Relationship Id="rId15" Type="http://schemas.openxmlformats.org/officeDocument/2006/relationships/hyperlink" Target="https://www.sec.gov/Archives/edgar/data/883975/000149315224022560/form8-k.htm" TargetMode="External"/><Relationship Id="rId16" Type="http://schemas.openxmlformats.org/officeDocument/2006/relationships/hyperlink" Target="https://www.sec.gov/Archives/edgar/data/883975/000149315224024041/form8-k.htm" TargetMode="External"/><Relationship Id="rId17" Type="http://schemas.openxmlformats.org/officeDocument/2006/relationships/hyperlink" Target="https://www.sec.gov/Archives/edgar/data/883975/000149315224025813/form8-k.htm" TargetMode="External"/><Relationship Id="rId18" Type="http://schemas.openxmlformats.org/officeDocument/2006/relationships/hyperlink" Target="https://www.sec.gov/Archives/edgar/data/883975/000149315224026135/form8-k.htm" TargetMode="External"/><Relationship Id="rId19" Type="http://schemas.openxmlformats.org/officeDocument/2006/relationships/hyperlink" Target="https://www.sec.gov/Archives/edgar/data/883975/000149315224026426/form8-k.htm" TargetMode="External"/><Relationship Id="rId20" Type="http://schemas.openxmlformats.org/officeDocument/2006/relationships/hyperlink" Target="https://www.sec.gov/Archives/edgar/data/883975/000149315224026574/form8-k.htm" TargetMode="External"/><Relationship Id="rId21" Type="http://schemas.openxmlformats.org/officeDocument/2006/relationships/hyperlink" Target="https://www.sec.gov/Archives/edgar/data/883975/000149315224028281/form8-k.htm" TargetMode="External"/><Relationship Id="rId22" Type="http://schemas.openxmlformats.org/officeDocument/2006/relationships/hyperlink" Target="https://www.sec.gov/Archives/edgar/data/883975/000149315224029869/form8-k.htm" TargetMode="External"/><Relationship Id="rId23" Type="http://schemas.openxmlformats.org/officeDocument/2006/relationships/hyperlink" Target="https://www.sec.gov/Archives/edgar/data/883975/000149315224031474/form8-k.htm" TargetMode="External"/><Relationship Id="rId24" Type="http://schemas.openxmlformats.org/officeDocument/2006/relationships/hyperlink" Target="https://www.sec.gov/Archives/edgar/data/883975/000149315224033503/form8-k.htm" TargetMode="External"/><Relationship Id="rId25" Type="http://schemas.openxmlformats.org/officeDocument/2006/relationships/hyperlink" Target="https://www.sec.gov/Archives/edgar/data/883975/000149315224036539/form8-k.htm" TargetMode="External"/><Relationship Id="rId26" Type="http://schemas.openxmlformats.org/officeDocument/2006/relationships/hyperlink" Target="https://www.sec.gov/Archives/edgar/data/883975/000149315224038702/form8-k.htm" TargetMode="External"/><Relationship Id="rId27" Type="http://schemas.openxmlformats.org/officeDocument/2006/relationships/hyperlink" Target="https://www.sec.gov/Archives/edgar/data/883975/000149315224040913/form8-k.htm" TargetMode="External"/><Relationship Id="rId28" Type="http://schemas.openxmlformats.org/officeDocument/2006/relationships/hyperlink" Target="https://www.sec.gov/Archives/edgar/data/883975/000149315224041048/form8-k.htm" TargetMode="External"/><Relationship Id="rId29" Type="http://schemas.openxmlformats.org/officeDocument/2006/relationships/hyperlink" Target="https://www.sec.gov/Archives/edgar/data/883975/000149315224049368/form8-k.htm" TargetMode="External"/><Relationship Id="rId30" Type="http://schemas.openxmlformats.org/officeDocument/2006/relationships/hyperlink" Target="https://www.sec.gov/Archives/edgar/data/883975/000149315224050799/form8-k.htm" TargetMode="External"/><Relationship Id="rId31" Type="http://schemas.openxmlformats.org/officeDocument/2006/relationships/hyperlink" Target="https://www.sec.gov/Archives/edgar/data/883975/000149315225000366/form8-k.htm" TargetMode="External"/><Relationship Id="rId32" Type="http://schemas.openxmlformats.org/officeDocument/2006/relationships/hyperlink" Target="https://www.sec.gov/Archives/edgar/data/883975/000149315225001133/form8-k.htm" TargetMode="External"/><Relationship Id="rId33" Type="http://schemas.openxmlformats.org/officeDocument/2006/relationships/hyperlink" Target="https://www.sec.gov/Archives/edgar/data/883975/000149315225001559/form8-k.htm" TargetMode="External"/><Relationship Id="rId34" Type="http://schemas.openxmlformats.org/officeDocument/2006/relationships/hyperlink" Target="https://www.sec.gov/Archives/edgar/data/883975/000149315225003582/form8-k.htm" TargetMode="External"/><Relationship Id="rId35" Type="http://schemas.openxmlformats.org/officeDocument/2006/relationships/hyperlink" Target="https://www.sec.gov/Archives/edgar/data/883975/000149315225003818/form8-k.htm" TargetMode="External"/><Relationship Id="rId36" Type="http://schemas.openxmlformats.org/officeDocument/2006/relationships/hyperlink" Target="https://www.sec.gov/Archives/edgar/data/883975/000149315225005410/form8-k.htm" TargetMode="External"/><Relationship Id="rId37" Type="http://schemas.openxmlformats.org/officeDocument/2006/relationships/hyperlink" Target="https://www.sec.gov/Archives/edgar/data/883975/000149315225005489/form8-k.htm" TargetMode="External"/><Relationship Id="rId38" Type="http://schemas.openxmlformats.org/officeDocument/2006/relationships/hyperlink" Target="https://www.sec.gov/Archives/edgar/data/883975/000149315225005820/form8-k.htm" TargetMode="External"/><Relationship Id="rId39" Type="http://schemas.openxmlformats.org/officeDocument/2006/relationships/hyperlink" Target="https://www.sec.gov/Archives/edgar/data/883975/000149315225005967/form8-k.htm" TargetMode="External"/><Relationship Id="rId40" Type="http://schemas.openxmlformats.org/officeDocument/2006/relationships/hyperlink" Target="https://www.sec.gov/Archives/edgar/data/883975/000149315225008140/form8-k.htm" TargetMode="External"/><Relationship Id="rId41" Type="http://schemas.openxmlformats.org/officeDocument/2006/relationships/hyperlink" Target="https://www.sec.gov/Archives/edgar/data/883975/000149315224043762/def14a.htm" TargetMode="External"/><Relationship Id="rId42" Type="http://schemas.openxmlformats.org/officeDocument/2006/relationships/hyperlink" Target="https://www.sec.gov/Archives/edgar/data/883975/000149315224011521/form10-k.htm" TargetMode="External"/><Relationship Id="rId43" Type="http://schemas.openxmlformats.org/officeDocument/2006/relationships/hyperlink" Target="https://www.sec.gov/Archives/edgar/data/883975/000119312516682077/d161430dex21.htm" TargetMode="External"/><Relationship Id="rId44" Type="http://schemas.openxmlformats.org/officeDocument/2006/relationships/hyperlink" Target="https://www.sec.gov/Archives/edgar/data/883975/000095013407005808/f27726exv3w1.htm" TargetMode="External"/><Relationship Id="rId45" Type="http://schemas.openxmlformats.org/officeDocument/2006/relationships/hyperlink" Target="https://www.sec.gov/Archives/edgar/data/883975/000119312516779597/d296933dex31.htm" TargetMode="External"/><Relationship Id="rId46" Type="http://schemas.openxmlformats.org/officeDocument/2006/relationships/hyperlink" Target="https://www.sec.gov/Archives/edgar/data/883975/000149315218012872/ex3-1.htm" TargetMode="External"/><Relationship Id="rId47" Type="http://schemas.openxmlformats.org/officeDocument/2006/relationships/hyperlink" Target="https://www.sec.gov/Archives/edgar/data/883975/000129993316002374/exhibit1.htm" TargetMode="External"/><Relationship Id="rId48" Type="http://schemas.openxmlformats.org/officeDocument/2006/relationships/hyperlink" Target="https://www.sec.gov/Archives/edgar/data/883975/000149315218017395/ex3-1.htm" TargetMode="External"/><Relationship Id="rId49" Type="http://schemas.openxmlformats.org/officeDocument/2006/relationships/hyperlink" Target="https://www.sec.gov/Archives/edgar/data/883975/000149315219013998/ex3-1.htm" TargetMode="External"/><Relationship Id="rId50" Type="http://schemas.openxmlformats.org/officeDocument/2006/relationships/hyperlink" Target="https://www.sec.gov/Archives/edgar/data/883975/000149315221010347/ex3-1.htm" TargetMode="External"/><Relationship Id="rId51" Type="http://schemas.openxmlformats.org/officeDocument/2006/relationships/hyperlink" Target="https://www.sec.gov/Archives/edgar/data/883975/000149315220006338/ex4-10.htm" TargetMode="External"/><Relationship Id="rId52" Type="http://schemas.openxmlformats.org/officeDocument/2006/relationships/hyperlink" Target="https://www.sec.gov/Archives/edgar/data/883975/000149315222029541/ex4-2.htm" TargetMode="External"/><Relationship Id="rId53" Type="http://schemas.openxmlformats.org/officeDocument/2006/relationships/hyperlink" Target="https://www.sec.gov/Archives/edgar/data/883975/000149315222029541/ex4-4.htm" TargetMode="External"/><Relationship Id="rId54" Type="http://schemas.openxmlformats.org/officeDocument/2006/relationships/hyperlink" Target="https://www.sec.gov/Archives/edgar/data/883975/000149315223018718/ex4-1.htm" TargetMode="External"/><Relationship Id="rId55" Type="http://schemas.openxmlformats.org/officeDocument/2006/relationships/hyperlink" Target="https://www.sec.gov/Archives/edgar/data/883975/000149315223018932/ex4-2.htm" TargetMode="External"/><Relationship Id="rId56" Type="http://schemas.openxmlformats.org/officeDocument/2006/relationships/hyperlink" Target="https://www.sec.gov/Archives/edgar/data/883975/000149315223018932/ex10-2.htm" TargetMode="External"/><Relationship Id="rId57" Type="http://schemas.openxmlformats.org/officeDocument/2006/relationships/hyperlink" Target="https://www.sec.gov/Archives/edgar/data/883975/000149315223020309/ex4-1.htm" TargetMode="External"/><Relationship Id="rId58" Type="http://schemas.openxmlformats.org/officeDocument/2006/relationships/hyperlink" Target="https://www.sec.gov/Archives/edgar/data/883975/000149315223020309/ex4-2.htm" TargetMode="External"/><Relationship Id="rId59" Type="http://schemas.openxmlformats.org/officeDocument/2006/relationships/hyperlink" Target="https://www.sec.gov/Archives/edgar/data/883975/000149315223022814/ex4-1.htm" TargetMode="External"/><Relationship Id="rId60" Type="http://schemas.openxmlformats.org/officeDocument/2006/relationships/hyperlink" Target="https://www.sec.gov/Archives/edgar/data/883975/000149315223022814/ex4-2.htm" TargetMode="External"/><Relationship Id="rId61" Type="http://schemas.openxmlformats.org/officeDocument/2006/relationships/hyperlink" Target="https://www.sec.gov/Archives/edgar/data/883975/000149315224000109/ex4-1.htm" TargetMode="External"/><Relationship Id="rId62" Type="http://schemas.openxmlformats.org/officeDocument/2006/relationships/hyperlink" Target="https://www.sec.gov/Archives/edgar/data/883975/000149315224000109/ex4-2.htm" TargetMode="External"/><Relationship Id="rId63" Type="http://schemas.openxmlformats.org/officeDocument/2006/relationships/hyperlink" Target="https://www.sec.gov/Archives/edgar/data/883975/000149315224022560/ex4-1.htm" TargetMode="External"/><Relationship Id="rId64" Type="http://schemas.openxmlformats.org/officeDocument/2006/relationships/hyperlink" Target="https://www.sec.gov/Archives/edgar/data/883975/000149315224022560/ex4-2.htm" TargetMode="External"/><Relationship Id="rId65" Type="http://schemas.openxmlformats.org/officeDocument/2006/relationships/hyperlink" Target="https://www.sec.gov/Archives/edgar/data/883975/000149315225001133/ex4-1.htm" TargetMode="External"/><Relationship Id="rId66" Type="http://schemas.openxmlformats.org/officeDocument/2006/relationships/hyperlink" Target="https://www.sec.gov/Archives/edgar/data/883975/000149315225001133/ex4-2.htm" TargetMode="External"/><Relationship Id="rId67" Type="http://schemas.openxmlformats.org/officeDocument/2006/relationships/hyperlink" Target="https://www.sec.gov/Archives/edgar/data/883975/000149315225001559/ex4-1.htm" TargetMode="External"/><Relationship Id="rId68" Type="http://schemas.openxmlformats.org/officeDocument/2006/relationships/hyperlink" Target="https://www.sec.gov/Archives/edgar/data/883975/000149315225001559/ex4-2.htm" TargetMode="External"/><Relationship Id="rId69" Type="http://schemas.openxmlformats.org/officeDocument/2006/relationships/hyperlink" Target="https://www.sec.gov/ix?doc=/Archives/edgar/data/883975/000149315225005820/form8-k.htm" TargetMode="External"/><Relationship Id="rId70" Type="http://schemas.openxmlformats.org/officeDocument/2006/relationships/hyperlink" Target="https://www.sec.gov/ix?doc=/Archives/edgar/data/883975/000149315225005820/form8-k.htm" TargetMode="External"/><Relationship Id="rId71" Type="http://schemas.openxmlformats.org/officeDocument/2006/relationships/image" Target="media/image2.jpeg"/><Relationship Id="rId72" Type="http://schemas.openxmlformats.org/officeDocument/2006/relationships/fontTable" Target="fontTable.xml"/><Relationship Id="rId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17971</Words>
  <Characters>96732</Characters>
  <CharactersWithSpaces>115006</CharactersWithSpaces>
  <Paragraphs>1728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