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333-277190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April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1,005,965 Shares of Common Stock</w:t>
      </w:r>
    </w:p>
    <w:p>
      <w:pPr>
        <w:spacing w:after="0" w:line="229"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April 3, 2024, as supplemented (the “Prospectus”), relating to the resale of up to 1,005,965 shares of our common stock, $0.01 par value per share, representing shares held by the selling stockholders named in the Prospectus, including their transferees, pledgees, donees or successors.</w:t>
      </w:r>
    </w:p>
    <w:p>
      <w:pPr>
        <w:spacing w:after="0" w:line="176"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July 8, 2024, the closing price of our common stock was $1.08.</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amendment, dated July 1, 2024, to our At The Market Offering Agreement with H.C. Wainwright &amp; Co., LLC dated June 10, 2021, relating to the offer and sale of shares of our common stock having an aggregate offering price of up to $4,819,905 from time to time through Wainwright, acting as sales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w:t>
      </w:r>
    </w:p>
    <w:p>
      <w:pPr>
        <w:sectPr>
          <w:pgSz w:w="11900" w:h="16838" w:orient="portrait"/>
          <w:cols w:equalWidth="0" w:num="1">
            <w:col w:w="11240"/>
          </w:cols>
          <w:pgMar w:left="320" w:top="657" w:right="339" w:bottom="1440" w:gutter="0" w:footer="0" w:header="0"/>
        </w:sectPr>
      </w:pPr>
    </w:p>
    <w:p>
      <w:pPr>
        <w:spacing w:after="0" w:line="2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as part of our Investigational Device Exemption (“IDE”)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Hospital, Boston, Massachusetts, and Baptist Hospital of Miami, which includes Miami participating as clinical trial sites for the pivotal human clinical trial.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hanging="60"/>
        <w:spacing w:after="0" w:line="282" w:lineRule="auto"/>
        <w:rPr>
          <w:sz w:val="20"/>
          <w:szCs w:val="20"/>
          <w:color w:val="auto"/>
        </w:rPr>
      </w:pPr>
      <w:r>
        <w:rPr>
          <w:rFonts w:ascii="Times New Roman" w:cs="Times New Roman" w:eastAsia="Times New Roman" w:hAnsi="Times New Roman"/>
          <w:sz w:val="18"/>
          <w:szCs w:val="18"/>
          <w:color w:val="auto"/>
        </w:rPr>
        <w:t>Endovascular Robotic Surgical System. Brigham and Women’s Cardiac &amp; Vascular Institute and Miami Cancer Institute, are</w:t>
      </w:r>
    </w:p>
    <w:p>
      <w:pPr>
        <w:spacing w:after="0" w:line="379" w:lineRule="exact"/>
        <w:rPr>
          <w:sz w:val="20"/>
          <w:szCs w:val="20"/>
          <w:color w:val="auto"/>
        </w:rPr>
      </w:pPr>
    </w:p>
    <w:p>
      <w:pPr>
        <w:sectPr>
          <w:pgSz w:w="11900" w:h="16838" w:orient="portrait"/>
          <w:cols w:equalWidth="0" w:num="2">
            <w:col w:w="6580" w:space="80"/>
            <w:col w:w="4580"/>
          </w:cols>
          <w:pgMar w:left="320" w:top="657" w:right="339" w:bottom="1440" w:gutter="0" w:footer="0" w:header="0"/>
          <w:type w:val="continuous"/>
        </w:sectPr>
      </w:pP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 completed the first procedure in a patient utilizing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at each of Brigham and Women’s Hospital and Baptist Hospital of Miami.</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 the process of engaging additional leading centers to participate in the trial. In parallel to commencing the pivotal human clinical trial, we are completing our biocompatibility tests as required by its IDE application.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 Mark</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had previously taken the first step to advance our European program by engaging with a leading Notified Body. As a result, we recently completed our on-site audits for ISO 13485 certification to ensure compliance of the Quality Management System (QMS) requirements, and the results are being reviewed by the Notified Body.</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anticipate receiving 510(k) clearance from the US Food &amp; Drug Administration in the first half of 2025, and CE Mark approval in the second half of 2025. However, we can give no assurance that we will meet either or both of these projected milestones, if ever.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 and Concurrent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entered into securities purchase agreements with institutional investors, pursuant to which we agreed to issue and sell, in a registered direct offering priced at-the-market under the rules of The Nasdaq Stock Market, an aggregate of 1,566,669 shares of our common stock at an offering price of $1.50 per share. In a concurrent private placement, we agreed to issue to the investors Series F preferred investment options to purchase up to 3,133,338 shares of our common stock at an exercise price of $1.50 per share. Each Series F preferred investment option is exercisable immediately and will expire two years from the initial exercise date. The offerings closed on June 4, 2024, and we raised approximately $2.35 million in aggregate gross proceeds from such offerings, before deducting placement agent fees and expenses and related offering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78,333 shares of our common stock, which are exercisable immediately, expire two years from issuance, and have an exercise price of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an intellectual property portfolio of 13 patents issued/allowed and 60 patent applications pending worldwide. Microbot also holds 10 design patents issued/allowed and 5 design patents pending worldwide. It also has registered trademarks in Israel, Europe, UK and the U.S. relating to</w:t>
      </w:r>
    </w:p>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Israel, Europe, and UK, and pending in the U.S., in addition to having registered trademarks for the “One &amp; Done” wordmark in Israel, Europe, the U.S., UK, and Japan. Microbot also has a registered trademark in the U.S. for the NovaCross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2024-07-09T16:38:06Z</dcterms:created>
  <dcterms:modified xsi:type="dcterms:W3CDTF">2024-07-09T16:38:06Z</dcterms:modified>
</cp:coreProperties>
</file>