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79"/>
        <w:spacing w:after="0"/>
        <w:rPr>
          <w:sz w:val="20"/>
          <w:szCs w:val="20"/>
          <w:color w:val="auto"/>
        </w:rPr>
      </w:pPr>
      <w:r>
        <w:rPr>
          <w:rFonts w:ascii="Courier New" w:cs="Courier New" w:eastAsia="Courier New" w:hAnsi="Courier New"/>
          <w:sz w:val="15"/>
          <w:szCs w:val="15"/>
          <w:color w:val="auto"/>
        </w:rPr>
        <w:t>UNITED STATES</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Washington, D.C. 20549</w:t>
      </w:r>
    </w:p>
    <w:p>
      <w:pPr>
        <w:spacing w:after="0" w:line="200" w:lineRule="exact"/>
        <w:rPr>
          <w:sz w:val="24"/>
          <w:szCs w:val="24"/>
          <w:color w:val="auto"/>
        </w:rPr>
      </w:pPr>
    </w:p>
    <w:p>
      <w:pPr>
        <w:spacing w:after="0" w:line="329"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Amendment No. 1</w:t>
      </w:r>
    </w:p>
    <w:p>
      <w:pPr>
        <w:spacing w:after="0" w:line="5" w:lineRule="exact"/>
        <w:rPr>
          <w:sz w:val="24"/>
          <w:szCs w:val="24"/>
          <w:color w:val="auto"/>
        </w:rPr>
      </w:pPr>
    </w:p>
    <w:p>
      <w:pPr>
        <w:ind w:left="3540"/>
        <w:spacing w:after="0"/>
        <w:rPr>
          <w:sz w:val="20"/>
          <w:szCs w:val="20"/>
          <w:color w:val="auto"/>
        </w:rPr>
      </w:pPr>
      <w:r>
        <w:rPr>
          <w:rFonts w:ascii="Courier New" w:cs="Courier New" w:eastAsia="Courier New" w:hAnsi="Courier New"/>
          <w:sz w:val="15"/>
          <w:szCs w:val="15"/>
          <w:color w:val="auto"/>
        </w:rPr>
        <w:t>to</w:t>
      </w:r>
    </w:p>
    <w:p>
      <w:pPr>
        <w:spacing w:after="0" w:line="200" w:lineRule="exact"/>
        <w:rPr>
          <w:sz w:val="24"/>
          <w:szCs w:val="24"/>
          <w:color w:val="auto"/>
        </w:rPr>
      </w:pPr>
    </w:p>
    <w:p>
      <w:pPr>
        <w:spacing w:after="0" w:line="329"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FORM 10-Q</w:t>
      </w:r>
    </w:p>
    <w:p>
      <w:pPr>
        <w:spacing w:after="0" w:line="200" w:lineRule="exact"/>
        <w:rPr>
          <w:sz w:val="24"/>
          <w:szCs w:val="24"/>
          <w:color w:val="auto"/>
        </w:rPr>
      </w:pPr>
    </w:p>
    <w:p>
      <w:pPr>
        <w:spacing w:after="0" w:line="329"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QUARTERLY REPORT UNDER SECTION 13 OR 15(d) OF</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35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the quarter ended:</w:t>
      </w:r>
    </w:p>
    <w:p>
      <w:pPr>
        <w:sectPr>
          <w:pgSz w:w="11900" w:h="16838" w:orient="portrait"/>
          <w:cols w:equalWidth="0" w:num="1">
            <w:col w:w="10219"/>
          </w:cols>
          <w:pgMar w:left="240" w:top="934" w:right="1440" w:bottom="1440" w:gutter="0" w:footer="0" w:header="0"/>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September 30, 2000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0-19871</w:t>
      </w:r>
    </w:p>
    <w:p>
      <w:pPr>
        <w:spacing w:after="0" w:line="200" w:lineRule="exact"/>
        <w:rPr>
          <w:sz w:val="24"/>
          <w:szCs w:val="24"/>
          <w:color w:val="auto"/>
        </w:rPr>
      </w:pPr>
    </w:p>
    <w:p>
      <w:pPr>
        <w:sectPr>
          <w:pgSz w:w="11900" w:h="16838" w:orient="portrait"/>
          <w:cols w:equalWidth="0" w:num="3">
            <w:col w:w="2100" w:space="720"/>
            <w:col w:w="2080" w:space="360"/>
            <w:col w:w="4959"/>
          </w:cols>
          <w:pgMar w:left="240" w:top="934" w:right="1440" w:bottom="1440" w:gutter="0" w:footer="0" w:header="0"/>
          <w:type w:val="continuous"/>
        </w:sectPr>
      </w:pPr>
    </w:p>
    <w:p>
      <w:pPr>
        <w:spacing w:after="0" w:line="329"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934" w:right="1440" w:bottom="1440" w:gutter="0" w:footer="0" w:header="0"/>
          <w:type w:val="continuous"/>
        </w:sectPr>
      </w:pPr>
    </w:p>
    <w:p>
      <w:pPr>
        <w:spacing w:after="0" w:line="180"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ind w:left="540"/>
        <w:spacing w:after="0"/>
        <w:rPr>
          <w:sz w:val="20"/>
          <w:szCs w:val="20"/>
          <w:color w:val="auto"/>
        </w:rPr>
      </w:pPr>
      <w:r>
        <w:rPr>
          <w:rFonts w:ascii="Courier New" w:cs="Courier New" w:eastAsia="Courier New" w:hAnsi="Courier New"/>
          <w:sz w:val="15"/>
          <w:szCs w:val="15"/>
          <w:color w:val="auto"/>
        </w:rPr>
        <w:t>(State or other jurisdiction of</w:t>
      </w:r>
    </w:p>
    <w:p>
      <w:pPr>
        <w:spacing w:after="0" w:line="5"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94-3078125</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91" w:lineRule="exact"/>
        <w:rPr>
          <w:sz w:val="24"/>
          <w:szCs w:val="24"/>
          <w:color w:val="auto"/>
        </w:rPr>
      </w:pPr>
    </w:p>
    <w:p>
      <w:pPr>
        <w:sectPr>
          <w:pgSz w:w="11900" w:h="16838" w:orient="portrait"/>
          <w:cols w:equalWidth="0" w:num="2">
            <w:col w:w="3460" w:space="720"/>
            <w:col w:w="6039"/>
          </w:cols>
          <w:pgMar w:left="240" w:top="934" w:right="1440" w:bottom="1440" w:gutter="0" w:footer="0" w:header="0"/>
          <w:type w:val="continuous"/>
        </w:sectPr>
      </w:pPr>
    </w:p>
    <w:p>
      <w:pPr>
        <w:jc w:val="center"/>
        <w:ind w:right="2959"/>
        <w:spacing w:after="0"/>
        <w:rPr>
          <w:sz w:val="20"/>
          <w:szCs w:val="20"/>
          <w:color w:val="auto"/>
        </w:rPr>
      </w:pPr>
      <w:r>
        <w:rPr>
          <w:rFonts w:ascii="Courier New" w:cs="Courier New" w:eastAsia="Courier New" w:hAnsi="Courier New"/>
          <w:sz w:val="15"/>
          <w:szCs w:val="15"/>
          <w:color w:val="auto"/>
        </w:rPr>
        <w:t>525 DEL REY AVENUE SUITE C</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SUNNYVALE, CA 94085</w:t>
      </w:r>
    </w:p>
    <w:p>
      <w:pPr>
        <w:spacing w:after="0" w:line="5" w:lineRule="exact"/>
        <w:rPr>
          <w:sz w:val="24"/>
          <w:szCs w:val="24"/>
          <w:color w:val="auto"/>
        </w:rPr>
      </w:pPr>
    </w:p>
    <w:p>
      <w:pPr>
        <w:jc w:val="center"/>
        <w:ind w:right="2879"/>
        <w:spacing w:after="0"/>
        <w:rPr>
          <w:sz w:val="20"/>
          <w:szCs w:val="20"/>
          <w:color w:val="auto"/>
        </w:rPr>
      </w:pPr>
      <w:r>
        <w:rPr>
          <w:rFonts w:ascii="Courier New" w:cs="Courier New" w:eastAsia="Courier New" w:hAnsi="Courier New"/>
          <w:sz w:val="15"/>
          <w:szCs w:val="15"/>
          <w:color w:val="auto"/>
        </w:rPr>
        <w:t>(Address of principal executive offices including zip code)</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(408) 731-8670</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54" w:lineRule="exact"/>
        <w:rPr>
          <w:sz w:val="24"/>
          <w:szCs w:val="24"/>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twelve months (or for such shorter periods that the registrant was required to file such reports) and (2) has been subject to such filing requirements for the past 90 days.</w:t>
      </w:r>
    </w:p>
    <w:p>
      <w:pPr>
        <w:spacing w:after="0" w:line="178" w:lineRule="exact"/>
        <w:rPr>
          <w:sz w:val="24"/>
          <w:szCs w:val="24"/>
          <w:color w:val="auto"/>
        </w:rPr>
      </w:pPr>
    </w:p>
    <w:p>
      <w:pPr>
        <w:spacing w:after="0"/>
        <w:tabs>
          <w:tab w:leader="none" w:pos="800" w:val="left"/>
          <w:tab w:leader="none" w:pos="1160" w:val="left"/>
        </w:tabs>
        <w:rPr>
          <w:sz w:val="20"/>
          <w:szCs w:val="20"/>
          <w:color w:val="auto"/>
        </w:rPr>
      </w:pPr>
      <w:r>
        <w:rPr>
          <w:rFonts w:ascii="Courier New" w:cs="Courier New" w:eastAsia="Courier New" w:hAnsi="Courier New"/>
          <w:sz w:val="15"/>
          <w:szCs w:val="15"/>
          <w:color w:val="auto"/>
        </w:rPr>
        <w:t>Yes /X/</w:t>
        <w:tab/>
        <w:t>No</w:t>
      </w:r>
      <w:r>
        <w:rPr>
          <w:sz w:val="20"/>
          <w:szCs w:val="20"/>
          <w:color w:val="auto"/>
        </w:rPr>
        <w:tab/>
      </w:r>
      <w:r>
        <w:rPr>
          <w:rFonts w:ascii="Courier New" w:cs="Courier New" w:eastAsia="Courier New" w:hAnsi="Courier New"/>
          <w:sz w:val="14"/>
          <w:szCs w:val="14"/>
          <w:color w:val="auto"/>
        </w:rPr>
        <w:t>/ /</w:t>
      </w:r>
    </w:p>
    <w:p>
      <w:pPr>
        <w:spacing w:after="0" w:line="180" w:lineRule="exact"/>
        <w:rPr>
          <w:sz w:val="24"/>
          <w:szCs w:val="24"/>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At September 30, 2000, there were 20,881,812 shares of Common Stock, $.01 par value, issued and outstanding.</w:t>
      </w:r>
    </w:p>
    <w:p>
      <w:pPr>
        <w:sectPr>
          <w:pgSz w:w="11900" w:h="16838" w:orient="portrait"/>
          <w:cols w:equalWidth="0" w:num="1">
            <w:col w:w="10219"/>
          </w:cols>
          <w:pgMar w:left="240" w:top="934" w:right="1440" w:bottom="1440" w:gutter="0" w:footer="0" w:header="0"/>
          <w:type w:val="continuous"/>
        </w:sectPr>
      </w:pPr>
    </w:p>
    <w:bookmarkStart w:id="1" w:name="page2"/>
    <w:bookmarkEnd w:id="1"/>
    <w:p>
      <w:pPr>
        <w:jc w:val="center"/>
        <w:ind w:right="2879"/>
        <w:spacing w:after="0"/>
        <w:rPr>
          <w:sz w:val="20"/>
          <w:szCs w:val="20"/>
          <w:color w:val="auto"/>
        </w:rPr>
      </w:pPr>
      <w:r>
        <w:rPr>
          <w:rFonts w:ascii="Courier New" w:cs="Courier New" w:eastAsia="Courier New" w:hAnsi="Courier New"/>
          <w:sz w:val="15"/>
          <w:szCs w:val="15"/>
          <w:color w:val="auto"/>
        </w:rPr>
        <w:t>STEMCELLS, INC.</w:t>
      </w:r>
    </w:p>
    <w:p>
      <w:pPr>
        <w:spacing w:after="0" w:line="180"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Page Number</w:t>
            </w:r>
          </w:p>
        </w:tc>
      </w:tr>
      <w:tr>
        <w:trPr>
          <w:trHeight w:val="350"/>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PART I. FINANCIAL INFORMATION</w:t>
            </w:r>
          </w:p>
        </w:tc>
        <w:tc>
          <w:tcPr>
            <w:tcW w:w="1460" w:type="dxa"/>
            <w:vAlign w:val="bottom"/>
          </w:tcPr>
          <w:p>
            <w:pPr>
              <w:spacing w:after="0"/>
              <w:rPr>
                <w:sz w:val="24"/>
                <w:szCs w:val="24"/>
                <w:color w:val="auto"/>
              </w:rPr>
            </w:pP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Financial Statements (Unaudited)</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r>
      <w:tr>
        <w:trPr>
          <w:trHeight w:val="350"/>
        </w:trPr>
        <w:tc>
          <w:tcPr>
            <w:tcW w:w="720" w:type="dxa"/>
            <w:vAlign w:val="bottom"/>
          </w:tcPr>
          <w:p>
            <w:pPr>
              <w:spacing w:after="0"/>
              <w:rPr>
                <w:sz w:val="24"/>
                <w:szCs w:val="24"/>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Balance Sheets September 30, 2000 and December</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w:t>
            </w:r>
          </w:p>
        </w:tc>
      </w:tr>
      <w:tr>
        <w:trPr>
          <w:trHeight w:val="175"/>
        </w:trPr>
        <w:tc>
          <w:tcPr>
            <w:tcW w:w="720" w:type="dxa"/>
            <w:vAlign w:val="bottom"/>
          </w:tcPr>
          <w:p>
            <w:pPr>
              <w:spacing w:after="0"/>
              <w:rPr>
                <w:sz w:val="15"/>
                <w:szCs w:val="15"/>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31, 1999</w:t>
            </w:r>
          </w:p>
        </w:tc>
        <w:tc>
          <w:tcPr>
            <w:tcW w:w="1460" w:type="dxa"/>
            <w:vAlign w:val="bottom"/>
          </w:tcPr>
          <w:p>
            <w:pPr>
              <w:spacing w:after="0"/>
              <w:rPr>
                <w:sz w:val="15"/>
                <w:szCs w:val="15"/>
                <w:color w:val="auto"/>
              </w:rPr>
            </w:pPr>
          </w:p>
        </w:tc>
      </w:tr>
      <w:tr>
        <w:trPr>
          <w:trHeight w:val="350"/>
        </w:trPr>
        <w:tc>
          <w:tcPr>
            <w:tcW w:w="720" w:type="dxa"/>
            <w:vAlign w:val="bottom"/>
          </w:tcPr>
          <w:p>
            <w:pPr>
              <w:spacing w:after="0"/>
              <w:rPr>
                <w:sz w:val="24"/>
                <w:szCs w:val="24"/>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Statements of Operations Three and nine months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w:t>
            </w:r>
          </w:p>
        </w:tc>
      </w:tr>
      <w:tr>
        <w:trPr>
          <w:trHeight w:val="175"/>
        </w:trPr>
        <w:tc>
          <w:tcPr>
            <w:tcW w:w="720" w:type="dxa"/>
            <w:vAlign w:val="bottom"/>
          </w:tcPr>
          <w:p>
            <w:pPr>
              <w:spacing w:after="0"/>
              <w:rPr>
                <w:sz w:val="15"/>
                <w:szCs w:val="15"/>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ended September 30, 2000 and 1999</w:t>
            </w:r>
          </w:p>
        </w:tc>
        <w:tc>
          <w:tcPr>
            <w:tcW w:w="1460" w:type="dxa"/>
            <w:vAlign w:val="bottom"/>
          </w:tcPr>
          <w:p>
            <w:pPr>
              <w:spacing w:after="0"/>
              <w:rPr>
                <w:sz w:val="15"/>
                <w:szCs w:val="15"/>
                <w:color w:val="auto"/>
              </w:rPr>
            </w:pPr>
          </w:p>
        </w:tc>
      </w:tr>
      <w:tr>
        <w:trPr>
          <w:trHeight w:val="350"/>
        </w:trPr>
        <w:tc>
          <w:tcPr>
            <w:tcW w:w="720" w:type="dxa"/>
            <w:vAlign w:val="bottom"/>
          </w:tcPr>
          <w:p>
            <w:pPr>
              <w:spacing w:after="0"/>
              <w:rPr>
                <w:sz w:val="24"/>
                <w:szCs w:val="24"/>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Condensed Consolidated Statements of Cash Flows Nine months ended</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w:t>
            </w:r>
          </w:p>
        </w:tc>
      </w:tr>
      <w:tr>
        <w:trPr>
          <w:trHeight w:val="175"/>
        </w:trPr>
        <w:tc>
          <w:tcPr>
            <w:tcW w:w="720" w:type="dxa"/>
            <w:vAlign w:val="bottom"/>
          </w:tcPr>
          <w:p>
            <w:pPr>
              <w:spacing w:after="0"/>
              <w:rPr>
                <w:sz w:val="15"/>
                <w:szCs w:val="15"/>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September 30, 2000 and1999</w:t>
            </w:r>
          </w:p>
        </w:tc>
        <w:tc>
          <w:tcPr>
            <w:tcW w:w="1460" w:type="dxa"/>
            <w:vAlign w:val="bottom"/>
          </w:tcPr>
          <w:p>
            <w:pPr>
              <w:spacing w:after="0"/>
              <w:rPr>
                <w:sz w:val="15"/>
                <w:szCs w:val="15"/>
                <w:color w:val="auto"/>
              </w:rPr>
            </w:pPr>
          </w:p>
        </w:tc>
      </w:tr>
      <w:tr>
        <w:trPr>
          <w:trHeight w:val="350"/>
        </w:trPr>
        <w:tc>
          <w:tcPr>
            <w:tcW w:w="720" w:type="dxa"/>
            <w:vAlign w:val="bottom"/>
          </w:tcPr>
          <w:p>
            <w:pPr>
              <w:spacing w:after="0"/>
              <w:rPr>
                <w:sz w:val="24"/>
                <w:szCs w:val="24"/>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w:t>
            </w: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9</w:t>
            </w:r>
          </w:p>
        </w:tc>
      </w:tr>
      <w:tr>
        <w:trPr>
          <w:trHeight w:val="175"/>
        </w:trPr>
        <w:tc>
          <w:tcPr>
            <w:tcW w:w="720" w:type="dxa"/>
            <w:vAlign w:val="bottom"/>
          </w:tcPr>
          <w:p>
            <w:pPr>
              <w:spacing w:after="0"/>
              <w:rPr>
                <w:sz w:val="15"/>
                <w:szCs w:val="15"/>
                <w:color w:val="auto"/>
              </w:rPr>
            </w:pP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of Operations</w:t>
            </w:r>
          </w:p>
        </w:tc>
        <w:tc>
          <w:tcPr>
            <w:tcW w:w="1460" w:type="dxa"/>
            <w:vAlign w:val="bottom"/>
          </w:tcPr>
          <w:p>
            <w:pPr>
              <w:spacing w:after="0"/>
              <w:rPr>
                <w:sz w:val="15"/>
                <w:szCs w:val="15"/>
                <w:color w:val="auto"/>
              </w:rPr>
            </w:pPr>
          </w:p>
        </w:tc>
      </w:tr>
      <w:tr>
        <w:trPr>
          <w:trHeight w:val="350"/>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w:t>
            </w:r>
          </w:p>
        </w:tc>
      </w:tr>
      <w:tr>
        <w:trPr>
          <w:trHeight w:val="350"/>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PART II. OTHER INFORMATION</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Legal Proceedings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4.</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Submission of Matters to a Vote of Security-Holders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7000" w:type="dxa"/>
            <w:vAlign w:val="bottom"/>
          </w:tcPr>
          <w:p>
            <w:pPr>
              <w:ind w:left="100"/>
              <w:spacing w:after="0"/>
              <w:rPr>
                <w:sz w:val="20"/>
                <w:szCs w:val="20"/>
                <w:color w:val="auto"/>
              </w:rPr>
            </w:pPr>
            <w:r>
              <w:rPr>
                <w:rFonts w:ascii="Courier New" w:cs="Courier New" w:eastAsia="Courier New" w:hAnsi="Courier New"/>
                <w:sz w:val="15"/>
                <w:szCs w:val="15"/>
                <w:color w:val="auto"/>
              </w:rPr>
              <w:t>Exhibits and Reports on Form 8-K</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15</w:t>
            </w:r>
          </w:p>
        </w:tc>
      </w:tr>
      <w:tr>
        <w:trPr>
          <w:trHeight w:val="350"/>
        </w:trPr>
        <w:tc>
          <w:tcPr>
            <w:tcW w:w="772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16</w:t>
            </w:r>
          </w:p>
        </w:tc>
      </w:tr>
      <w:tr>
        <w:trPr>
          <w:trHeight w:val="350"/>
        </w:trPr>
        <w:tc>
          <w:tcPr>
            <w:tcW w:w="720" w:type="dxa"/>
            <w:vAlign w:val="bottom"/>
          </w:tcPr>
          <w:p>
            <w:pPr>
              <w:spacing w:after="0"/>
              <w:rPr>
                <w:sz w:val="24"/>
                <w:szCs w:val="24"/>
                <w:color w:val="auto"/>
              </w:rPr>
            </w:pPr>
          </w:p>
        </w:tc>
        <w:tc>
          <w:tcPr>
            <w:tcW w:w="7000" w:type="dxa"/>
            <w:vAlign w:val="bottom"/>
          </w:tcPr>
          <w:p>
            <w:pPr>
              <w:ind w:left="2820"/>
              <w:spacing w:after="0"/>
              <w:rPr>
                <w:sz w:val="20"/>
                <w:szCs w:val="20"/>
                <w:color w:val="auto"/>
              </w:rPr>
            </w:pPr>
            <w:r>
              <w:rPr>
                <w:rFonts w:ascii="Courier New" w:cs="Courier New" w:eastAsia="Courier New" w:hAnsi="Courier New"/>
                <w:sz w:val="15"/>
                <w:szCs w:val="15"/>
                <w:color w:val="auto"/>
              </w:rPr>
              <w:t>2</w:t>
            </w:r>
          </w:p>
        </w:tc>
        <w:tc>
          <w:tcPr>
            <w:tcW w:w="1460" w:type="dxa"/>
            <w:vAlign w:val="bottom"/>
          </w:tcPr>
          <w:p>
            <w:pPr>
              <w:spacing w:after="0"/>
              <w:rPr>
                <w:sz w:val="24"/>
                <w:szCs w:val="24"/>
                <w:color w:val="auto"/>
              </w:rPr>
            </w:pPr>
          </w:p>
        </w:tc>
      </w:tr>
    </w:tbl>
    <w:p>
      <w:pPr>
        <w:sectPr>
          <w:pgSz w:w="11900" w:h="16838" w:orient="portrait"/>
          <w:cols w:equalWidth="0" w:num="1">
            <w:col w:w="10219"/>
          </w:cols>
          <w:pgMar w:left="240" w:top="8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28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September 30, 2000</w:t>
            </w:r>
          </w:p>
        </w:tc>
        <w:tc>
          <w:tcPr>
            <w:tcW w:w="1780" w:type="dxa"/>
            <w:vAlign w:val="bottom"/>
            <w:gridSpan w:val="2"/>
          </w:tcPr>
          <w:p>
            <w:pPr>
              <w:jc w:val="center"/>
              <w:ind w:left="244"/>
              <w:spacing w:after="0"/>
              <w:rPr>
                <w:sz w:val="20"/>
                <w:szCs w:val="20"/>
                <w:color w:val="auto"/>
              </w:rPr>
            </w:pPr>
            <w:r>
              <w:rPr>
                <w:rFonts w:ascii="Courier New" w:cs="Courier New" w:eastAsia="Courier New" w:hAnsi="Courier New"/>
                <w:sz w:val="15"/>
                <w:szCs w:val="15"/>
                <w:color w:val="auto"/>
              </w:rPr>
              <w:t>December 31, 199</w:t>
            </w:r>
          </w:p>
        </w:tc>
      </w:tr>
      <w:tr>
        <w:trPr>
          <w:trHeight w:val="175"/>
        </w:trPr>
        <w:tc>
          <w:tcPr>
            <w:tcW w:w="59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7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(unaudited)</w:t>
            </w:r>
          </w:p>
        </w:tc>
        <w:tc>
          <w:tcPr>
            <w:tcW w:w="500" w:type="dxa"/>
            <w:vAlign w:val="bottom"/>
          </w:tcPr>
          <w:p>
            <w:pPr>
              <w:spacing w:after="0"/>
              <w:rPr>
                <w:sz w:val="15"/>
                <w:szCs w:val="15"/>
                <w:color w:val="auto"/>
              </w:rPr>
            </w:pPr>
          </w:p>
        </w:tc>
        <w:tc>
          <w:tcPr>
            <w:tcW w:w="12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(Note 1)</w:t>
            </w:r>
          </w:p>
        </w:tc>
      </w:t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center"/>
              <w:ind w:left="244"/>
              <w:spacing w:after="0"/>
              <w:rPr>
                <w:sz w:val="20"/>
                <w:szCs w:val="20"/>
                <w:color w:val="auto"/>
              </w:rPr>
            </w:pPr>
            <w:r>
              <w:rPr>
                <w:rFonts w:ascii="Courier New" w:cs="Courier New" w:eastAsia="Courier New" w:hAnsi="Courier New"/>
                <w:sz w:val="15"/>
                <w:szCs w:val="15"/>
                <w:color w:val="auto"/>
              </w:rPr>
              <w:t>----------------</w:t>
            </w:r>
          </w:p>
        </w:tc>
      </w:tr>
      <w:tr>
        <w:trPr>
          <w:trHeight w:val="350"/>
        </w:trPr>
        <w:tc>
          <w:tcPr>
            <w:tcW w:w="59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Cash and cash equivalents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7,247,077</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4,760,064</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Technology sale receivable</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200,000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3,000,000</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Other current assets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768,521</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1,210,791</w:t>
            </w:r>
          </w:p>
        </w:tc>
      </w:t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ind w:left="820"/>
              <w:spacing w:after="0"/>
              <w:rPr>
                <w:sz w:val="20"/>
                <w:szCs w:val="20"/>
                <w:color w:val="auto"/>
              </w:rPr>
            </w:pPr>
            <w:r>
              <w:rPr>
                <w:rFonts w:ascii="Courier New" w:cs="Courier New" w:eastAsia="Courier New" w:hAnsi="Courier New"/>
                <w:sz w:val="15"/>
                <w:szCs w:val="15"/>
                <w:color w:val="auto"/>
              </w:rPr>
              <w:t>Total current assets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8,215,598</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8,970,855</w:t>
            </w:r>
          </w:p>
        </w:tc>
      </w:tr>
      <w:tr>
        <w:trPr>
          <w:trHeight w:val="350"/>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Restricted Investments</w:t>
            </w:r>
          </w:p>
        </w:tc>
        <w:tc>
          <w:tcPr>
            <w:tcW w:w="1060" w:type="dxa"/>
            <w:vAlign w:val="bottom"/>
          </w:tcPr>
          <w:p>
            <w:pPr>
              <w:spacing w:after="0"/>
              <w:rPr>
                <w:sz w:val="24"/>
                <w:szCs w:val="24"/>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27,204,333</w:t>
            </w:r>
          </w:p>
        </w:tc>
        <w:tc>
          <w:tcPr>
            <w:tcW w:w="50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Property held for sale</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3,203,491</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3,203,491</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Property, plant and equipment, net</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1,517,564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1,747,885</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Intangible assets, net</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740,543</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1,108,768</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Other assets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750,000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750,000</w:t>
            </w:r>
          </w:p>
        </w:tc>
      </w:t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41,631,529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15,780,999</w:t>
            </w:r>
          </w:p>
        </w:tc>
      </w:t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59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Accounts payable</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234,444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631,315</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Accrued expenses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574,267</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2,605,068</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327,083</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324,167</w:t>
            </w:r>
          </w:p>
        </w:tc>
      </w:t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1,135,794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3,560,550</w:t>
            </w:r>
          </w:p>
        </w:tc>
      </w:tr>
      <w:tr>
        <w:trPr>
          <w:trHeight w:val="350"/>
        </w:trPr>
        <w:tc>
          <w:tcPr>
            <w:tcW w:w="594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 current maturities</w:t>
            </w:r>
          </w:p>
        </w:tc>
        <w:tc>
          <w:tcPr>
            <w:tcW w:w="1060" w:type="dxa"/>
            <w:vAlign w:val="bottom"/>
          </w:tcPr>
          <w:p>
            <w:pPr>
              <w:spacing w:after="0"/>
              <w:rPr>
                <w:sz w:val="24"/>
                <w:szCs w:val="24"/>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2,692,500</w:t>
            </w:r>
          </w:p>
        </w:tc>
        <w:tc>
          <w:tcPr>
            <w:tcW w:w="500" w:type="dxa"/>
            <w:vAlign w:val="bottom"/>
          </w:tcPr>
          <w:p>
            <w:pPr>
              <w:spacing w:after="0"/>
              <w:rPr>
                <w:sz w:val="24"/>
                <w:szCs w:val="2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2,937,083</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26,000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26,000</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Deferred rent</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650,984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502,353</w:t>
            </w:r>
          </w:p>
        </w:tc>
      </w:tr>
      <w:tr>
        <w:trPr>
          <w:trHeight w:val="175"/>
        </w:trPr>
        <w:tc>
          <w:tcPr>
            <w:tcW w:w="5940" w:type="dxa"/>
            <w:vAlign w:val="bottom"/>
          </w:tcPr>
          <w:p>
            <w:pPr>
              <w:spacing w:after="0"/>
              <w:rPr>
                <w:sz w:val="20"/>
                <w:szCs w:val="20"/>
                <w:color w:val="auto"/>
              </w:rPr>
            </w:pPr>
            <w:r>
              <w:rPr>
                <w:rFonts w:ascii="Courier New" w:cs="Courier New" w:eastAsia="Courier New" w:hAnsi="Courier New"/>
                <w:sz w:val="15"/>
                <w:szCs w:val="15"/>
                <w:color w:val="auto"/>
              </w:rPr>
              <w:t>Redeemable stock</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5,248,610</w:t>
            </w:r>
          </w:p>
        </w:tc>
      </w:tr>
      <w:tr>
        <w:trPr>
          <w:trHeight w:val="350"/>
        </w:trPr>
        <w:tc>
          <w:tcPr>
            <w:tcW w:w="59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Convertible Preferred Stock</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1,500,000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208,818</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186,355</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Additional paid in capital</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134,698,668</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123,917,758</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Stock Subscription Receivable</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(1,250,004)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Accumulated deficit</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w w:val="99"/>
              </w:rPr>
              <w:t>(124,237,900)</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(119,372,710)</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Accumulated other comprehensive income</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27,204,333</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ind w:left="440"/>
              <w:spacing w:after="0"/>
              <w:rPr>
                <w:sz w:val="20"/>
                <w:szCs w:val="20"/>
                <w:color w:val="auto"/>
              </w:rPr>
            </w:pPr>
            <w:r>
              <w:rPr>
                <w:rFonts w:ascii="Courier New" w:cs="Courier New" w:eastAsia="Courier New" w:hAnsi="Courier New"/>
                <w:sz w:val="15"/>
                <w:szCs w:val="15"/>
                <w:color w:val="auto"/>
              </w:rPr>
              <w:t>Deferred compensation</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(997,664)</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(1,225,000)</w:t>
            </w:r>
          </w:p>
        </w:tc>
      </w:t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ind w:left="820"/>
              <w:spacing w:after="0"/>
              <w:rPr>
                <w:sz w:val="20"/>
                <w:szCs w:val="20"/>
                <w:color w:val="auto"/>
              </w:rPr>
            </w:pPr>
            <w:r>
              <w:rPr>
                <w:rFonts w:ascii="Courier New" w:cs="Courier New" w:eastAsia="Courier New" w:hAnsi="Courier New"/>
                <w:sz w:val="15"/>
                <w:szCs w:val="15"/>
                <w:color w:val="auto"/>
              </w:rPr>
              <w:t>Total stockholders' equity</w:t>
            </w:r>
          </w:p>
        </w:tc>
        <w:tc>
          <w:tcPr>
            <w:tcW w:w="1060" w:type="dxa"/>
            <w:vAlign w:val="bottom"/>
          </w:tcPr>
          <w:p>
            <w:pPr>
              <w:spacing w:after="0"/>
              <w:rPr>
                <w:sz w:val="15"/>
                <w:szCs w:val="15"/>
                <w:color w:val="auto"/>
              </w:rPr>
            </w:pP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37,126,251</w:t>
            </w:r>
          </w:p>
        </w:tc>
        <w:tc>
          <w:tcPr>
            <w:tcW w:w="500" w:type="dxa"/>
            <w:vAlign w:val="bottom"/>
          </w:tcPr>
          <w:p>
            <w:pPr>
              <w:spacing w:after="0"/>
              <w:rPr>
                <w:sz w:val="15"/>
                <w:szCs w:val="15"/>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3,506,403</w:t>
            </w:r>
          </w:p>
        </w:tc>
      </w:t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5940" w:type="dxa"/>
            <w:vAlign w:val="bottom"/>
          </w:tcPr>
          <w:p>
            <w:pPr>
              <w:ind w:left="82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41,631,529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15,780,999</w:t>
            </w:r>
          </w:p>
        </w:tc>
      </w:tr>
      <w:tr>
        <w:trPr>
          <w:trHeight w:val="175"/>
        </w:trPr>
        <w:tc>
          <w:tcPr>
            <w:tcW w:w="5940" w:type="dxa"/>
            <w:vAlign w:val="bottom"/>
          </w:tcPr>
          <w:p>
            <w:pPr>
              <w:spacing w:after="0"/>
              <w:rPr>
                <w:sz w:val="15"/>
                <w:szCs w:val="15"/>
                <w:color w:val="auto"/>
              </w:rPr>
            </w:pPr>
          </w:p>
        </w:tc>
        <w:tc>
          <w:tcPr>
            <w:tcW w:w="2820" w:type="dxa"/>
            <w:vAlign w:val="bottom"/>
            <w:gridSpan w:val="2"/>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540"/>
          </w:cols>
          <w:pgMar w:left="240" w:top="817" w:right="111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2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Three Months</w:t>
            </w:r>
          </w:p>
        </w:tc>
        <w:tc>
          <w:tcPr>
            <w:tcW w:w="1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0" w:type="dxa"/>
            <w:vAlign w:val="bottom"/>
            <w:gridSpan w:val="2"/>
          </w:tcPr>
          <w:p>
            <w:pPr>
              <w:jc w:val="right"/>
              <w:ind w:right="904"/>
              <w:spacing w:after="0"/>
              <w:rPr>
                <w:sz w:val="20"/>
                <w:szCs w:val="20"/>
                <w:color w:val="auto"/>
              </w:rPr>
            </w:pPr>
            <w:r>
              <w:rPr>
                <w:rFonts w:ascii="Courier New" w:cs="Courier New" w:eastAsia="Courier New" w:hAnsi="Courier New"/>
                <w:sz w:val="15"/>
                <w:szCs w:val="15"/>
                <w:color w:val="auto"/>
              </w:rPr>
              <w:t>Nine Months</w:t>
            </w:r>
          </w:p>
        </w:tc>
      </w:t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40" w:type="dxa"/>
            <w:vAlign w:val="bottom"/>
            <w:gridSpan w:val="3"/>
          </w:tcPr>
          <w:p>
            <w:pPr>
              <w:jc w:val="right"/>
              <w:ind w:right="964"/>
              <w:spacing w:after="0"/>
              <w:rPr>
                <w:sz w:val="20"/>
                <w:szCs w:val="20"/>
                <w:color w:val="auto"/>
              </w:rPr>
            </w:pPr>
            <w:r>
              <w:rPr>
                <w:rFonts w:ascii="Courier New" w:cs="Courier New" w:eastAsia="Courier New" w:hAnsi="Courier New"/>
                <w:sz w:val="15"/>
                <w:szCs w:val="15"/>
                <w:color w:val="auto"/>
              </w:rPr>
              <w:t>Ended September 30</w:t>
            </w:r>
          </w:p>
        </w:tc>
        <w:tc>
          <w:tcPr>
            <w:tcW w:w="320" w:type="dxa"/>
            <w:vAlign w:val="bottom"/>
          </w:tcPr>
          <w:p>
            <w:pPr>
              <w:spacing w:after="0"/>
              <w:rPr>
                <w:sz w:val="15"/>
                <w:szCs w:val="15"/>
                <w:color w:val="auto"/>
              </w:rPr>
            </w:pPr>
          </w:p>
        </w:tc>
        <w:tc>
          <w:tcPr>
            <w:tcW w:w="2800" w:type="dxa"/>
            <w:vAlign w:val="bottom"/>
            <w:gridSpan w:val="2"/>
          </w:tcPr>
          <w:p>
            <w:pPr>
              <w:jc w:val="right"/>
              <w:ind w:right="644"/>
              <w:spacing w:after="0"/>
              <w:rPr>
                <w:sz w:val="20"/>
                <w:szCs w:val="20"/>
                <w:color w:val="auto"/>
              </w:rPr>
            </w:pPr>
            <w:r>
              <w:rPr>
                <w:rFonts w:ascii="Courier New" w:cs="Courier New" w:eastAsia="Courier New" w:hAnsi="Courier New"/>
                <w:sz w:val="15"/>
                <w:szCs w:val="15"/>
                <w:color w:val="auto"/>
              </w:rPr>
              <w:t>Ended September 30</w:t>
            </w:r>
          </w:p>
        </w:tc>
      </w:t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5"/>
                <w:szCs w:val="15"/>
                <w:color w:val="auto"/>
              </w:rPr>
            </w:pPr>
          </w:p>
        </w:tc>
        <w:tc>
          <w:tcPr>
            <w:tcW w:w="13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5"/>
                <w:szCs w:val="15"/>
                <w:color w:val="auto"/>
              </w:rPr>
            </w:pPr>
          </w:p>
        </w:tc>
        <w:tc>
          <w:tcPr>
            <w:tcW w:w="14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 from collaborative arrangements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5,021,707</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1,328,263</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1,584,879</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3,350,101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8,432,262</w:t>
            </w: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744,404</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1,027,357</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2,172,137</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3,195,672</w:t>
            </w: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Encapsulated cell therapy wind down and corporate</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5080" w:type="dxa"/>
            <w:vAlign w:val="bottom"/>
          </w:tcPr>
          <w:p>
            <w:pPr>
              <w:ind w:left="540"/>
              <w:spacing w:after="0"/>
              <w:rPr>
                <w:sz w:val="20"/>
                <w:szCs w:val="20"/>
                <w:color w:val="auto"/>
              </w:rPr>
            </w:pPr>
            <w:r>
              <w:rPr>
                <w:rFonts w:ascii="Courier New" w:cs="Courier New" w:eastAsia="Courier New" w:hAnsi="Courier New"/>
                <w:sz w:val="15"/>
                <w:szCs w:val="15"/>
                <w:color w:val="auto"/>
              </w:rPr>
              <w:t>relocation</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480,087</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4,078,034</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769,733</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4,078,034</w:t>
            </w: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2,552,754</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6,690,270</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6,290,971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15,705,968</w:t>
            </w:r>
          </w:p>
        </w:tc>
      </w:tr>
      <w:tr>
        <w:trPr>
          <w:trHeight w:val="524"/>
        </w:trPr>
        <w:tc>
          <w:tcPr>
            <w:tcW w:w="5080" w:type="dxa"/>
            <w:vAlign w:val="bottom"/>
          </w:tcPr>
          <w:p>
            <w:pPr>
              <w:spacing w:after="0"/>
              <w:rPr>
                <w:sz w:val="20"/>
                <w:szCs w:val="20"/>
                <w:color w:val="auto"/>
              </w:rPr>
            </w:pPr>
            <w:r>
              <w:rPr>
                <w:rFonts w:ascii="Courier New" w:cs="Courier New" w:eastAsia="Courier New" w:hAnsi="Courier New"/>
                <w:sz w:val="15"/>
                <w:szCs w:val="15"/>
                <w:color w:val="auto"/>
              </w:rPr>
              <w:t>Loss from operations</w:t>
            </w:r>
          </w:p>
        </w:tc>
        <w:tc>
          <w:tcPr>
            <w:tcW w:w="280" w:type="dxa"/>
            <w:vAlign w:val="bottom"/>
          </w:tcPr>
          <w:p>
            <w:pPr>
              <w:spacing w:after="0"/>
              <w:rPr>
                <w:sz w:val="24"/>
                <w:szCs w:val="24"/>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(2,552,754)</w:t>
            </w:r>
          </w:p>
        </w:tc>
        <w:tc>
          <w:tcPr>
            <w:tcW w:w="360" w:type="dxa"/>
            <w:vAlign w:val="bottom"/>
          </w:tcPr>
          <w:p>
            <w:pPr>
              <w:spacing w:after="0"/>
              <w:rPr>
                <w:sz w:val="24"/>
                <w:szCs w:val="24"/>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(6,690,270)</w:t>
            </w:r>
          </w:p>
        </w:tc>
        <w:tc>
          <w:tcPr>
            <w:tcW w:w="320" w:type="dxa"/>
            <w:vAlign w:val="bottom"/>
          </w:tcPr>
          <w:p>
            <w:pPr>
              <w:spacing w:after="0"/>
              <w:rPr>
                <w:sz w:val="24"/>
                <w:szCs w:val="24"/>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(6,290,971)</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(10,684,261)</w:t>
            </w:r>
          </w:p>
        </w:tc>
      </w:tr>
      <w:tr>
        <w:trPr>
          <w:trHeight w:val="350"/>
        </w:trPr>
        <w:tc>
          <w:tcPr>
            <w:tcW w:w="50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Investment income</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80,248</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97,783</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218,480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504,114</w:t>
            </w: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Interest expense</w:t>
            </w:r>
          </w:p>
        </w:tc>
        <w:tc>
          <w:tcPr>
            <w:tcW w:w="28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(66,720)</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(51,782)</w:t>
            </w:r>
          </w:p>
        </w:tc>
        <w:tc>
          <w:tcPr>
            <w:tcW w:w="320" w:type="dxa"/>
            <w:vAlign w:val="bottom"/>
          </w:tcPr>
          <w:p>
            <w:pPr>
              <w:spacing w:after="0"/>
              <w:rPr>
                <w:sz w:val="15"/>
                <w:szCs w:val="15"/>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(209,287)</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(236,836)</w:t>
            </w: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Gain on sale of Modex shares</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1,427,686</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Loss on disposal of fixed assets</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(66,777)</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(11,098)</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(66,777)</w:t>
            </w: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13,528</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(20,776)</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1,425,781</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200,501</w:t>
            </w: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($2,539,226)</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($6,711,046)</w:t>
            </w:r>
          </w:p>
        </w:tc>
        <w:tc>
          <w:tcPr>
            <w:tcW w:w="320" w:type="dxa"/>
            <w:vAlign w:val="bottom"/>
          </w:tcPr>
          <w:p>
            <w:pPr>
              <w:spacing w:after="0"/>
              <w:rPr>
                <w:sz w:val="15"/>
                <w:szCs w:val="15"/>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($4,865,190)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($10,483,760)</w:t>
            </w:r>
          </w:p>
        </w:tc>
      </w:tr>
      <w:tr>
        <w:trPr>
          <w:trHeight w:val="350"/>
        </w:trPr>
        <w:tc>
          <w:tcPr>
            <w:tcW w:w="5080" w:type="dxa"/>
            <w:vAlign w:val="bottom"/>
          </w:tcPr>
          <w:p>
            <w:pPr>
              <w:ind w:left="440"/>
              <w:spacing w:after="0"/>
              <w:rPr>
                <w:sz w:val="20"/>
                <w:szCs w:val="20"/>
                <w:color w:val="auto"/>
              </w:rPr>
            </w:pPr>
            <w:r>
              <w:rPr>
                <w:rFonts w:ascii="Courier New" w:cs="Courier New" w:eastAsia="Courier New" w:hAnsi="Courier New"/>
                <w:sz w:val="15"/>
                <w:szCs w:val="15"/>
                <w:color w:val="auto"/>
              </w:rPr>
              <w:t>Deemed dividend  (Note 5)</w:t>
            </w:r>
          </w:p>
        </w:tc>
        <w:tc>
          <w:tcPr>
            <w:tcW w:w="280" w:type="dxa"/>
            <w:vAlign w:val="bottom"/>
          </w:tcPr>
          <w:p>
            <w:pPr>
              <w:spacing w:after="0"/>
              <w:rPr>
                <w:sz w:val="24"/>
                <w:szCs w:val="24"/>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24"/>
                <w:szCs w:val="24"/>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(265,000)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 shareholders</w:t>
            </w:r>
          </w:p>
        </w:tc>
        <w:tc>
          <w:tcPr>
            <w:tcW w:w="28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($2,539,226)</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($6,711,046)</w:t>
            </w:r>
          </w:p>
        </w:tc>
        <w:tc>
          <w:tcPr>
            <w:tcW w:w="320" w:type="dxa"/>
            <w:vAlign w:val="bottom"/>
          </w:tcPr>
          <w:p>
            <w:pPr>
              <w:spacing w:after="0"/>
              <w:rPr>
                <w:sz w:val="15"/>
                <w:szCs w:val="15"/>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($5,130,190)</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($10,483,760)</w:t>
            </w: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common share</w:t>
            </w:r>
          </w:p>
        </w:tc>
        <w:tc>
          <w:tcPr>
            <w:tcW w:w="280" w:type="dxa"/>
            <w:vAlign w:val="bottom"/>
          </w:tcPr>
          <w:p>
            <w:pPr>
              <w:spacing w:after="0"/>
              <w:rPr>
                <w:sz w:val="15"/>
                <w:szCs w:val="15"/>
                <w:color w:val="auto"/>
              </w:rPr>
            </w:pPr>
          </w:p>
        </w:tc>
        <w:tc>
          <w:tcPr>
            <w:tcW w:w="13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($0.13)</w:t>
            </w:r>
          </w:p>
        </w:tc>
        <w:tc>
          <w:tcPr>
            <w:tcW w:w="360" w:type="dxa"/>
            <w:vAlign w:val="bottom"/>
          </w:tcPr>
          <w:p>
            <w:pPr>
              <w:spacing w:after="0"/>
              <w:rPr>
                <w:sz w:val="15"/>
                <w:szCs w:val="15"/>
                <w:color w:val="auto"/>
              </w:rPr>
            </w:pPr>
          </w:p>
        </w:tc>
        <w:tc>
          <w:tcPr>
            <w:tcW w:w="13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($ 0.36)</w:t>
            </w:r>
          </w:p>
        </w:tc>
        <w:tc>
          <w:tcPr>
            <w:tcW w:w="320" w:type="dxa"/>
            <w:vAlign w:val="bottom"/>
          </w:tcPr>
          <w:p>
            <w:pPr>
              <w:spacing w:after="0"/>
              <w:rPr>
                <w:sz w:val="15"/>
                <w:szCs w:val="15"/>
                <w:color w:val="auto"/>
              </w:rPr>
            </w:pPr>
          </w:p>
        </w:tc>
        <w:tc>
          <w:tcPr>
            <w:tcW w:w="14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($ 0.26)</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($ 0.56)</w:t>
            </w: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508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w:t>
            </w: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5080" w:type="dxa"/>
            <w:vAlign w:val="bottom"/>
          </w:tcPr>
          <w:p>
            <w:pPr>
              <w:ind w:left="820"/>
              <w:spacing w:after="0"/>
              <w:rPr>
                <w:sz w:val="20"/>
                <w:szCs w:val="20"/>
                <w:color w:val="auto"/>
              </w:rPr>
            </w:pPr>
            <w:r>
              <w:rPr>
                <w:rFonts w:ascii="Courier New" w:cs="Courier New" w:eastAsia="Courier New" w:hAnsi="Courier New"/>
                <w:sz w:val="15"/>
                <w:szCs w:val="15"/>
                <w:color w:val="auto"/>
              </w:rPr>
              <w:t>loss per common share</w:t>
            </w:r>
          </w:p>
        </w:tc>
        <w:tc>
          <w:tcPr>
            <w:tcW w:w="280" w:type="dxa"/>
            <w:vAlign w:val="bottom"/>
          </w:tcPr>
          <w:p>
            <w:pPr>
              <w:spacing w:after="0"/>
              <w:rPr>
                <w:sz w:val="15"/>
                <w:szCs w:val="15"/>
                <w:color w:val="auto"/>
              </w:rPr>
            </w:pPr>
          </w:p>
        </w:tc>
        <w:tc>
          <w:tcPr>
            <w:tcW w:w="13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20,203,573</w:t>
            </w:r>
          </w:p>
        </w:tc>
        <w:tc>
          <w:tcPr>
            <w:tcW w:w="360" w:type="dxa"/>
            <w:vAlign w:val="bottom"/>
          </w:tcPr>
          <w:p>
            <w:pPr>
              <w:spacing w:after="0"/>
              <w:rPr>
                <w:sz w:val="15"/>
                <w:szCs w:val="15"/>
                <w:color w:val="auto"/>
              </w:rPr>
            </w:pPr>
          </w:p>
        </w:tc>
        <w:tc>
          <w:tcPr>
            <w:tcW w:w="13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18,712,632</w:t>
            </w:r>
          </w:p>
        </w:tc>
        <w:tc>
          <w:tcPr>
            <w:tcW w:w="320" w:type="dxa"/>
            <w:vAlign w:val="bottom"/>
          </w:tcPr>
          <w:p>
            <w:pPr>
              <w:spacing w:after="0"/>
              <w:rPr>
                <w:sz w:val="15"/>
                <w:szCs w:val="15"/>
                <w:color w:val="auto"/>
              </w:rPr>
            </w:pPr>
          </w:p>
        </w:tc>
        <w:tc>
          <w:tcPr>
            <w:tcW w:w="14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19,682,590</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18,560,675</w:t>
            </w:r>
          </w:p>
        </w:tc>
      </w:tr>
      <w:tr>
        <w:trPr>
          <w:trHeight w:val="175"/>
        </w:trPr>
        <w:tc>
          <w:tcPr>
            <w:tcW w:w="5080" w:type="dxa"/>
            <w:vAlign w:val="bottom"/>
          </w:tcPr>
          <w:p>
            <w:pPr>
              <w:spacing w:after="0"/>
              <w:rPr>
                <w:sz w:val="15"/>
                <w:szCs w:val="15"/>
                <w:color w:val="auto"/>
              </w:rPr>
            </w:pPr>
          </w:p>
        </w:tc>
        <w:tc>
          <w:tcPr>
            <w:tcW w:w="16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1520"/>
          </w:cols>
          <w:pgMar w:left="240" w:top="817" w:right="13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spacing w:after="0"/>
              <w:rPr>
                <w:sz w:val="14"/>
                <w:szCs w:val="14"/>
                <w:color w:val="auto"/>
              </w:rPr>
            </w:pPr>
          </w:p>
        </w:tc>
        <w:tc>
          <w:tcPr>
            <w:tcW w:w="2720" w:type="dxa"/>
            <w:vAlign w:val="bottom"/>
            <w:gridSpan w:val="2"/>
          </w:tcPr>
          <w:p>
            <w:pPr>
              <w:jc w:val="right"/>
              <w:ind w:right="724"/>
              <w:spacing w:after="0"/>
              <w:rPr>
                <w:sz w:val="20"/>
                <w:szCs w:val="20"/>
                <w:color w:val="auto"/>
              </w:rPr>
            </w:pPr>
            <w:r>
              <w:rPr>
                <w:rFonts w:ascii="Courier New" w:cs="Courier New" w:eastAsia="Courier New" w:hAnsi="Courier New"/>
                <w:sz w:val="15"/>
                <w:szCs w:val="15"/>
                <w:color w:val="auto"/>
              </w:rPr>
              <w:t>Nine Months Ended</w:t>
            </w:r>
          </w:p>
        </w:tc>
      </w:tr>
      <w:tr>
        <w:trPr>
          <w:trHeight w:val="175"/>
        </w:trPr>
        <w:tc>
          <w:tcPr>
            <w:tcW w:w="6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720" w:type="dxa"/>
            <w:vAlign w:val="bottom"/>
            <w:gridSpan w:val="2"/>
          </w:tcPr>
          <w:p>
            <w:pPr>
              <w:jc w:val="right"/>
              <w:ind w:right="824"/>
              <w:spacing w:after="0"/>
              <w:rPr>
                <w:sz w:val="20"/>
                <w:szCs w:val="20"/>
                <w:color w:val="auto"/>
              </w:rPr>
            </w:pPr>
            <w:r>
              <w:rPr>
                <w:rFonts w:ascii="Courier New" w:cs="Courier New" w:eastAsia="Courier New" w:hAnsi="Courier New"/>
                <w:sz w:val="15"/>
                <w:szCs w:val="15"/>
                <w:color w:val="auto"/>
              </w:rPr>
              <w:t>September 30,</w:t>
            </w:r>
          </w:p>
        </w:tc>
      </w:tr>
      <w:tr>
        <w:trPr>
          <w:trHeight w:val="175"/>
        </w:trPr>
        <w:tc>
          <w:tcPr>
            <w:tcW w:w="6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1999</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6300" w:type="dxa"/>
            <w:vAlign w:val="bottom"/>
          </w:tcPr>
          <w:p>
            <w:pPr>
              <w:ind w:left="360"/>
              <w:spacing w:after="0"/>
              <w:rPr>
                <w:sz w:val="20"/>
                <w:szCs w:val="20"/>
                <w:color w:val="auto"/>
              </w:rPr>
            </w:pPr>
            <w:r>
              <w:rPr>
                <w:rFonts w:ascii="Courier New" w:cs="Courier New" w:eastAsia="Courier New" w:hAnsi="Courier New"/>
                <w:sz w:val="15"/>
                <w:szCs w:val="15"/>
                <w:color w:val="auto"/>
              </w:rPr>
              <w:t>Net Loss</w:t>
            </w: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($4,865,190)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($10,483,760)</w:t>
            </w:r>
          </w:p>
        </w:tc>
      </w:tr>
      <w:tr>
        <w:trPr>
          <w:trHeight w:val="175"/>
        </w:trPr>
        <w:tc>
          <w:tcPr>
            <w:tcW w:w="6300" w:type="dxa"/>
            <w:vAlign w:val="bottom"/>
          </w:tcPr>
          <w:p>
            <w:pPr>
              <w:ind w:left="360"/>
              <w:spacing w:after="0"/>
              <w:rPr>
                <w:sz w:val="20"/>
                <w:szCs w:val="20"/>
                <w:color w:val="auto"/>
              </w:rPr>
            </w:pPr>
            <w:r>
              <w:rPr>
                <w:rFonts w:ascii="Courier New" w:cs="Courier New" w:eastAsia="Courier New" w:hAnsi="Courier New"/>
                <w:sz w:val="15"/>
                <w:szCs w:val="15"/>
                <w:color w:val="auto"/>
              </w:rPr>
              <w:t>Gain on sale of Modex shares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(1,427,686)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300" w:type="dxa"/>
            <w:vAlign w:val="bottom"/>
          </w:tcPr>
          <w:p>
            <w:pPr>
              <w:ind w:left="540"/>
              <w:spacing w:after="0"/>
              <w:rPr>
                <w:sz w:val="20"/>
                <w:szCs w:val="20"/>
                <w:color w:val="auto"/>
              </w:rPr>
            </w:pPr>
            <w:r>
              <w:rPr>
                <w:rFonts w:ascii="Courier New" w:cs="Courier New" w:eastAsia="Courier New" w:hAnsi="Courier New"/>
                <w:sz w:val="15"/>
                <w:szCs w:val="15"/>
                <w:color w:val="auto"/>
              </w:rPr>
              <w:t>used for operating activities:</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Depreciation and amortization</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617,447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1,603,691</w:t>
            </w: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Write down of fixed assets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800,000</w:t>
            </w: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Deferred stock compensation</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464,363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244,337</w:t>
            </w: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Loss on sale of fixed assets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66,777</w:t>
            </w:r>
          </w:p>
        </w:tc>
      </w:tr>
      <w:tr>
        <w:trPr>
          <w:trHeight w:val="175"/>
        </w:trPr>
        <w:tc>
          <w:tcPr>
            <w:tcW w:w="6300" w:type="dxa"/>
            <w:vAlign w:val="bottom"/>
          </w:tcPr>
          <w:p>
            <w:pPr>
              <w:ind w:left="720"/>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(3,086,775)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(1,978,807)</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Net cash used in operating activities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(8,297,841)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(9,747,762)</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marketable securities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11,317,482</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Purchases of marketable securities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(4,397,676)</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encapsulated cell technology</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2,800,000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Purchase of property, plant and equipment, net</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(18,901)</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(47,210)</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sale of Modex shares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1,427,686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Acquisition of other assets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(138,090)</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4,208,785</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6,734,505</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the exercise of stock options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553,586</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548,225</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common stock</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4,764,150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preferred stock</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1,500,000</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Principal payments under capitalized lease obligations and</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300" w:type="dxa"/>
            <w:vAlign w:val="bottom"/>
          </w:tcPr>
          <w:p>
            <w:pPr>
              <w:ind w:left="820"/>
              <w:spacing w:after="0"/>
              <w:rPr>
                <w:sz w:val="20"/>
                <w:szCs w:val="20"/>
                <w:color w:val="auto"/>
              </w:rPr>
            </w:pPr>
            <w:r>
              <w:rPr>
                <w:rFonts w:ascii="Courier New" w:cs="Courier New" w:eastAsia="Courier New" w:hAnsi="Courier New"/>
                <w:sz w:val="15"/>
                <w:szCs w:val="15"/>
                <w:color w:val="auto"/>
              </w:rPr>
              <w:t>mortgage payable</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(241,667)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(1,710,833)</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ind w:left="440"/>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6,576,069</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(1,162,608)</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 equivalents</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2,487,013</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(4,175,865)</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period</w:t>
            </w:r>
          </w:p>
        </w:tc>
        <w:tc>
          <w:tcPr>
            <w:tcW w:w="780" w:type="dxa"/>
            <w:vAlign w:val="bottom"/>
          </w:tcPr>
          <w:p>
            <w:pPr>
              <w:spacing w:after="0"/>
              <w:rPr>
                <w:sz w:val="15"/>
                <w:szCs w:val="15"/>
                <w:color w:val="auto"/>
              </w:rPr>
            </w:pP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4,760,064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7,864,788</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63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period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7,247,077</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   3,688,923</w:t>
            </w:r>
          </w:p>
        </w:tc>
      </w:tr>
      <w:tr>
        <w:trPr>
          <w:trHeight w:val="175"/>
        </w:trPr>
        <w:tc>
          <w:tcPr>
            <w:tcW w:w="6300" w:type="dxa"/>
            <w:vAlign w:val="bottom"/>
          </w:tcPr>
          <w:p>
            <w:pPr>
              <w:spacing w:after="0"/>
              <w:rPr>
                <w:sz w:val="15"/>
                <w:szCs w:val="15"/>
                <w:color w:val="auto"/>
              </w:rPr>
            </w:pPr>
          </w:p>
        </w:tc>
        <w:tc>
          <w:tcPr>
            <w:tcW w:w="2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6300" w:type="dxa"/>
            <w:vAlign w:val="bottom"/>
          </w:tcPr>
          <w:p>
            <w:pPr>
              <w:spacing w:after="0"/>
              <w:rPr>
                <w:sz w:val="20"/>
                <w:szCs w:val="20"/>
                <w:color w:val="auto"/>
              </w:rPr>
            </w:pPr>
            <w:r>
              <w:rPr>
                <w:rFonts w:ascii="Courier New" w:cs="Courier New" w:eastAsia="Courier New" w:hAnsi="Courier New"/>
                <w:sz w:val="15"/>
                <w:szCs w:val="15"/>
                <w:color w:val="auto"/>
              </w:rPr>
              <w:t>Non-cash item:</w:t>
            </w:r>
          </w:p>
        </w:tc>
        <w:tc>
          <w:tcPr>
            <w:tcW w:w="7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75"/>
        </w:trPr>
        <w:tc>
          <w:tcPr>
            <w:tcW w:w="6300" w:type="dxa"/>
            <w:vAlign w:val="bottom"/>
          </w:tcPr>
          <w:p>
            <w:pPr>
              <w:ind w:left="540"/>
              <w:spacing w:after="0"/>
              <w:rPr>
                <w:sz w:val="20"/>
                <w:szCs w:val="20"/>
                <w:color w:val="auto"/>
              </w:rPr>
            </w:pPr>
            <w:r>
              <w:rPr>
                <w:rFonts w:ascii="Courier New" w:cs="Courier New" w:eastAsia="Courier New" w:hAnsi="Courier New"/>
                <w:sz w:val="15"/>
                <w:szCs w:val="15"/>
                <w:color w:val="auto"/>
              </w:rPr>
              <w:t>Stock subscription receivable</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1,250,004</w:t>
            </w:r>
          </w:p>
        </w:tc>
        <w:tc>
          <w:tcPr>
            <w:tcW w:w="1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8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PART I - ITEM 1. - FINANCIAL STATEMENTS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 and 1999</w:t>
      </w:r>
    </w:p>
    <w:p>
      <w:pPr>
        <w:spacing w:after="0" w:line="180"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1.</w:t>
        <w:tab/>
        <w:t>BASIS OF PRESENTATION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nine months ended September 30, 2000 are not necessarily indicative of the results that may be expected for the entire fiscal year ending December 31, 2000.</w:t>
      </w:r>
    </w:p>
    <w:p>
      <w:pPr>
        <w:spacing w:after="0" w:line="183"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balance sheet at December 31, 1999 has been derived from the audited financial statements at that date but does not include all of the information and footnotes required for complete financial statements in accordance with generally accepted accounting principles in the United States. For the complete financial statements, refer to the audited financial statements and footnotes thereto as of December 31, 1999.</w:t>
      </w:r>
    </w:p>
    <w:p>
      <w:pPr>
        <w:spacing w:after="0" w:line="17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LOSS PER SHARE</w:t>
      </w:r>
    </w:p>
    <w:p>
      <w:pPr>
        <w:spacing w:after="0" w:line="200" w:lineRule="exact"/>
        <w:rPr>
          <w:sz w:val="20"/>
          <w:szCs w:val="20"/>
          <w:color w:val="auto"/>
        </w:rPr>
      </w:pPr>
    </w:p>
    <w:p>
      <w:pPr>
        <w:spacing w:after="0" w:line="32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Net loss-per-share is computed using the weighted-average number of shares of common stock outstanding. The value associated with the beneficial conversion feature of certain preferred stock has been treated as a deemed dividend in the computation of earnings per share (see Note 6 "Beneficial Conversion Value of 6% Cumulative Convertible Preferred Stock.) Common equivalent shares from stock options and warrants are excluded, as their effect is antidilutive.</w:t>
      </w:r>
    </w:p>
    <w:p>
      <w:pPr>
        <w:spacing w:after="0" w:line="200" w:lineRule="exact"/>
        <w:rPr>
          <w:sz w:val="20"/>
          <w:szCs w:val="20"/>
          <w:color w:val="auto"/>
        </w:rPr>
      </w:pPr>
    </w:p>
    <w:p>
      <w:pPr>
        <w:spacing w:after="0" w:line="328"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INCOME</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For the nine months ended September 30, 2000 and 1999, total comprehensive income/(loss) was $22,339,143 and ($10,483,760) respectively. The reported net loss for the nine months ended September 30, 2000 and 1999 was $4,865,190 and $10,483,760.</w:t>
      </w:r>
    </w:p>
    <w:p>
      <w:pPr>
        <w:spacing w:after="0" w:line="200" w:lineRule="exact"/>
        <w:rPr>
          <w:sz w:val="20"/>
          <w:szCs w:val="20"/>
          <w:color w:val="auto"/>
        </w:rPr>
      </w:pPr>
    </w:p>
    <w:p>
      <w:pPr>
        <w:spacing w:after="0" w:line="327" w:lineRule="exact"/>
        <w:rPr>
          <w:sz w:val="20"/>
          <w:szCs w:val="20"/>
          <w:color w:val="auto"/>
        </w:rPr>
      </w:pPr>
    </w:p>
    <w:p>
      <w:pPr>
        <w:ind w:left="820" w:right="3419" w:hanging="817"/>
        <w:spacing w:after="0" w:line="247" w:lineRule="auto"/>
        <w:tabs>
          <w:tab w:leader="none" w:pos="800" w:val="left"/>
        </w:tabs>
        <w:rPr>
          <w:sz w:val="20"/>
          <w:szCs w:val="20"/>
          <w:color w:val="auto"/>
        </w:rPr>
      </w:pPr>
      <w:r>
        <w:rPr>
          <w:rFonts w:ascii="Courier New" w:cs="Courier New" w:eastAsia="Courier New" w:hAnsi="Courier New"/>
          <w:sz w:val="15"/>
          <w:szCs w:val="15"/>
          <w:color w:val="auto"/>
        </w:rPr>
        <w:t>NOTE 4.</w:t>
        <w:tab/>
        <w:t>WIND-DOWN OF ENCAPSULATED CELL TECHNOLOGY RESEARCH AND DEVELOPMENT PROGRAM</w:t>
      </w:r>
    </w:p>
    <w:p>
      <w:pPr>
        <w:spacing w:after="0" w:line="175"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As previously reported, in 1999 the Company restructured its operations to abandon all further encapsulated cell technology research and concentrate its resources on the research and development of its proprietary platform of stem cell technologies. The Company relocated its remaining research and development activities and its corporate headquarters to California, and has been seeking to dispose of its former science and administrative and pilot manufacturing facilities in Rhode Island.</w:t>
      </w:r>
    </w:p>
    <w:p>
      <w:pPr>
        <w:spacing w:after="0" w:line="354"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During the first six months of 2000 we incurred $288,646 of costs in excess of the amounts reserved as of December 31, 1999 for the carrying costs of the Rhode Island facilities. During the third quarter we incurred an additional $480,087 in carrying costs, including lease payments, property taxes and utilities, for the Rhode Island facilities, as we were unable to dispose of them by June 30, 2000, as expected. These amounts were previously included in general and administrative expense, and have been reclassified to be separately disclosed as encapsulated cell therapy wind down and corporate relocation expense because they were directly related to the wind down and relocation. We anticipate that we will incur a similar amount in the fourth quarter of 2000 and in every quarter thereafter until we dispose of these facilities. We do not currently have a projected date for such disposal and there can be no assurance that we will be able to dispose of these facilities in a reasonable time, if at all.</w:t>
      </w:r>
    </w:p>
    <w:p>
      <w:pPr>
        <w:spacing w:after="0" w:line="35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Some additional items that were more properly included in research and development were also reclassified out of general and administrative expense, and facilities costs were more accurately spread between research and development and general and administrative expense.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5.</w:t>
        <w:tab/>
        <w:t>INVESTMENTS</w:t>
      </w:r>
    </w:p>
    <w:p>
      <w:pPr>
        <w:sectPr>
          <w:pgSz w:w="11900" w:h="16838" w:orient="portrait"/>
          <w:cols w:equalWidth="0" w:num="1">
            <w:col w:w="10219"/>
          </w:cols>
          <w:pgMar w:left="240" w:top="642" w:right="1440" w:bottom="81" w:gutter="0" w:footer="0" w:header="0"/>
        </w:sectPr>
      </w:pPr>
    </w:p>
    <w:bookmarkStart w:id="6" w:name="page7"/>
    <w:bookmarkEnd w:id="6"/>
    <w:p>
      <w:pPr>
        <w:ind w:right="2959" w:firstLine="454"/>
        <w:spacing w:after="0" w:line="246" w:lineRule="auto"/>
        <w:rPr>
          <w:sz w:val="20"/>
          <w:szCs w:val="20"/>
          <w:color w:val="auto"/>
        </w:rPr>
      </w:pPr>
      <w:r>
        <w:rPr>
          <w:rFonts w:ascii="Courier New" w:cs="Courier New" w:eastAsia="Courier New" w:hAnsi="Courier New"/>
          <w:sz w:val="15"/>
          <w:szCs w:val="15"/>
          <w:color w:val="auto"/>
        </w:rPr>
        <w:t>At September 30, 2000, the Company owned 126,193 shares of Modex Therapeutics Ltd. ("Modex"). This Swiss biotechnology company made an initial public offering of shares on the Swiss Exchange on June 23, 2000. Accordingly, with an established market value, the investment is recorded as available-for-sale at an estimated fair market value . The market price of Modex shares was 372 Swiss Francs per share on September 30, 2000, which converts to $215.58 per share and results in an estimated fair value of $27,204,333 for the Company's holdings. The unrealized gain was reported in other comprehensive income. On October 31, 2000 the market price of Modex shares was 329.50 Swiss Francs per share, which converts to $183.28 per share and results in an estimated fair value of $23,128,598 for the Company's holdings.</w:t>
      </w:r>
    </w:p>
    <w:p>
      <w:pPr>
        <w:spacing w:after="0" w:line="200" w:lineRule="exact"/>
        <w:rPr>
          <w:sz w:val="20"/>
          <w:szCs w:val="20"/>
          <w:color w:val="auto"/>
        </w:rPr>
      </w:pPr>
    </w:p>
    <w:p>
      <w:pPr>
        <w:spacing w:after="0" w:line="331" w:lineRule="exact"/>
        <w:rPr>
          <w:sz w:val="20"/>
          <w:szCs w:val="20"/>
          <w:color w:val="auto"/>
        </w:rPr>
      </w:pPr>
    </w:p>
    <w:tbl>
      <w:tblPr>
        <w:tblLayout w:type="fixed"/>
        <w:tblInd w:w="2820" w:type="dxa"/>
        <w:tblCellMar>
          <w:top w:w="0" w:type="dxa"/>
          <w:left w:w="0" w:type="dxa"/>
          <w:bottom w:w="0" w:type="dxa"/>
          <w:right w:w="0" w:type="dxa"/>
        </w:tblCellMar>
      </w:tblPr>
      <w:tr>
        <w:trPr>
          <w:trHeight w:val="170"/>
        </w:trPr>
        <w:tc>
          <w:tcPr>
            <w:tcW w:w="54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COST</w:t>
            </w:r>
          </w:p>
        </w:tc>
        <w:tc>
          <w:tcPr>
            <w:tcW w:w="29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Gross Unrealized Gain</w:t>
            </w:r>
          </w:p>
        </w:tc>
        <w:tc>
          <w:tcPr>
            <w:tcW w:w="3140" w:type="dxa"/>
            <w:vAlign w:val="bottom"/>
          </w:tcPr>
          <w:p>
            <w:pPr>
              <w:jc w:val="right"/>
              <w:spacing w:after="0"/>
              <w:rPr>
                <w:sz w:val="20"/>
                <w:szCs w:val="20"/>
                <w:color w:val="auto"/>
              </w:rPr>
            </w:pPr>
            <w:r>
              <w:rPr>
                <w:rFonts w:ascii="Courier New" w:cs="Courier New" w:eastAsia="Courier New" w:hAnsi="Courier New"/>
                <w:sz w:val="15"/>
                <w:szCs w:val="15"/>
                <w:color w:val="auto"/>
              </w:rPr>
              <w:t>Fair Value September 30, 2000</w:t>
            </w:r>
          </w:p>
        </w:tc>
      </w:tr>
      <w:tr>
        <w:trPr>
          <w:trHeight w:val="175"/>
        </w:trPr>
        <w:tc>
          <w:tcPr>
            <w:tcW w:w="54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w:t>
            </w:r>
          </w:p>
        </w:tc>
        <w:tc>
          <w:tcPr>
            <w:tcW w:w="2940" w:type="dxa"/>
            <w:vAlign w:val="bottom"/>
          </w:tcPr>
          <w:p>
            <w:pPr>
              <w:spacing w:after="0"/>
              <w:rPr>
                <w:sz w:val="15"/>
                <w:szCs w:val="15"/>
                <w:color w:val="auto"/>
              </w:rPr>
            </w:pPr>
          </w:p>
        </w:tc>
        <w:tc>
          <w:tcPr>
            <w:tcW w:w="3140" w:type="dxa"/>
            <w:vAlign w:val="bottom"/>
          </w:tcPr>
          <w:p>
            <w:pPr>
              <w:spacing w:after="0"/>
              <w:rPr>
                <w:sz w:val="15"/>
                <w:szCs w:val="15"/>
                <w:color w:val="auto"/>
              </w:rPr>
            </w:pPr>
          </w:p>
        </w:tc>
      </w:tr>
      <w:tr>
        <w:trPr>
          <w:trHeight w:val="350"/>
        </w:trPr>
        <w:tc>
          <w:tcPr>
            <w:tcW w:w="540" w:type="dxa"/>
            <w:vAlign w:val="bottom"/>
          </w:tcPr>
          <w:p>
            <w:pPr>
              <w:jc w:val="center"/>
              <w:ind w:right="124"/>
              <w:spacing w:after="0"/>
              <w:rPr>
                <w:sz w:val="20"/>
                <w:szCs w:val="20"/>
                <w:color w:val="auto"/>
              </w:rPr>
            </w:pPr>
            <w:r>
              <w:rPr>
                <w:rFonts w:ascii="Courier New" w:cs="Courier New" w:eastAsia="Courier New" w:hAnsi="Courier New"/>
                <w:sz w:val="15"/>
                <w:szCs w:val="15"/>
                <w:color w:val="auto"/>
                <w:w w:val="99"/>
              </w:rPr>
              <w:t>$0</w:t>
            </w:r>
          </w:p>
        </w:tc>
        <w:tc>
          <w:tcPr>
            <w:tcW w:w="2940" w:type="dxa"/>
            <w:vAlign w:val="bottom"/>
          </w:tcPr>
          <w:p>
            <w:pPr>
              <w:jc w:val="right"/>
              <w:ind w:right="1224"/>
              <w:spacing w:after="0"/>
              <w:rPr>
                <w:sz w:val="20"/>
                <w:szCs w:val="20"/>
                <w:color w:val="auto"/>
              </w:rPr>
            </w:pPr>
            <w:r>
              <w:rPr>
                <w:rFonts w:ascii="Courier New" w:cs="Courier New" w:eastAsia="Courier New" w:hAnsi="Courier New"/>
                <w:sz w:val="15"/>
                <w:szCs w:val="15"/>
                <w:color w:val="auto"/>
              </w:rPr>
              <w:t>$27,204,333</w:t>
            </w:r>
          </w:p>
        </w:tc>
        <w:tc>
          <w:tcPr>
            <w:tcW w:w="314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$27,204,333</w:t>
            </w:r>
          </w:p>
        </w:tc>
      </w:tr>
      <w:tr>
        <w:trPr>
          <w:trHeight w:val="524"/>
        </w:trPr>
        <w:tc>
          <w:tcPr>
            <w:tcW w:w="540" w:type="dxa"/>
            <w:vAlign w:val="bottom"/>
          </w:tcPr>
          <w:p>
            <w:pPr>
              <w:spacing w:after="0"/>
              <w:rPr>
                <w:sz w:val="24"/>
                <w:szCs w:val="24"/>
                <w:color w:val="auto"/>
              </w:rPr>
            </w:pPr>
          </w:p>
        </w:tc>
        <w:tc>
          <w:tcPr>
            <w:tcW w:w="2940" w:type="dxa"/>
            <w:vAlign w:val="bottom"/>
          </w:tcPr>
          <w:p>
            <w:pPr>
              <w:jc w:val="right"/>
              <w:ind w:right="2604"/>
              <w:spacing w:after="0"/>
              <w:rPr>
                <w:sz w:val="20"/>
                <w:szCs w:val="20"/>
                <w:color w:val="auto"/>
              </w:rPr>
            </w:pPr>
            <w:r>
              <w:rPr>
                <w:rFonts w:ascii="Courier New" w:cs="Courier New" w:eastAsia="Courier New" w:hAnsi="Courier New"/>
                <w:sz w:val="15"/>
                <w:szCs w:val="15"/>
                <w:color w:val="auto"/>
              </w:rPr>
              <w:t>6</w:t>
            </w:r>
          </w:p>
        </w:tc>
        <w:tc>
          <w:tcPr>
            <w:tcW w:w="3140" w:type="dxa"/>
            <w:vAlign w:val="bottom"/>
          </w:tcPr>
          <w:p>
            <w:pPr>
              <w:spacing w:after="0"/>
              <w:rPr>
                <w:sz w:val="24"/>
                <w:szCs w:val="24"/>
                <w:color w:val="auto"/>
              </w:rPr>
            </w:pPr>
          </w:p>
        </w:tc>
      </w:tr>
    </w:tbl>
    <w:p>
      <w:pPr>
        <w:sectPr>
          <w:pgSz w:w="11900" w:h="16838" w:orient="portrait"/>
          <w:cols w:equalWidth="0" w:num="1">
            <w:col w:w="10219"/>
          </w:cols>
          <w:pgMar w:left="240" w:top="316"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NOTE 6. BENEFICIAL CONVERSION VALUE OF 6% CUMULATIVE CONVERTIBLE PREFERRED STOCK</w:t>
      </w:r>
    </w:p>
    <w:p>
      <w:pPr>
        <w:spacing w:after="0" w:line="200" w:lineRule="exact"/>
        <w:rPr>
          <w:sz w:val="20"/>
          <w:szCs w:val="20"/>
          <w:color w:val="auto"/>
        </w:rPr>
      </w:pPr>
    </w:p>
    <w:p>
      <w:pPr>
        <w:spacing w:after="0" w:line="329"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previously reported, the Company sold 1,500 shares of its 6% cumulative convertible preferred stock plus a warrant for 75,000 shares of the Company's common stock to two members of its Board of Directors for $1,500,000 on terms more favorable to the Company than it was then able to obtain from outside investors. The face value of the shares are convertible at the option of the holders into common stock at $3.77 per share. The Company has valued the beneficial conversion feature reflecting the April 13, 2000 commitment date and the most beneficial per share discount available to the preferred shareholders. Such value was $265,000 and is treated as a deemed dividend as of the commitment date.</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SALE OF SECURITIES</w:t>
      </w:r>
    </w:p>
    <w:p>
      <w:pPr>
        <w:spacing w:after="0" w:line="200" w:lineRule="exact"/>
        <w:rPr>
          <w:sz w:val="20"/>
          <w:szCs w:val="20"/>
          <w:color w:val="auto"/>
        </w:rPr>
      </w:pPr>
    </w:p>
    <w:p>
      <w:pPr>
        <w:spacing w:after="0" w:line="329"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 closing and will receive the remaining $1 million upon effectiveness of a registration statement covering the shares owned by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was treated as a credit to paid in capital stockholders' equity. The Company has accounted for the sale of the stock and warrants or the exercise of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 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will pay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 underlying share. The calculated value of this callable warrant using the Black-Scholes method is $139,897, which the Company accounted for as a credit to paid in capital.</w:t>
      </w:r>
    </w:p>
    <w:p>
      <w:pPr>
        <w:spacing w:after="0" w:line="200" w:lineRule="exact"/>
        <w:rPr>
          <w:sz w:val="20"/>
          <w:szCs w:val="20"/>
          <w:color w:val="auto"/>
        </w:rPr>
      </w:pPr>
    </w:p>
    <w:p>
      <w:pPr>
        <w:spacing w:after="0" w:line="33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992"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NOTE 8. SUBSEQUENT EVENTS</w:t>
      </w:r>
    </w:p>
    <w:p>
      <w:pPr>
        <w:spacing w:after="0" w:line="200" w:lineRule="exact"/>
        <w:rPr>
          <w:sz w:val="20"/>
          <w:szCs w:val="20"/>
          <w:color w:val="auto"/>
        </w:rPr>
      </w:pPr>
    </w:p>
    <w:p>
      <w:pPr>
        <w:spacing w:after="0" w:line="329"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As previously reported, in conjunction with the StemCells California merger, the Company adopted the 1997 CytoTherapeutics, Inc. StemCells California Research Stock Option Plan whereby an additional 2,000,000 shares of Common Stock have been reserved. During 1997, the Company awarded options under this plan to purchase 1.6 million shares of the Company's common stock to the Chief Executive Officer and scientific founders of StemCells California, Inc. at an exercise price of $5.25 per share. Under the original grants, approximately 100,000 of these options were exercisable immediately on the date of the grant, 1,031,000 of these options would vest and become exercisable only upon achievement of specified milestones and the remaining 469,000 options would vest over eight years. The Company agreed on October 27, 2000 with Irving Weissman, M.D. and Fred H. Gage, Ph.D., two of the grant recipients, to amend their options. In exchange for the revision of the options, Dr. Weissman and Dr. Gage agreed to rescind their Conduct of Research Agreement with the Company, in all respects, including their right under the Agreement to reacquire certain technology under certain circumstances. Instead of vesting based on performance milestones, Dr. Weissman's and Dr. Gage's options will vest over eight years from the date of the original grant, on the same schedule as the option granted to the third founder, Dr. David Anderson. 168,750 shares vested upon the revision and the remaining 300,000 shares will vest at 50,000 shares on each September 25 until September 25, 2005, when the final 100,000 shares will vest. The exercise price for the revised options remains $5.25 per share. We expect to incur a charge of approximately $1,600,000 during the fourth quarter of 2000 relating to the vested portion of the options. The deferred compensation expense associated with the unvested portion of the grants was determined to be approximately $2.8 million. The Company plans to revalue the options using the Black-Scholes method on a quarterly basis and recognize additional compensation expense, accordingly.</w:t>
      </w:r>
    </w:p>
    <w:p>
      <w:pPr>
        <w:spacing w:after="0" w:line="200" w:lineRule="exact"/>
        <w:rPr>
          <w:sz w:val="20"/>
          <w:szCs w:val="20"/>
          <w:color w:val="auto"/>
        </w:rPr>
      </w:pPr>
    </w:p>
    <w:p>
      <w:pPr>
        <w:spacing w:after="0" w:line="342"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Under a 1997 License Agreement with NeuroSpheres, Ltd., we obtained an exclusive patent license in the field of transplantation. We entered into an additional license agreement with NeuroSpheres as of October 31, 2000, under which we obtained an exclusive license in the field of non-transplant uses, such as drug discovery and drug testing, so that together the licenses are exclusive for all uses of the technology. We will make up-front payments to NeuroSpheres of 65,000 shares of our common stock and $50,000, and additional cash payments when milestones are achieved in the non-transplant field, or in any products employing NeuroSpheres patents for generating cells of the blood and immune system from neural stem cells. Milestone payments would total $500,000 for each product that is approved for market.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RECENT ACCOUNTING PRONOUNCEMENTS</w:t>
      </w:r>
    </w:p>
    <w:p>
      <w:pPr>
        <w:spacing w:after="0" w:line="200" w:lineRule="exact"/>
        <w:rPr>
          <w:sz w:val="20"/>
          <w:szCs w:val="20"/>
          <w:color w:val="auto"/>
        </w:rPr>
      </w:pPr>
    </w:p>
    <w:p>
      <w:pPr>
        <w:spacing w:after="0" w:line="32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which provides a comprehensive and consistent standard for the recognition and measurement of derivatives and hedging activities. SFAS 133 is effective for fiscal years beginning after June 15, 2000 and is not anticipated to have an impact on results of operations or financial condition when adopted as we hold no derivative financial and instruments and do not currently engage in hedging activities.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("SAB101"). SAB 101 summarizes the SEC's views in applying generally accepted accounting principles to revenue recognition. The adoption of SAB 101 had no significant impact on our revenue recognition policy or results of operations.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March 2000, the FASB issued interpretation No. 44, ("FIN44"), "Accounting for Certain Transactions Involving Stock Compensation - an Interpretation of APB 25. "This interpretation clarifies (a) the definition of employee for purposes of applying Opinion 25, (b) the criteria for determining whether a plan qualifies as a noncompensatory plan, (c) the accounting consequence of various modifications to the terms of a previously fixed stock option or award and (d) the accounting for an exchange of stock compensation awards in a business combination. This interpretation is effective July 1, 2000, but certain conclusions in this Interpretation cover specific events that occur after either December 15, 1998, or January 12, 2000. To the extent that this Interpretation covers events occurring during the period after December 15, 1998, or January 12, 2000, but before the effective date of July 1, 2000, the effects of applying this interpretation are recognized on a prospective basis from July 1, 2000. The adoption of FIN 44 does not have a material impact on our financial statements.</w:t>
      </w:r>
    </w:p>
    <w:p>
      <w:pPr>
        <w:spacing w:after="0" w:line="359"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992" w:right="1440" w:bottom="0" w:gutter="0" w:footer="0" w:header="0"/>
        </w:sectPr>
      </w:pPr>
    </w:p>
    <w:bookmarkStart w:id="9" w:name="page10"/>
    <w:bookmarkEnd w:id="9"/>
    <w:p>
      <w:pPr>
        <w:jc w:val="center"/>
        <w:ind w:right="2959"/>
        <w:spacing w:after="0"/>
        <w:rPr>
          <w:sz w:val="20"/>
          <w:szCs w:val="20"/>
          <w:color w:val="auto"/>
        </w:rPr>
      </w:pPr>
      <w:r>
        <w:rPr>
          <w:rFonts w:ascii="Courier New" w:cs="Courier New" w:eastAsia="Courier New" w:hAnsi="Courier New"/>
          <w:sz w:val="15"/>
          <w:szCs w:val="15"/>
          <w:color w:val="auto"/>
        </w:rPr>
        <w:t>ITEM 2. -MANAGEMENT'S DISCUSSION AND ANALYSIS OF FINANCIAL CONDITION AND RESULTS</w:t>
      </w:r>
    </w:p>
    <w:p>
      <w:pPr>
        <w:spacing w:after="0" w:line="5" w:lineRule="exact"/>
        <w:rPr>
          <w:sz w:val="20"/>
          <w:szCs w:val="20"/>
          <w:color w:val="auto"/>
        </w:rPr>
      </w:pPr>
    </w:p>
    <w:p>
      <w:pPr>
        <w:jc w:val="center"/>
        <w:ind w:right="2699"/>
        <w:spacing w:after="0"/>
        <w:rPr>
          <w:sz w:val="20"/>
          <w:szCs w:val="20"/>
          <w:color w:val="auto"/>
        </w:rPr>
      </w:pPr>
      <w:r>
        <w:rPr>
          <w:rFonts w:ascii="Courier New" w:cs="Courier New" w:eastAsia="Courier New" w:hAnsi="Courier New"/>
          <w:sz w:val="15"/>
          <w:szCs w:val="15"/>
          <w:color w:val="auto"/>
        </w:rPr>
        <w:t>OF OPERATIONS</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following discussion of the financial condition and results of operations of the Company for the nine months ended September 30, 2000 and 1999 should be read in conjunction with the accompanying unaudited condensed consolidated financial statements and the related footnotes thereto.</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amended, as of December 31, 1999 could harm our business, operating results and financial condition. All forward looking statements attributable to us or persons acting on our behalf are expressly qualified in their entirety by the cautionary statements and risk factors contained or referred to herein.</w:t>
      </w:r>
    </w:p>
    <w:p>
      <w:pPr>
        <w:spacing w:after="0" w:line="1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OVERVIEW</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As a result of a restructuring in the second half of 1999, our sole focus is now on our stem cell technology. At the beginning of last year, by contrast, our corporate headquarters, most of our employees, and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Sunnyvale, California. Comparisons with last year's results are correspondingly less meaningful than they may be under other circumstances.</w:t>
      </w:r>
    </w:p>
    <w:p>
      <w:pPr>
        <w:spacing w:after="0" w:line="181"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182"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and the initiation or termination of research collaborations, in addition to the winding-down of terminated research and development programs referred to above.</w:t>
      </w:r>
    </w:p>
    <w:p>
      <w:pPr>
        <w:spacing w:after="0" w:line="35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RESULTS OF OPERATIONS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SEPTEMBER 30, 2000 AND 1999</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For the nine months ended September 30, 2000 and 1999, revenues from collaborative agreements totaled $0 and $5,021,707, respectively. The decrease in revenues resulted from the June 1999 termination of a Development, Marketing and License Agreement related to our former ECT. We have not entered into revenue-producing collaborations with respect to our platform of stem cell technologies.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During the second quarter 2000 we realized a $1,427,686 gain in connection with our investment in Modex Therapeutics Ltd ("Modex"), a Swiss biotechnology company that completed an initial public offering on June 23, 2000. At September 30, 2000, we owned 126,193 shares with an estimated fair value of $27,204,333, based on the per share price of $ 215.58 which we converted from a market price of 372.00 Swiss francs on that date. On October 31, 2000 the market price was 329.50 Swiss Francs, which converts to $183.28 and results in an estimated fair value of $23,128,598 for the Company's holdings,</w:t>
      </w:r>
    </w:p>
    <w:p>
      <w:pPr>
        <w:spacing w:after="0" w:line="200" w:lineRule="exact"/>
        <w:rPr>
          <w:sz w:val="20"/>
          <w:szCs w:val="20"/>
          <w:color w:val="auto"/>
        </w:rPr>
      </w:pPr>
    </w:p>
    <w:p>
      <w:pPr>
        <w:spacing w:after="0" w:line="329"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Research and development expenses totaled $3,350,101 for the nine months ended September 30, 2000, compared with $8,432,262 for the same period in 1999. The decrease of $5,082,161, or 60%, from 1999 to 2000 is primarily attributable to lower payroll costs (approximately $882,000) resulting from the restructuring of administrative operations and to the establishment of a smaller corporate office in California (approximately $136,000).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General and administrative expenses were $2,172,137 for the nine months ended September 30, 2000, compared with $3,195,672 for the same period in 1999. The decrease of $1,023,535, or 32%, from 1999 to 2000 was primarily attributable to the establishment of a smaller corporate office in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Wind-down expenses related to our ECT research, our Rhode Island operations and the transfer of our headquarters to Sunnyvale, California for the nine months ended September 2000 and 1999 was $768,733 and $4,078,034 respectively. In 1999 we had created a reserve of $1,634,522 for wind-down expenses related to the first half of 2000, of which approximately $463,000 related to the carrying costs, including lease payments, property taxes and utilities, through an expected June 30, 2000 disposition of the Rhode Island facilities. During the first six months of 2000 we incurred $288,646 of costs in excess of the amounts reserved as of December 31, 1999 for the carrying costs of the Rhode Island facilities. During the third quarter we incurred an additional $480,087 in carrying costs for the Rhode Island facilities, as we were unable to dispose of them by June 30, 2000, as expected. These amounts were previously included in general and administrative expense, and have been reclassified to be separately disclosed as encapsulated cell therapy wind down and corporate relocation expense because they were directly related to the wind down and relocation. We anticipate that we will incur a similar amount in the fourth quarter of 2000 and in every quarter thereafter until we dispose of these facilities. We do not currently have a projected date for such disposal and there can be no assurance that we will be able to dispose of these facilities in a reasonable time, if at all. Some additional items that were more properly included in research and development were also reclassified out of general and administrative expense, and facilities costs were more accurately spread between research and development and general and administrative expense.</w:t>
      </w:r>
    </w:p>
    <w:p>
      <w:pPr>
        <w:spacing w:after="0" w:line="200" w:lineRule="exact"/>
        <w:rPr>
          <w:sz w:val="20"/>
          <w:szCs w:val="20"/>
          <w:color w:val="auto"/>
        </w:rPr>
      </w:pPr>
    </w:p>
    <w:p>
      <w:pPr>
        <w:spacing w:after="0" w:line="339"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Interest income for the nine months ended September 30, 2000 and 1999 was $218,480 and $504,114 respectively. The decrease in interest income in 2000 was attributable to the lower average investment balances during such period. Interest expense was $209,287 for the nine months ended September 30, 2000, compared with $236,836 for the same period in 1999. The decrease in 2000 was attributable to lower outstanding debt and capital lease balances in 2000 compared to 1999.</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loss for the nine months ended September 30, 2000 was $4,865,190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($0.25) per share, as compared to net loss of $10,483,760 or ($0.56)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comparable period in 1999. The decrease in net loss of $5,618,570 or 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the same period in 1999 was primarily attributable to the wind-down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activities relating to the ECT and reflects a gain of $1,427,686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our investment in Modex. We (then known as CytoTherapeutics,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 were one of the founders of Modex, a Swiss biotherapeutics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established in 1996 to pursue encapsulated cell technologies related to our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former programs. After Modex' Initial Public offering on the Swiss Neue Markt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23, 2000 and our sale of 23,807 shares, we own 126,193 shares of Modex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The IPO price was 168.00 Swiss Francs, and the share price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was 372.00 Swiss Francs. On October 31, 2000 the market price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329.50 Swiss Francs. The shares are subject to a lockup for 6 months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the IPO.</w:t>
      </w:r>
    </w:p>
    <w:p>
      <w:pPr>
        <w:sectPr>
          <w:pgSz w:w="11900" w:h="16838" w:orient="portrait"/>
          <w:cols w:equalWidth="0" w:num="1">
            <w:col w:w="10219"/>
          </w:cols>
          <w:pgMar w:left="240" w:top="642" w:right="1440" w:bottom="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THREE MONTHS ENDED SEPTEMBER 30, 2000 AND 1999</w:t>
      </w:r>
    </w:p>
    <w:p>
      <w:pPr>
        <w:spacing w:after="0" w:line="180"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For the three months ended September 30, 2000 and 1999, we had no revenues from collaborative agreements. We have not yet entered into revenue-producing collaborations with respect to our platform stem cell technology.</w:t>
      </w:r>
    </w:p>
    <w:p>
      <w:pPr>
        <w:spacing w:after="0" w:line="200" w:lineRule="exact"/>
        <w:rPr>
          <w:sz w:val="20"/>
          <w:szCs w:val="20"/>
          <w:color w:val="auto"/>
        </w:rPr>
      </w:pPr>
    </w:p>
    <w:p>
      <w:pPr>
        <w:spacing w:after="0" w:line="324"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Research and development expenses totaled $1,328,263 for the three months ended September 30, 2000, compared with $1,584,879 for the same period in 1999. The decrease of $256,616, or 16%, from 1999 to 2000 was primarily attributable to the wind-down of research activities relating to the 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General and administrative expenses were $744,404 for the three months ended September 30, 2000, compared with $1,027,357 for the same period in 1999. The decrease of $282,953, or 28%, from 1999 to 2000 was primarily attributable to lower payroll costs resulting from the restructuring of administrative operations and to the establishment of a smaller corporate office in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Wind-down expenses related to our ECT research, our Rhode Island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the transfer of our headquarters to Sunnyvale, California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September 30, 2000 and 1999 were $480,087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$4,078,034 respectively. In 1999 we had created a reserve of $1,634,522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expenses related to the first half of 2000, of which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$463,000 related to the carrying costs through an expected June 30, 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 of the Rhode Island facilities. During the first six months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we incurred costs in excess of the amounts reserved as of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continue to incur additional carrying costs for the Rhode Island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because we were unable to dispose of them by June 30, 2000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originally expected. We anticipate that we will incur a similar amount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fourth quarter of 2000 and in every quarter of 2001 until we dispose of these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We do not currently have a projected date for such disposal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can be no assurance that we will be able to dispose of these facilities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 reasonable time, if at all.</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Interest income for the three months ended September 30, 2000 and 1999 was $80,248 and $97,783, respectively. The decrease in interest income in 2000 was attributable to the lower average investment balances</w:t>
      </w:r>
    </w:p>
    <w:p>
      <w:pPr>
        <w:spacing w:after="0" w:line="200" w:lineRule="exact"/>
        <w:rPr>
          <w:sz w:val="20"/>
          <w:szCs w:val="20"/>
          <w:color w:val="auto"/>
        </w:rPr>
      </w:pPr>
    </w:p>
    <w:p>
      <w:pPr>
        <w:spacing w:after="0" w:line="32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316" w:right="1440" w:bottom="1440" w:gutter="0" w:footer="0" w:header="0"/>
        </w:sectPr>
      </w:pPr>
    </w:p>
    <w:bookmarkStart w:id="12" w:name="page13"/>
    <w:bookmarkEnd w:id="12"/>
    <w:p>
      <w:pPr>
        <w:ind w:right="3419"/>
        <w:spacing w:after="0" w:line="247" w:lineRule="auto"/>
        <w:rPr>
          <w:sz w:val="20"/>
          <w:szCs w:val="20"/>
          <w:color w:val="auto"/>
        </w:rPr>
      </w:pPr>
      <w:r>
        <w:rPr>
          <w:rFonts w:ascii="Courier New" w:cs="Courier New" w:eastAsia="Courier New" w:hAnsi="Courier New"/>
          <w:sz w:val="15"/>
          <w:szCs w:val="15"/>
          <w:color w:val="auto"/>
        </w:rPr>
        <w:t>during such period. Interest expense was $66,720 for the three months ended September 30, 2000, compared with $51,782 for the same period in 1999.</w:t>
      </w:r>
    </w:p>
    <w:p>
      <w:pPr>
        <w:spacing w:after="0" w:line="175"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Net loss for the three months ended September 30, 2000 was $2,539,226, or ($0.13) per share, as compared to net loss of $6,711,046 or ($0.36) per share, for the comparable period in 1999. The decrease in net loss of $4,171,820 from the same period in 1999 was primarily attributable to a decrease in expenses related to the wind-down of research activities relating to the ECT.</w:t>
      </w:r>
    </w:p>
    <w:p>
      <w:pPr>
        <w:spacing w:after="0" w:line="3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177"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We had unrestricted cash and cash equivalents totaling $7,247,077 at September 30, 2000. Cash equivalents are invested in money market funds.</w:t>
      </w:r>
    </w:p>
    <w:p>
      <w:pPr>
        <w:spacing w:after="0" w:line="175"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We also hold 126,193 shares of Modex stock, which is publicly traded on the Swiss Neue Market exchange. While our Modex stock had an estimated fair market value of $27,204,333 on September 30, 2000 (and $23,128,598 on October 31, 2000), the fair market value of our Modex stock has varied significantly since the Modex public offering and may continue to vary significantly based on increases and decreases in the reported per share price, in Swiss francs, of the Modex stock and on foreign currency exchange rates. We are prohibited under a lock-up agreement entered into at the time of Modex's public offering from selling any of our Modex shares until December 23, 2000. In addition, there is a limited trading market for Modex stock, and if we were to attempt to sell any significant portion of our Modex holdings, we would likely be able to do so only at a significant discount to the then market price, if at all.</w:t>
      </w:r>
    </w:p>
    <w:p>
      <w:pPr>
        <w:spacing w:after="0" w:line="18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Encapsulated Cell Technology, or ECT. These relationships are now terminated, and we have not yet established corporate partnerships with respect to our stem cell technology.</w:t>
      </w:r>
    </w:p>
    <w:p>
      <w:pPr>
        <w:spacing w:after="0" w:line="353"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In March 1995, we signed a collaborative research and development agreement with AstraZeneca plc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we were obligated to conduct certain research and development pursuant to a four-year research plan agreed upon by the parties. Over the term of the research plan, we originally expected to receive annual payments of $5 million to $7 million from AstraZeneca, which was to approximate the research and development costs incurred by us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we were entitled to a royalty on the worldwide net sales of such products in return for the marketing license granted to AstraZeneca and our obligation to manufacture and supply products. AstraZeneca had the right to terminate the original agreement beginning April 1, 1998. On June 24, 1999, AstraZeneca informed us of the results of AstraZeneca's analysis of the double-blind, placebo-controlled trial of a potential ECT product, an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further develop the bovine cell-containing implant therapy and exercised its right to terminate the agreement. See also Note 16 -- "Research Agreements" accompanying the financial statements set forth in our annual report on Form 10-K for the year ended December 31, 1999, as amended.</w:t>
      </w:r>
    </w:p>
    <w:p>
      <w:pPr>
        <w:spacing w:after="0" w:line="200" w:lineRule="exact"/>
        <w:rPr>
          <w:sz w:val="20"/>
          <w:szCs w:val="20"/>
          <w:color w:val="auto"/>
        </w:rPr>
      </w:pP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third quarter of 1999, we announced restructuring plans for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operations relating to our ECT and to focus our resources on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of our platform of proprietary stem cell technologies.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terminated approximately 68 full time employees and, in October 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relocated our corporate headquarters to Sunnyvale, California. We recorded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$6,047,806 of wind-down expenses including employee separation and relocation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during 1999.</w:t>
      </w:r>
    </w:p>
    <w:p>
      <w:pPr>
        <w:spacing w:after="0" w:line="180" w:lineRule="exact"/>
        <w:rPr>
          <w:sz w:val="20"/>
          <w:szCs w:val="20"/>
          <w:color w:val="auto"/>
        </w:rPr>
      </w:pPr>
    </w:p>
    <w:p>
      <w:pPr>
        <w:jc w:val="both"/>
        <w:ind w:right="2959" w:firstLine="454"/>
        <w:spacing w:after="0" w:line="246" w:lineRule="auto"/>
        <w:rPr>
          <w:sz w:val="20"/>
          <w:szCs w:val="20"/>
          <w:color w:val="auto"/>
        </w:rPr>
      </w:pPr>
      <w:r>
        <w:rPr>
          <w:rFonts w:ascii="Courier New" w:cs="Courier New" w:eastAsia="Courier New" w:hAnsi="Courier New"/>
          <w:sz w:val="15"/>
          <w:szCs w:val="15"/>
          <w:color w:val="auto"/>
        </w:rPr>
        <w:t>On December 30, 1999 we sold our ECT and assigned our intellectual property assets in it to Neurotech S.A. for a payment of $3,000,000, royalties on future product sales, and a portion of certain Neurotech revenues from third parties.</w:t>
      </w:r>
    </w:p>
    <w:p>
      <w:pPr>
        <w:spacing w:after="0" w:line="2"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In addition, we retained certain non-exclusive rights to use ECT in combination with our proprietary stem cell</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3" w:right="1440" w:bottom="0" w:gutter="0" w:footer="0" w:header="0"/>
        </w:sectPr>
      </w:pPr>
    </w:p>
    <w:bookmarkStart w:id="13" w:name="page14"/>
    <w:bookmarkEnd w:id="13"/>
    <w:p>
      <w:pPr>
        <w:ind w:right="2959"/>
        <w:spacing w:after="0" w:line="246" w:lineRule="auto"/>
        <w:rPr>
          <w:sz w:val="20"/>
          <w:szCs w:val="20"/>
          <w:color w:val="auto"/>
        </w:rPr>
      </w:pPr>
      <w:r>
        <w:rPr>
          <w:rFonts w:ascii="Courier New" w:cs="Courier New" w:eastAsia="Courier New" w:hAnsi="Courier New"/>
          <w:sz w:val="15"/>
          <w:szCs w:val="15"/>
          <w:color w:val="auto"/>
        </w:rPr>
        <w:t>technologies and in the field of vaccines for prevention and treatment of infectious diseases. We received $2,800,000 of the initial payment on January 3, 2000 with a remaining balance of $200,000 placed in escrow, to be released to us upon demonstration satisfactory to Neurotech that certain intellectual property is not subject to other claims.</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As part of our restructuring of operations and relocation of corporate headquarters to Sunnyvale, California, we identified a significant amount of excess fixed assets. In December of 1999, we completed the disposition of those excess fixed assets, from which we received more than $746,000. The proceeds are being used to fund our continuing operations.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the Rhode Island Partnership for Science and Technology, or RIPSAT,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demanded payment of approximately $2.6 million. While we believe we were not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them under the Funding Agreement. At the same time, IRBA agreed to return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8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May 1996, we secured an equipment loan facility with a bank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$2,000,000. On August 5, 1999 we made a payment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$752,000 of principal and interest to the lender to retire this loan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rather than seek a waiver by the lender of our violation of a loan covenant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requiring us to maintain unrestricted liquidity in an amount equal to or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$10 million.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$950,000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The investors would be entitled to make additional investments in our securities on the same terms as those on which we complete offerings of our securities with third parties within 6 months, if any such offerings are completed. They have waived that right with respect to the common stock transactions described below. If offerings totaling at least $6 million are not completed during the 6 months, the investors have the right to acquire up to a total of 1,126 additional shares of convertible preferred stock, the face value of which is convertible at the option of the holders into common stock at $6.33 per share.</w:t>
      </w:r>
    </w:p>
    <w:p>
      <w:pPr>
        <w:spacing w:after="0" w:line="18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3" w:right="1440" w:bottom="1130" w:gutter="0" w:footer="0" w:header="0"/>
        </w:sectPr>
      </w:pPr>
    </w:p>
    <w:bookmarkStart w:id="14" w:name="page15"/>
    <w:bookmarkEnd w:id="14"/>
    <w:p>
      <w:pPr>
        <w:ind w:right="3139"/>
        <w:spacing w:after="0" w:line="246" w:lineRule="auto"/>
        <w:rPr>
          <w:sz w:val="20"/>
          <w:szCs w:val="20"/>
          <w:color w:val="auto"/>
        </w:rPr>
      </w:pPr>
      <w:r>
        <w:rPr>
          <w:rFonts w:ascii="Courier New" w:cs="Courier New" w:eastAsia="Courier New" w:hAnsi="Courier New"/>
          <w:sz w:val="15"/>
          <w:szCs w:val="15"/>
          <w:color w:val="auto"/>
        </w:rPr>
        <w:t>Any unconverted preferred stock is converted, at the applicable conversion price, on April 13, 2002 in the case of the original stock and two years after the first acquisition of any of the additional 1,126 shares, if any are acquired. The warrants expire on April 13, 2005.</w:t>
      </w:r>
    </w:p>
    <w:p>
      <w:pPr>
        <w:spacing w:after="0" w:line="177"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will receive the remaining $1 million upon effectiveness of a registration statement covering the shares purchased by the Fund. The Fund purchased our common stock at $4.33 per share. The Fund may be entitled, pursuant to an adjustable warrant issued in connection to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The Fund also received a warrant to purchase up to 101,587 shares of common stock at $4.725 per share. This warrant is callable by us at $7.875 per underlying share.</w:t>
      </w:r>
    </w:p>
    <w:p>
      <w:pPr>
        <w:spacing w:after="0" w:line="18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addition, the Fund has the option for twelve months to purchase up to $3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of additional common stock. On August 23, 2000 the Fund exercised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of its option to purchase additional common stock at $5.53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Fund paid $750,000 of the purchase price in connection with the closing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2000, and will pay the remaining $250,000 upon effectiveness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 covering the shares owned by the Fund. At the closing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30, 2000 we issued to the Fund an adjustable warrant similar to the 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on August 3, 2000. This adjustable warrant was canceled by agreement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fund and us on November 1, 2000. The Fund also received a warrant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up to 19,900 shares of common stock at $6.03 per share. This warrant 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callable by us at $10.05 per underlying share.</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 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6"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into the first quarter of 2001. Our cash requirements may vary, however, depending on numerous factors. Lack of necessary funds may require us to delay, scale back or eliminate some or all of our research and product development programs and/or our capital expenditures or to license our potential products or technologies to third parties.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3" w:right="1440" w:bottom="1440" w:gutter="0" w:footer="0" w:header="0"/>
        </w:sectPr>
      </w:pPr>
    </w:p>
    <w:bookmarkStart w:id="15" w:name="page16"/>
    <w:bookmarkEnd w:id="15"/>
    <w:p>
      <w:pPr>
        <w:ind w:left="7"/>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80" w:lineRule="exact"/>
        <w:rPr>
          <w:sz w:val="20"/>
          <w:szCs w:val="20"/>
          <w:color w:val="auto"/>
        </w:rPr>
      </w:pPr>
    </w:p>
    <w:p>
      <w:pPr>
        <w:ind w:left="7" w:right="3219" w:firstLine="454"/>
        <w:spacing w:after="0" w:line="246" w:lineRule="auto"/>
        <w:rPr>
          <w:sz w:val="20"/>
          <w:szCs w:val="20"/>
          <w:color w:val="auto"/>
        </w:rPr>
      </w:pPr>
      <w:r>
        <w:rPr>
          <w:rFonts w:ascii="Courier New" w:cs="Courier New" w:eastAsia="Courier New" w:hAnsi="Courier New"/>
          <w:sz w:val="15"/>
          <w:szCs w:val="15"/>
          <w:color w:val="auto"/>
        </w:rPr>
        <w:t>Our investment in 126,193 shares of Modex Therapeutics Ltd. Stock was valued at $27,204,333 on September 30, 2000 based on the per share price of $215.58 on that date, which we converted from a market price of 372.00 Swiss francs on September 30, 2000. Our value in this investment is subject to both equity price risk and foreign currency exchange risk. Modex shares were offered in an IPO on the Swiss Neue Markt on June 23, 2000 at a price of 168.00 Swiss francs. From the date of the IPO to the date of this report, the</w:t>
      </w:r>
    </w:p>
    <w:p>
      <w:pPr>
        <w:spacing w:after="0" w:line="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Modex closing share price has fluctuated from a low of 200.00 Swiss francs to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 high of 390.00 Swiss francs on October 6, 2000. The market price of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Modex stock on October 31, 2000 was 329.50 Swiss francs, which converts to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$183.28 using exchange rates on that date, which represents an estimated fair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market value of $23,128,598 for our holdings. If we were to seek to liquidate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all or part of our investment in Modex, our proceeds would depend on the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share price and foreign currency exchange rates at the time of conversion.</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Additionally, if we sell a sizable portion of our holdings, we may have to</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sell these shares at a discount to market price. We are restricted from any</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sale of our shares in Modex until December 23, 2000.</w:t>
      </w:r>
    </w:p>
    <w:p>
      <w:pPr>
        <w:spacing w:after="0" w:line="180"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Our sole market risk sensitive instrument is:</w:t>
      </w:r>
    </w:p>
    <w:p>
      <w:pPr>
        <w:sectPr>
          <w:pgSz w:w="11900" w:h="16838" w:orient="portrait"/>
          <w:cols w:equalWidth="0" w:num="1">
            <w:col w:w="10226"/>
          </w:cols>
          <w:pgMar w:left="233" w:top="992"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NO. OF SHARES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RISKS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MARKET VALUE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FUTURE</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CASH FLOWS</w:t>
      </w:r>
    </w:p>
    <w:p>
      <w:pPr>
        <w:spacing w:after="0" w:line="180" w:lineRule="exact"/>
        <w:rPr>
          <w:sz w:val="20"/>
          <w:szCs w:val="20"/>
          <w:color w:val="auto"/>
        </w:rPr>
      </w:pPr>
    </w:p>
    <w:p>
      <w:pPr>
        <w:sectPr>
          <w:pgSz w:w="11900" w:h="16838" w:orient="portrait"/>
          <w:cols w:equalWidth="0" w:num="5">
            <w:col w:w="1907" w:space="720"/>
            <w:col w:w="1100" w:space="720"/>
            <w:col w:w="1460" w:space="540"/>
            <w:col w:w="1640" w:space="460"/>
            <w:col w:w="1679"/>
          </w:cols>
          <w:pgMar w:left="233" w:top="992" w:right="1440" w:bottom="1440" w:gutter="0" w:footer="0" w:header="0"/>
          <w:type w:val="continuous"/>
        </w:sectPr>
      </w:pPr>
    </w:p>
    <w:p>
      <w:pPr>
        <w:ind w:left="727"/>
        <w:spacing w:after="0"/>
        <w:rPr>
          <w:sz w:val="20"/>
          <w:szCs w:val="20"/>
          <w:color w:val="auto"/>
        </w:rPr>
      </w:pPr>
      <w:r>
        <w:rPr>
          <w:rFonts w:ascii="Courier New" w:cs="Courier New" w:eastAsia="Courier New" w:hAnsi="Courier New"/>
          <w:sz w:val="15"/>
          <w:szCs w:val="15"/>
          <w:color w:val="auto"/>
        </w:rPr>
        <w:t>126,193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Modex Therapeutics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Equity/Foreign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$27,204,333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sectPr>
          <w:pgSz w:w="11900" w:h="16838" w:orient="portrait"/>
          <w:cols w:equalWidth="0" w:num="5">
            <w:col w:w="1547" w:space="720"/>
            <w:col w:w="1640" w:space="360"/>
            <w:col w:w="1740" w:space="720"/>
            <w:col w:w="1640" w:space="720"/>
            <w:col w:w="1139"/>
          </w:cols>
          <w:pgMar w:left="233" w:top="992" w:right="1440" w:bottom="1440" w:gutter="0" w:footer="0" w:header="0"/>
          <w:type w:val="continuous"/>
        </w:sectPr>
      </w:pPr>
    </w:p>
    <w:p>
      <w:pPr>
        <w:jc w:val="center"/>
        <w:ind w:right="-127"/>
        <w:spacing w:after="0"/>
        <w:rPr>
          <w:sz w:val="20"/>
          <w:szCs w:val="20"/>
          <w:color w:val="auto"/>
        </w:rPr>
      </w:pPr>
      <w:r>
        <w:rPr>
          <w:rFonts w:ascii="Courier New" w:cs="Courier New" w:eastAsia="Courier New" w:hAnsi="Courier New"/>
          <w:sz w:val="15"/>
          <w:szCs w:val="15"/>
          <w:color w:val="auto"/>
        </w:rPr>
        <w:t>Currency Translation</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6"/>
          </w:cols>
          <w:pgMar w:left="233" w:top="992" w:right="1440" w:bottom="1440" w:gutter="0" w:footer="0" w:header="0"/>
          <w:type w:val="continuous"/>
        </w:sectPr>
      </w:pPr>
    </w:p>
    <w:p>
      <w:pPr>
        <w:spacing w:after="0" w:line="5" w:lineRule="exact"/>
        <w:rPr>
          <w:sz w:val="20"/>
          <w:szCs w:val="20"/>
          <w:color w:val="auto"/>
        </w:rPr>
      </w:pPr>
    </w:p>
    <w:p>
      <w:pPr>
        <w:ind w:left="827" w:right="3219" w:hanging="827"/>
        <w:spacing w:after="0" w:line="246" w:lineRule="auto"/>
        <w:tabs>
          <w:tab w:leader="none" w:pos="82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Although we have not formally adopted a liquidation plan for this investment, liquidation may be necessary to meet operating cash flow requirements. Under the agreement with Modex, we are restricted from selling our holdings through December 23, 2000.</w:t>
      </w:r>
    </w:p>
    <w:p>
      <w:pPr>
        <w:spacing w:after="0" w:line="35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6"/>
          </w:cols>
          <w:pgMar w:left="233" w:top="992"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PART II - ITEM 1</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ITEM 2</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ITEM 4</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 - ITEM 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AND REPORTS ON FORM 8-K</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EXHIBITS</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Exhibit 27 - Financial Data Schedule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 REPORTS ON FORM 8-K</w:t>
      </w:r>
    </w:p>
    <w:p>
      <w:pPr>
        <w:spacing w:after="0" w:line="354" w:lineRule="exact"/>
        <w:rPr>
          <w:sz w:val="20"/>
          <w:szCs w:val="20"/>
          <w:color w:val="auto"/>
        </w:rPr>
      </w:pPr>
    </w:p>
    <w:p>
      <w:pPr>
        <w:ind w:left="440" w:right="2959"/>
        <w:spacing w:after="0" w:line="246" w:lineRule="auto"/>
        <w:rPr>
          <w:sz w:val="20"/>
          <w:szCs w:val="20"/>
          <w:color w:val="auto"/>
        </w:rPr>
      </w:pPr>
      <w:r>
        <w:rPr>
          <w:rFonts w:ascii="Courier New" w:cs="Courier New" w:eastAsia="Courier New" w:hAnsi="Courier New"/>
          <w:sz w:val="15"/>
          <w:szCs w:val="15"/>
          <w:color w:val="auto"/>
        </w:rPr>
        <w:t>On December 5, 2000 the Company filed Form 8-K/A disclosing Pro-Forma Financial Information about its exit of its Encapsulated Cell Therapy activities and disposition of related intellectual property, facilities and equipment, and the relocation of its corporate headquarters to Sunnyvale, California.</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817" w:right="1440" w:bottom="1440" w:gutter="0" w:footer="0" w:header="0"/>
        </w:sectPr>
      </w:pPr>
    </w:p>
    <w:bookmarkStart w:id="17" w:name="page18"/>
    <w:bookmarkEnd w:id="17"/>
    <w:p>
      <w:pPr>
        <w:ind w:left="3260"/>
        <w:spacing w:after="0"/>
        <w:rPr>
          <w:sz w:val="20"/>
          <w:szCs w:val="20"/>
          <w:color w:val="auto"/>
        </w:rPr>
      </w:pPr>
      <w:r>
        <w:rPr>
          <w:rFonts w:ascii="Courier New" w:cs="Courier New" w:eastAsia="Courier New" w:hAnsi="Courier New"/>
          <w:sz w:val="15"/>
          <w:szCs w:val="15"/>
          <w:color w:val="auto"/>
        </w:rPr>
        <w:t>SIGNATURE</w:t>
      </w:r>
    </w:p>
    <w:p>
      <w:pPr>
        <w:spacing w:after="0" w:line="180" w:lineRule="exact"/>
        <w:rPr>
          <w:sz w:val="20"/>
          <w:szCs w:val="20"/>
          <w:color w:val="auto"/>
        </w:rPr>
      </w:pPr>
    </w:p>
    <w:p>
      <w:pPr>
        <w:jc w:val="both"/>
        <w:ind w:right="3679"/>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STEMCELLS, INC.</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(Name of Registrant)</w:t>
      </w:r>
    </w:p>
    <w:p>
      <w:pPr>
        <w:sectPr>
          <w:pgSz w:w="11900" w:h="16838" w:orient="portrait"/>
          <w:cols w:equalWidth="0" w:num="1">
            <w:col w:w="10219"/>
          </w:cols>
          <w:pgMar w:left="240" w:top="992" w:right="1440" w:bottom="1440" w:gutter="0" w:footer="0" w:header="0"/>
        </w:sect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5, 2000</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George Koshy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Controller and Acting Chief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 (authorized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 and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officer and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3000" w:space="720"/>
            <w:col w:w="6499"/>
          </w:cols>
          <w:pgMar w:left="240" w:top="99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992" w:right="1440" w:bottom="1440" w:gutter="0" w:footer="0" w:header="0"/>
          <w:type w:val="continuous"/>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left="6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3479"/>
        <w:spacing w:after="0" w:line="246" w:lineRule="auto"/>
        <w:rPr>
          <w:sz w:val="20"/>
          <w:szCs w:val="20"/>
          <w:color w:val="auto"/>
        </w:rPr>
      </w:pPr>
      <w:r>
        <w:rPr>
          <w:rFonts w:ascii="Courier New" w:cs="Courier New" w:eastAsia="Courier New" w:hAnsi="Courier New"/>
          <w:sz w:val="15"/>
          <w:szCs w:val="15"/>
          <w:color w:val="auto"/>
        </w:rPr>
        <w:t>The schedule contains summary information extracted from the consolidated statement of earnings for the nine months ended September 30, 2000 and the consolidated balance sheet at September 30, 2000 and is qualified in its entirety by reference to such financial statements.</w:t>
      </w:r>
    </w:p>
    <w:p>
      <w:pPr>
        <w:spacing w:after="0" w:line="17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0000883975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STEMCELLS, INC.</w:t>
      </w:r>
    </w:p>
    <w:p>
      <w:pPr>
        <w:spacing w:after="0" w:line="3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9-MOS</w:t>
      </w:r>
    </w:p>
    <w:p>
      <w:pPr>
        <w:spacing w:after="0" w:line="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DEC-31-2000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SEP-30-2000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7,247,077</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27,204,333</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200,000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8,215,598</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4,721,055</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41,631,529</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1,135,794</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2,692,500</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1,500,000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208,818</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35,417,433</w:t>
      </w:r>
    </w:p>
    <w:p>
      <w:pPr>
        <w:spacing w:after="0" w:line="5"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41,631,529</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5"/>
          <w:szCs w:val="15"/>
          <w:color w:val="auto"/>
        </w:rPr>
        <w:t>6,290,971</w:t>
      </w:r>
    </w:p>
    <w:p>
      <w:pPr>
        <w:spacing w:after="0" w:line="5" w:lineRule="exact"/>
        <w:rPr>
          <w:sz w:val="20"/>
          <w:szCs w:val="20"/>
          <w:color w:val="auto"/>
        </w:rPr>
      </w:pPr>
    </w:p>
    <w:p>
      <w:pPr>
        <w:jc w:val="right"/>
        <w:ind w:right="6779"/>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209,287</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(4,865,190)</w:t>
      </w:r>
    </w:p>
    <w:p>
      <w:pPr>
        <w:spacing w:after="0" w:line="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(0.26)</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0</w:t>
      </w:r>
    </w:p>
    <w:sectPr>
      <w:pgSz w:w="11900" w:h="16838" w:orient="portrait"/>
      <w:cols w:equalWidth="0" w:num="1">
        <w:col w:w="10199"/>
      </w:cols>
      <w:pgMar w:left="260" w:top="1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2019-12-13T21:51:22Z</dcterms:created>
  <dcterms:modified xsi:type="dcterms:W3CDTF">2019-12-13T21:51:22Z</dcterms:modified>
</cp:coreProperties>
</file>