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0-19871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4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PALO ALTO, CA 94304</w:t>
            </w:r>
          </w:p>
        </w:tc>
        <w:tc>
          <w:tcPr>
            <w:tcW w:w="3480" w:type="dxa"/>
            <w:vAlign w:val="bottom"/>
          </w:tcPr>
          <w:p>
            <w:pPr>
              <w:spacing w:after="0"/>
              <w:rPr>
                <w:sz w:val="20"/>
                <w:szCs w:val="20"/>
                <w:color w:val="auto"/>
              </w:rPr>
            </w:pPr>
          </w:p>
        </w:tc>
      </w:tr>
      <w:tr>
        <w:trPr>
          <w:trHeight w:val="224"/>
        </w:trPr>
        <w:tc>
          <w:tcPr>
            <w:tcW w:w="3600" w:type="dxa"/>
            <w:vAlign w:val="bottom"/>
          </w:tcPr>
          <w:p>
            <w:pPr>
              <w:spacing w:after="0"/>
              <w:rPr>
                <w:sz w:val="19"/>
                <w:szCs w:val="19"/>
                <w:color w:val="auto"/>
              </w:rPr>
            </w:pPr>
          </w:p>
        </w:tc>
        <w:tc>
          <w:tcPr>
            <w:tcW w:w="42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620" w:type="dxa"/>
            <w:vAlign w:val="bottom"/>
            <w:gridSpan w:val="5"/>
          </w:tcPr>
          <w:p>
            <w:pPr>
              <w:jc w:val="center"/>
              <w:ind w:left="3730"/>
              <w:spacing w:after="0"/>
              <w:rPr>
                <w:sz w:val="20"/>
                <w:szCs w:val="20"/>
                <w:color w:val="auto"/>
              </w:rPr>
            </w:pPr>
            <w:r>
              <w:rPr>
                <w:rFonts w:ascii="Arial" w:cs="Arial" w:eastAsia="Arial" w:hAnsi="Arial"/>
                <w:sz w:val="18"/>
                <w:szCs w:val="18"/>
                <w:color w:val="auto"/>
                <w:w w:val="90"/>
              </w:rPr>
              <w:t>(650) 475-3100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320" w:type="dxa"/>
            <w:vAlign w:val="bottom"/>
            <w:gridSpan w:val="2"/>
          </w:tcPr>
          <w:p>
            <w:pPr>
              <w:spacing w:after="0"/>
              <w:rPr>
                <w:sz w:val="19"/>
                <w:szCs w:val="19"/>
                <w:color w:val="auto"/>
              </w:rPr>
            </w:pPr>
          </w:p>
        </w:tc>
        <w:tc>
          <w:tcPr>
            <w:tcW w:w="3480" w:type="dxa"/>
            <w:vAlign w:val="bottom"/>
          </w:tcPr>
          <w:p>
            <w:pPr>
              <w:spacing w:after="0"/>
              <w:rPr>
                <w:sz w:val="19"/>
                <w:szCs w:val="19"/>
                <w:color w:val="auto"/>
              </w:rPr>
            </w:pPr>
          </w:p>
        </w:tc>
      </w:tr>
    </w:tbl>
    <w:p>
      <w:pPr>
        <w:spacing w:after="0" w:line="79"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ind w:left="240"/>
        <w:spacing w:after="0" w:line="196" w:lineRule="exact"/>
        <w:tabs>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At November 2, 2009, there were 118,349,587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66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2009 and December 31, 2008</w:t>
              </w:r>
            </w:hyperlink>
          </w:p>
        </w:tc>
        <w:tc>
          <w:tcPr>
            <w:tcW w:w="398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2009 and 2008</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8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2009 and 2008</w:t>
              </w:r>
            </w:hyperlink>
          </w:p>
        </w:tc>
        <w:tc>
          <w:tcPr>
            <w:tcW w:w="18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520" w:type="dxa"/>
            <w:vAlign w:val="bottom"/>
            <w:gridSpan w:val="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4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4. Controls and Procedures</w:t>
              </w:r>
            </w:hyperlink>
          </w:p>
        </w:tc>
        <w:tc>
          <w:tcPr>
            <w:tcW w:w="8220" w:type="dxa"/>
            <w:vAlign w:val="bottom"/>
            <w:gridSpan w:val="1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798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960" w:type="dxa"/>
            <w:vAlign w:val="bottom"/>
            <w:gridSpan w:val="1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5640" w:type="dxa"/>
            <w:vAlign w:val="bottom"/>
            <w:gridSpan w:val="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Security-Holders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2460" w:type="dxa"/>
            <w:vAlign w:val="bottom"/>
            <w:tcBorders>
              <w:top w:val="single" w:sz="8" w:color="0000EE"/>
            </w:tcBorders>
            <w:gridSpan w:val="8"/>
          </w:tcPr>
          <w:p>
            <w:pPr>
              <w:spacing w:after="0"/>
              <w:rPr>
                <w:sz w:val="17"/>
                <w:szCs w:val="17"/>
                <w:color w:val="auto"/>
              </w:rPr>
            </w:pPr>
          </w:p>
        </w:tc>
        <w:tc>
          <w:tcPr>
            <w:tcW w:w="6220" w:type="dxa"/>
            <w:vAlign w:val="bottom"/>
            <w:gridSpan w:val="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6.</w:t>
              </w:r>
            </w:hyperlink>
          </w:p>
        </w:tc>
        <w:tc>
          <w:tcPr>
            <w:tcW w:w="10020" w:type="dxa"/>
            <w:vAlign w:val="bottom"/>
            <w:gridSpan w:val="19"/>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SIGNATURES</w:t>
              </w:r>
            </w:hyperlink>
          </w:p>
        </w:tc>
        <w:tc>
          <w:tcPr>
            <w:tcW w:w="9400" w:type="dxa"/>
            <w:vAlign w:val="bottom"/>
            <w:gridSpan w:val="1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REFERENCES TO US AND OUR COMMON STOCK</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Throughout this Form 10-Q, the words “we,” “us,” “our,” and “StemCells” refer to StemCells, Inc., including our directly and indirectly wholly-owned subsidiaries. “Common stock” refers to the common stock, $.01 par value, of StemCells, Inc.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2009</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2008</w:t>
            </w:r>
          </w:p>
        </w:tc>
      </w:tr>
      <w:tr>
        <w:trPr>
          <w:trHeight w:val="210"/>
        </w:trPr>
        <w:tc>
          <w:tcPr>
            <w:tcW w:w="8320" w:type="dxa"/>
            <w:vAlign w:val="bottom"/>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28,226,515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30,042,986</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5,175,739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4,181,592</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164,204</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298,032</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645,242</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34,169,170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35,332,056</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3,173,468</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Other assets, non-current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2,357,968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2,079,278</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5,384,762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645,538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44,924,756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1,078,123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2,306,007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2,261,245</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wind-down expenses, 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1,435,234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1,420,378</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43,909</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 current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71,337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Deferred rent, 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346,930</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payable, 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149,167</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5,660,592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5,318,491</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Bond payable, non-current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741,250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860,000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9,262,448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8,439,931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Deposits and other long-term liabilities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458,032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466,211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4,092,939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16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90,215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147,039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19,704,891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19,421,355</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Common stock, $.01 par value; 250,000,000 shares authorized; issued and outstanding 108,319,091 at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30, 2009 and 94,945,603 at December 31, 2008</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1,083,190</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949,455</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305,244,263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279,868,802</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(280,794,177)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(259,001,524)</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(313,411)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(7,748)</w:t>
            </w: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25,219,865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21,808,985</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44,924,756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41,230,340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Revenue from licensing agreements and grants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98,806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12,379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300,260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from product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154,362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253,168</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575,221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(141,453)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111,715</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4,988,569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4,171,799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14,278,958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13,087,165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2,111,838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1,631,580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6,852,724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6,231,629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53,636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539,821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7,094,728</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5,857,015</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21,671,503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19,699,930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(6,983,013)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(5,844,636)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(21,297,261)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(19,640,369)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Realized gain on sale of marketable securities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397,866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1,830,414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(822,517)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138,332</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55,816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(27,613)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29,940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(41,694)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100,683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635,952</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(5,144,741</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(5,743,953</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(21,792,653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(19,004,417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Shares used to compute basic and diluted loss per share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108,257,345</w:t>
            </w:r>
          </w:p>
        </w:tc>
        <w:tc>
          <w:tcPr>
            <w:tcW w:w="1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80,961,150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103,071,957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80,827,141</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Nine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(21,792,653)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(19,004,417)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1,220,813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3,174,945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(397,866)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822,517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398,742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196,778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assets, non-current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(269,393)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(509,958)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Accrued wind-down expenses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(775,547)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(256,715)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(214,104)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(18,491,364)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(17,165,645)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4,510,213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22,658,794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(4,977,982)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(payment) of advances under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(485,750)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(1,048,348)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23,372,726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17,694,812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252,984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331,501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net share issuance of stock based awards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(380,548)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(repayment of)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147,825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bonds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17,936,157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(1,603,555)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Effects of foreign exchange rate changes on cash</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(212,916)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30,042,986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9,759,169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28,226,515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16,170,526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84,863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issued as part of our acquisition of the operations of SCS Plc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4,425,500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principal and accrued interest on notes receivable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709,076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issued for licensing agreement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2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1, 2009, we acquired the operations of Stem Cell Sciences Plc (SCS). As consideration, we issued to SCS 2,650,000 shares of common stock with a closing price of $1.67 per share and waived certain commitments of SCS to repay approximately $709,000 in principal and accrued interest owed to us.</w:t>
      </w:r>
    </w:p>
    <w:p>
      <w:pPr>
        <w:spacing w:after="0" w:line="32"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terms of a license agreement with the California Institute of Technology (Cal Tech), annual fees of $5,000 were due on each of two patents to which we hold a license from Cal Tech, payable in cash or common stock at our choice. We elected to pay the fees in stock and issued 5,900 and 6,924 shares of our common stock in 2009 and 2008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2009 and 2008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StemCells, Inc., a Delaware corporation, is a biopharmaceutical company that operates in one segment, the development and commercialization of cell-based technologies.</w:t>
      </w:r>
    </w:p>
    <w:p>
      <w:pPr>
        <w:spacing w:after="0" w:line="62"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accompanying financial data as of and for the three and nine months ended September 30, 2009 and 2008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2008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2008. Subsequent events have been evaluated through November 4, 2009, which represents the issuance date of these unaudited condensed consolidated financial statements.</w:t>
      </w:r>
    </w:p>
    <w:p>
      <w:pPr>
        <w:spacing w:after="0" w:line="58"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incurred significant operating losses since inception. 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investigative products, pursuit of regulatory approvals, acquisition of capital equipment, laboratory and office facilities, establishment of production capabilities, selling,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condensed consolidated financial statements include the accounts of StemCells, Inc., and our wholly-owned subsidiaries, StemCells California, Inc., StemCells Property Holding LLC, Stem Cell Sciences Holdings Ltd; Stem Cell Sciences (UK) Ltd; and Stem Cell Sciences (Australia) Pty Ltd.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these estimates.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estimates include the following:</w:t>
      </w:r>
    </w:p>
    <w:p>
      <w:pPr>
        <w:spacing w:after="0" w:line="117"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grant date fair value of stock-based awards recognized as compensation expense (see Note 4, “Stock Based Compensation”);</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accrued wind-down expenses (see Note 5, “Wind-Down Expenses”);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fair value of warrants recorded as a liability (see Note 7, “Warrant Liability”);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fair value of goodwill and other intangible assets (see Note 9, “Acquisition of SCS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money market accounts and investments with a maturity of 90 days or less from the date of purchase to be cash equivalents.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Our existing marketable debt and equity securities are designated as available-for-sale securities. These securities are carried at fair value (see Note 2, “Financial Instruments”), with the unrealized gains and losses reported as a component of stockholders’ equity. The balance sheet classification of our marketable debt securities as current or non-current is based on their maturity dates. Investments with remaining maturities of 365 days or less not classified as cash equivalents are classified as “Marketable securities, current.” Investments with remaining maturities greater than 365 days are classified as “Marketable securities, non-current.” Management determines the appropriate designation of its investments in marketable debt and equity securities at the time of purchase and reevaluates such designation as of each balance sheet date. The cost of securities sold is based upon the specific identification method.</w:t>
      </w:r>
    </w:p>
    <w:p>
      <w:pPr>
        <w:spacing w:after="0" w:line="5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nine months ended September 30, 2009 or 2008.</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receivables generally consist of interest income on our financial instruments, revenue from licensing agreements and grants, revenue from product sales, and rent from our sub-lease tenants.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 Revenue from product sales are recognized when the product is shipped and the order fulfilled.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Compensation expense for stock-based payment awards to employees is based on their grant date fair value as calculated and amortized over their vesting period. See Note 4, “Stock-Based Compensation” for further information.</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Compensation expense for stock-based awards granted to non-employees is based on the estimated fair value of the award which is re-measured at each reporting date and is amortized over the remaining vesting period.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use the Black-Scholes-Merton (Black-Scholes) model to calculate the fair value of stock-based awards.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numerators and denominators of the basic and diluted earnings per share computations: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9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(5,144,741)</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(5,743,953)</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(21,792,653)</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(19,004,417)</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used to</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w w:val="99"/>
              </w:rPr>
              <w:t>compute basic and diluted net loss per share</w:t>
            </w:r>
          </w:p>
        </w:tc>
        <w:tc>
          <w:tcPr>
            <w:tcW w:w="360" w:type="dxa"/>
            <w:vAlign w:val="bottom"/>
          </w:tcPr>
          <w:p>
            <w:pPr>
              <w:spacing w:after="0"/>
              <w:rPr>
                <w:sz w:val="20"/>
                <w:szCs w:val="20"/>
                <w:color w:val="auto"/>
              </w:rPr>
            </w:pPr>
          </w:p>
        </w:tc>
        <w:tc>
          <w:tcPr>
            <w:tcW w:w="1480" w:type="dxa"/>
            <w:vAlign w:val="bottom"/>
          </w:tcPr>
          <w:p>
            <w:pPr>
              <w:jc w:val="right"/>
              <w:ind w:right="257"/>
              <w:spacing w:after="0"/>
              <w:rPr>
                <w:sz w:val="20"/>
                <w:szCs w:val="20"/>
                <w:color w:val="auto"/>
              </w:rPr>
            </w:pPr>
            <w:r>
              <w:rPr>
                <w:rFonts w:ascii="Arial" w:cs="Arial" w:eastAsia="Arial" w:hAnsi="Arial"/>
                <w:sz w:val="18"/>
                <w:szCs w:val="18"/>
                <w:color w:val="auto"/>
              </w:rPr>
              <w:t>108,257,345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254"/>
              <w:spacing w:after="0"/>
              <w:rPr>
                <w:sz w:val="20"/>
                <w:szCs w:val="20"/>
                <w:color w:val="auto"/>
              </w:rPr>
            </w:pPr>
            <w:r>
              <w:rPr>
                <w:rFonts w:ascii="Arial" w:cs="Arial" w:eastAsia="Arial" w:hAnsi="Arial"/>
                <w:sz w:val="18"/>
                <w:szCs w:val="18"/>
                <w:color w:val="auto"/>
              </w:rPr>
              <w:t>80,961,150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257"/>
              <w:spacing w:after="0"/>
              <w:rPr>
                <w:sz w:val="20"/>
                <w:szCs w:val="20"/>
                <w:color w:val="auto"/>
              </w:rPr>
            </w:pPr>
            <w:r>
              <w:rPr>
                <w:rFonts w:ascii="Arial" w:cs="Arial" w:eastAsia="Arial" w:hAnsi="Arial"/>
                <w:sz w:val="18"/>
                <w:szCs w:val="18"/>
                <w:color w:val="auto"/>
              </w:rPr>
              <w:t>103,071,957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80,827,141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(0.05)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(0.07)</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(0.21)</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because the effect would have been anti-dilutive as of September 30: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9,293,703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8,471,887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2,367,901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1,650,000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10,344,828</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1,255,000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22,006,432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11,376,887</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Comprehensive loss is comprised of net losses and other comprehensive loss or income (OCL). OCL includes certain changes in stockholders’ equity that are excluded from net losses. Specifically, we include in OCL changes in unrealized gains and losses on our marketable securities and unrealized gains and losses on foreign currency translations. Accumulated other comprehensive loss was $313,411 as of September 30, 2009 and $7,748 as of December 31, 2008.</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in OCL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32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7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(5,144,741)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(5,743,953)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(21,792,653)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(19,004,417)</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Net change in unrealized gains and losses 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(5,248)</w:t>
            </w:r>
          </w:p>
        </w:tc>
        <w:tc>
          <w:tcPr>
            <w:tcW w:w="340" w:type="dxa"/>
            <w:vAlign w:val="bottom"/>
          </w:tcPr>
          <w:p>
            <w:pPr>
              <w:spacing w:after="0"/>
              <w:rPr>
                <w:sz w:val="20"/>
                <w:szCs w:val="20"/>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(272,066)</w:t>
            </w:r>
          </w:p>
        </w:tc>
        <w:tc>
          <w:tcPr>
            <w:tcW w:w="34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128,512</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(1,691,631)</w:t>
            </w: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gains and losses 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translations</w:t>
            </w:r>
          </w:p>
        </w:tc>
        <w:tc>
          <w:tcPr>
            <w:tcW w:w="3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(208,537)</w:t>
            </w:r>
          </w:p>
        </w:tc>
        <w:tc>
          <w:tcPr>
            <w:tcW w:w="3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(434,175)</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(5,358,526)</w:t>
            </w:r>
          </w:p>
        </w:tc>
        <w:tc>
          <w:tcPr>
            <w:tcW w:w="5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(6,016,019)</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(22,098,316)</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(20,696,048)</w:t>
            </w:r>
          </w:p>
        </w:tc>
        <w:tc>
          <w:tcPr>
            <w:tcW w:w="6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In August 2009, the FASB issued an Accounting Standard Update (ASU) under the topic </w:t>
      </w:r>
      <w:r>
        <w:rPr>
          <w:rFonts w:ascii="Arial" w:cs="Arial" w:eastAsia="Arial" w:hAnsi="Arial"/>
          <w:sz w:val="17"/>
          <w:szCs w:val="17"/>
          <w:i w:val="1"/>
          <w:iCs w:val="1"/>
          <w:color w:val="auto"/>
        </w:rPr>
        <w:t>“Fair Value Measurements and Disclosures — Measuring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at Fair Value.” </w:t>
      </w:r>
      <w:r>
        <w:rPr>
          <w:rFonts w:ascii="Arial" w:cs="Arial" w:eastAsia="Arial" w:hAnsi="Arial"/>
          <w:sz w:val="17"/>
          <w:szCs w:val="17"/>
          <w:color w:val="auto"/>
        </w:rPr>
        <w:t>This ASU provides amendments for fair value measurements of liabilities. It provides clarification that under circumstances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a quoted price in an active market for the identical liability is not available, a reporting entity is required to measure fair value using one or more techniques prescribed in this update. This ASU also clarifies that when estimating a fair value of a liability, a reporting entity is not required to include a separate input or adjustment to other inputs relating to the existence of a restriction that prevents the transfer of the liability. This ASU is effective for the first reporting period (including interim periods) beginning after issuance or fourth quarter 2009. The Company is assessing the impact, if any, of this ASU on our condensed consolidated financial statements and disclosures.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Financial Instruments</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table summarizes the fair value of our cash, cash equivalents and available-for-sale marketable securities held in our current investment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Gross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2009</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515,459</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27,711,056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27,711,056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Marketable debt securities, current (maturity within 1 year)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4,980,519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4,979,808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121,475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195,931</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33,281,490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121,475</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33,402,254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243,883</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(money market accounts)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29,799,103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29,799,103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Marketable debt securities, current (maturity within 1 year)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4,002,537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3,994,789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 current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186,803</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34,232,326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34,224,578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Gross unrealized gains and losses on cash equivalents were not material at September 30, 2009 and December 31, 2008. At September 30, 2009, our investment in marketable debt securities was composed primarily of U.S. Treasury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investment in marketable equity securities consists of ordinary shares of ReNeuron Group Plc (ReNeuron), a publicly listed U.K. corporation.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July 2005, we entered into an agreement with ReNeuron under which we granted ReNeuron a license that allows ReNeuron to exploit their “c-mycER”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conditionally immortalized adult human neural stem cell technology for therapy and other purposes. We received shares of ReNeuron common stock,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cross-license to the exclusive use of ReNeuron’s technology for certain diseases and conditions, including lysosomal storage diseases, spinal cord injury,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cerebral palsy, and multiple sclerosis. The agreement also provides for full settlement of any potential claims that either we or ReNeuron might have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the other in connection with any putative infringement of certain of each party’s patent rights prior to the effective date of the agreement. In July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2005, we received approximately 8,836,000 ordinary shares of ReNeuron common stock, net of approximately 104,000 shares that were transferred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NeuroSpheres, and subsequently, as a result of certain anti-dilution provisions in the agreement, we received approximately 1,261,000 more shares, net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18,000 shares that were transferred to NeuroSpheres. In February 2007, we sold 5,275,000 shares for net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$3,075,000. We recognized approximately $716,000 as realized gain from this transaction. At December 31, 2008, we owned 4,821,924 shares of ReNeuron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 carrying and fair market value of approximately $187,000. In the first quarter of 2009, we sold 2,900,000 shares of ReNeuron and received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of approximately $510,000 for a realized gain of approximately $398,000. As of September 30, 2009, we owned 1,921,924 shares of ReNeuron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carrying and fair market value of approximately $196,000.</w:t>
      </w:r>
    </w:p>
    <w:p>
      <w:pPr>
        <w:spacing w:after="0" w:line="10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Changes in the fair market value of our ReNeuron shares as a result of changes in market price per share or the exchange rate between the U.S. dollar and the British pound are accounted for as an unrealized gain or loss under “other comprehensive income (loss)” if deemed temporary and are not recorded as “other income (expense), net” until the shares are disposed of and a gain or loss realized. If the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For the three months ended September 30, 2009, we recorded an unrealized gain of approximately $5,000.</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December 2008 and March 2009, we made two secured loans to Stem Cell Sciences Plc (SCS) in connection with our acquisition negotiations with SCS. The loans accrued interest at 8% per annum and were repayable six months after the initial funding. At March 31, 2009, the principal and accrued interest for these two loans together totaled approximately $709,000. On April 1, 2009, we closed the acquisition of the operations of SCS, and in connection with that transaction, we waived the obligation of SCS to repay the principal and accrued interest of these two loans.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tables present our assets and liabilities that are measured at fair value on a recurring basis and are categorized using the fair value hierarchy. The fair value hierarchy has three levels based on the reliability of the inputs used to determine fair value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Level 2 — Directly or indirectly observable inputs other than in Level 1, that include quoted prices for similar assets or liabilities in active markets or quoted prices for identical or similar assets or liabilities in markets that are not active.</w:t>
      </w:r>
    </w:p>
    <w:p>
      <w:pPr>
        <w:spacing w:after="0" w:line="62" w:lineRule="exact"/>
        <w:rPr>
          <w:sz w:val="20"/>
          <w:szCs w:val="20"/>
          <w:color w:val="auto"/>
        </w:rPr>
      </w:pPr>
    </w:p>
    <w:p>
      <w:pPr>
        <w:ind w:left="240" w:right="780"/>
        <w:spacing w:after="0" w:line="277" w:lineRule="auto"/>
        <w:rPr>
          <w:sz w:val="20"/>
          <w:szCs w:val="20"/>
          <w:color w:val="auto"/>
        </w:rPr>
      </w:pPr>
      <w:r>
        <w:rPr>
          <w:rFonts w:ascii="Arial" w:cs="Arial" w:eastAsia="Arial" w:hAnsi="Arial"/>
          <w:sz w:val="18"/>
          <w:szCs w:val="18"/>
          <w:color w:val="auto"/>
        </w:rPr>
        <w:t>Level 3 — Unobservable inputs which are supported by little or no market activity that reflects the reporting entity’s own assumptions about the assumptions that market participants would use in pricing the asset or liability.</w:t>
      </w:r>
    </w:p>
    <w:p>
      <w:pPr>
        <w:spacing w:after="0" w:line="6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540" w:firstLine="225"/>
        <w:spacing w:after="0" w:line="264" w:lineRule="auto"/>
        <w:rPr>
          <w:sz w:val="20"/>
          <w:szCs w:val="20"/>
          <w:color w:val="auto"/>
        </w:rPr>
      </w:pPr>
      <w:r>
        <w:rPr>
          <w:rFonts w:ascii="Arial" w:cs="Arial" w:eastAsia="Arial" w:hAnsi="Arial"/>
          <w:sz w:val="18"/>
          <w:szCs w:val="18"/>
          <w:color w:val="auto"/>
        </w:rPr>
        <w:t>Our cash equivalents and marketable debt and equity securities are classified within Level 1 or Level 2. This is because our cash equivalents and marketable securities are valued primarily using quoted market prices or alternative pricing sources and models utilizing market observable inputs. We currently do not have any Level 3 financial assets or liabilities.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financial assets and liabilities measured at fair value: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Fair Value Measurement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tcPr>
          <w:p>
            <w:pPr>
              <w:ind w:left="380"/>
              <w:spacing w:after="0" w:line="149" w:lineRule="exact"/>
              <w:rPr>
                <w:sz w:val="20"/>
                <w:szCs w:val="20"/>
                <w:color w:val="auto"/>
              </w:rPr>
            </w:pPr>
            <w:r>
              <w:rPr>
                <w:rFonts w:ascii="Arial" w:cs="Arial" w:eastAsia="Arial" w:hAnsi="Arial"/>
                <w:sz w:val="14"/>
                <w:szCs w:val="14"/>
                <w:b w:val="1"/>
                <w:bCs w:val="1"/>
                <w:color w:val="auto"/>
              </w:rPr>
              <w:t>at Reporting Date Using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Quoted Prices</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20" w:type="dxa"/>
            <w:vAlign w:val="bottom"/>
            <w:gridSpan w:val="4"/>
          </w:tcPr>
          <w:p>
            <w:pPr>
              <w:ind w:left="2680"/>
              <w:spacing w:after="0" w:line="149" w:lineRule="exact"/>
              <w:rPr>
                <w:sz w:val="20"/>
                <w:szCs w:val="20"/>
                <w:color w:val="auto"/>
              </w:rPr>
            </w:pPr>
            <w:r>
              <w:rPr>
                <w:rFonts w:ascii="Arial" w:cs="Arial" w:eastAsia="Arial" w:hAnsi="Arial"/>
                <w:sz w:val="14"/>
                <w:szCs w:val="14"/>
                <w:b w:val="1"/>
                <w:bCs w:val="1"/>
                <w:color w:val="auto"/>
              </w:rPr>
              <w:t>in Active Markets</w:t>
            </w:r>
          </w:p>
        </w:tc>
        <w:tc>
          <w:tcPr>
            <w:tcW w:w="10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for</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Equivalents: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1,266,401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31,424,463</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31,424,463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195,931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32,886,795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32,886,795</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payable</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898,750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898,750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21"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currently grant stock-based awards under three equity incentive plans. We had 19,025,067 shares authorized to be granted under the three plans as of September 30, 2009.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of the stock on the date of grant.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compensation expense for stock options and restricted stock units issued from our equity incentive plans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9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555,450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473,828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1,542,023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1,430,157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465,351</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1,525,699</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1,443,788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employee stock-based compensation expense and effect on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1,097,850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939,179</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3,067,722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2,873,945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Effect on basic and diluted net loss per common share</w:t>
            </w: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15"/>
        <w:spacing w:after="0" w:line="342" w:lineRule="auto"/>
        <w:rPr>
          <w:sz w:val="20"/>
          <w:szCs w:val="20"/>
          <w:color w:val="auto"/>
        </w:rPr>
      </w:pPr>
      <w:r>
        <w:rPr>
          <w:rFonts w:ascii="Arial" w:cs="Arial" w:eastAsia="Arial" w:hAnsi="Arial"/>
          <w:sz w:val="16"/>
          <w:szCs w:val="16"/>
          <w:color w:val="auto"/>
        </w:rPr>
        <w:t>As of September 30, 2009, we had approximately $6,200,000 of total unrecognized compensation expense related to unvested awards of stock options and restricted stock units granted under our various stock-based plans that we expect to recognize over a weighted-average vesting period of 2.5 years.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three months ended September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options</w:t>
            </w:r>
          </w:p>
        </w:tc>
        <w:tc>
          <w:tcPr>
            <w:tcW w:w="1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9,380,197</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47,500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(69,654)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(64,340)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September 30, 2009</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9,293,703</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estimated weighted-average fair value of options granted in the three months ended September 30, 2009 and 2008 was approximately $1.38 and $0.93 per share respectively. The fair value of options granted is estimated as of the date of grant using the Black-Scholes option pricing model, which requires certain assumptions as of the date of grant. The weighted-average assumptions used as of September 30, 2009 and 2008 were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7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200" w:type="dxa"/>
            <w:vAlign w:val="bottom"/>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(years)(1)</w:t>
            </w:r>
          </w:p>
        </w:tc>
        <w:tc>
          <w:tcPr>
            <w:tcW w:w="10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7.59</w:t>
            </w:r>
          </w:p>
        </w:tc>
        <w:tc>
          <w:tcPr>
            <w:tcW w:w="16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7.71</w:t>
            </w:r>
          </w:p>
        </w:tc>
        <w:tc>
          <w:tcPr>
            <w:tcW w:w="1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7.38</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7.22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Risk-free interest rate(2)</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3.22%</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3.56%</w:t>
            </w:r>
          </w:p>
        </w:tc>
        <w:tc>
          <w:tcPr>
            <w:tcW w:w="1840" w:type="dxa"/>
            <w:vAlign w:val="bottom"/>
            <w:gridSpan w:val="2"/>
          </w:tcPr>
          <w:p>
            <w:pPr>
              <w:jc w:val="right"/>
              <w:ind w:right="128"/>
              <w:spacing w:after="0"/>
              <w:rPr>
                <w:sz w:val="20"/>
                <w:szCs w:val="20"/>
                <w:color w:val="auto"/>
              </w:rPr>
            </w:pPr>
            <w:r>
              <w:rPr>
                <w:rFonts w:ascii="Arial" w:cs="Arial" w:eastAsia="Arial" w:hAnsi="Arial"/>
                <w:sz w:val="18"/>
                <w:szCs w:val="18"/>
                <w:color w:val="auto"/>
              </w:rPr>
              <w:t>2.79%</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3.32%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91.83%</w:t>
            </w:r>
          </w:p>
        </w:tc>
        <w:tc>
          <w:tcPr>
            <w:tcW w:w="16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93.78%</w:t>
            </w:r>
          </w:p>
        </w:tc>
        <w:tc>
          <w:tcPr>
            <w:tcW w:w="1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93.56%</w:t>
            </w:r>
          </w:p>
        </w:tc>
        <w:tc>
          <w:tcPr>
            <w:tcW w:w="1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93.81%</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ind w:right="128"/>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6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term represents the period during which our stock-based awards are expected to be outstanding. We estimated this amount based on historical experience of similar awards, giving consideration to the contractual terms of the awards, vesting requirements, and expectation of future employee behavior, including post-vesting terminations.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debt securities with maturities close to the expected term of the option as of the date of grant.</w:t>
      </w:r>
    </w:p>
    <w:p>
      <w:pPr>
        <w:spacing w:after="0" w:line="9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volatility over the most recent historical period equal to the length of the expected term of the option as of the date of grant.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historically issued any dividends, and we do not expect to in the foreseeable future.</w:t>
      </w:r>
    </w:p>
    <w:p>
      <w:pPr>
        <w:spacing w:after="0" w:line="117"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unvested options for the three months ended September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Number of options</w:t>
            </w:r>
          </w:p>
        </w:tc>
        <w:tc>
          <w:tcPr>
            <w:tcW w:w="200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2"/>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date fair value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June 30, 2009</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3,265,484</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47,500</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(360,500)</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(64,340)</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Unvested options at September 30, 2009</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2,888,144</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shares vested were approximately $703,000 in the three months ended September 30, 2009.</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have granted restricted stock units (RSUs) to certain employees which entitle the holders to receive shares of our common stock upon vesting of the RSUs. The fair value of restricted stock units granted are based upon the market price of the underlying common stock as if it were vested and issued on the date of grant.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restricted stock unit activity for the three months ended September 30,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Number of RSUs</w:t>
            </w:r>
          </w:p>
        </w:tc>
        <w:tc>
          <w:tcPr>
            <w:tcW w:w="480" w:type="dxa"/>
            <w:vAlign w:val="bottom"/>
            <w:vMerge w:val="restart"/>
          </w:tcPr>
          <w:p>
            <w:pPr>
              <w:spacing w:after="0"/>
              <w:rPr>
                <w:sz w:val="14"/>
                <w:szCs w:val="14"/>
                <w:color w:val="auto"/>
              </w:rPr>
            </w:pPr>
          </w:p>
        </w:tc>
        <w:tc>
          <w:tcPr>
            <w:tcW w:w="2000" w:type="dxa"/>
            <w:vAlign w:val="bottom"/>
            <w:gridSpan w:val="3"/>
          </w:tcPr>
          <w:p>
            <w:pPr>
              <w:ind w:left="420"/>
              <w:spacing w:after="0"/>
              <w:rPr>
                <w:sz w:val="20"/>
                <w:szCs w:val="20"/>
                <w:color w:val="auto"/>
              </w:rPr>
            </w:pPr>
            <w:r>
              <w:rPr>
                <w:rFonts w:ascii="Arial" w:cs="Arial" w:eastAsia="Arial" w:hAnsi="Arial"/>
                <w:sz w:val="14"/>
                <w:szCs w:val="14"/>
                <w:b w:val="1"/>
                <w:bCs w:val="1"/>
                <w:color w:val="auto"/>
                <w:w w:val="97"/>
              </w:rPr>
              <w:t>Weighted-average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date fair value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 (1)</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2,303,068</w:t>
            </w: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Granted (2)</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103,333</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 and converted to common shares</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(38,500)</w:t>
            </w: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unvested at September 30, 2009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2,367,901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1,100,000 of these restricted stock units vest and convert into shares of our common stock over a three year period from the date of grant: one-third of the award will vest on each grant date anniversary over the following three years. 953,068 of these restricted stock units vest and convert into shares of our common stock over a four year period from the date of grant: one-fourth of the award will vest on each grant date anniversary over the following four years. 250,000 of these restricted stock units will vest and convert into shares of our common stock subject to attainment of certain performance criteria and will be forfeited if not met by March 31, 2011.</w:t>
      </w:r>
    </w:p>
    <w:p>
      <w:pPr>
        <w:spacing w:after="0" w:line="39"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93,333 of these restricted stock units vest and convert into shares of our common stock over a four year period from the date of grant: one-fourth of the award will vest on each grant date anniversary over the following four years. 10,000 of these restricted stock units vest and convert into shares of our common stock after one year from the date of grant.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760" w:firstLine="225"/>
        <w:spacing w:after="0" w:line="308" w:lineRule="auto"/>
        <w:rPr>
          <w:sz w:val="20"/>
          <w:szCs w:val="20"/>
          <w:color w:val="auto"/>
        </w:rPr>
      </w:pPr>
      <w:r>
        <w:rPr>
          <w:rFonts w:ascii="Arial" w:cs="Arial" w:eastAsia="Arial" w:hAnsi="Arial"/>
          <w:sz w:val="17"/>
          <w:szCs w:val="17"/>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SARs.</w:t>
      </w:r>
    </w:p>
    <w:p>
      <w:pPr>
        <w:sectPr>
          <w:pgSz w:w="11900" w:h="16838" w:orient="portrait"/>
          <w:cols w:equalWidth="0" w:num="1">
            <w:col w:w="11420"/>
          </w:cols>
          <w:pgMar w:left="240" w:top="41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SARs have a maximum term of ten years with an exercise price of $2.00, which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 and liability are re-measured at each reporting date through the date of settlement.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changes in SARs for the three months ended September 30, 2009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Number of SARs</w:t>
            </w:r>
          </w:p>
        </w:tc>
        <w:tc>
          <w:tcPr>
            <w:tcW w:w="10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1,430,849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Forfeited and expired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SARs at September 30, 2009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1,430,849</w:t>
            </w:r>
          </w:p>
        </w:tc>
        <w:tc>
          <w:tcPr>
            <w:tcW w:w="80" w:type="dxa"/>
            <w:vAlign w:val="bottom"/>
            <w:shd w:val="clear" w:color="auto" w:fill="CCEEFF"/>
          </w:tcPr>
          <w:p>
            <w:pPr>
              <w:spacing w:after="0"/>
              <w:rPr>
                <w:sz w:val="18"/>
                <w:szCs w:val="18"/>
                <w:color w:val="auto"/>
              </w:rPr>
            </w:pPr>
          </w:p>
        </w:tc>
      </w:tr>
      <w:tr>
        <w:trPr>
          <w:trHeight w:val="223"/>
        </w:trPr>
        <w:tc>
          <w:tcPr>
            <w:tcW w:w="10260" w:type="dxa"/>
            <w:vAlign w:val="bottom"/>
            <w:gridSpan w:val="2"/>
          </w:tcPr>
          <w:p>
            <w:pPr>
              <w:spacing w:after="0"/>
              <w:rPr>
                <w:sz w:val="20"/>
                <w:szCs w:val="20"/>
                <w:color w:val="auto"/>
              </w:rPr>
            </w:pPr>
            <w:r>
              <w:rPr>
                <w:rFonts w:ascii="Arial" w:cs="Arial" w:eastAsia="Arial" w:hAnsi="Arial"/>
                <w:sz w:val="18"/>
                <w:szCs w:val="18"/>
                <w:color w:val="auto"/>
              </w:rPr>
              <w:t>SARs exercisable at September 30, 2009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For the three months ended September 30, 2009, we re-measured the liability related to the SARs and due to a decrease in our common stock price, the re-measured fair value of the liability reduced compensation expense by approximately $5,000. For the same period in 2008, we recorded compensation expense of approximately $25,000.</w:t>
      </w:r>
    </w:p>
    <w:p>
      <w:pPr>
        <w:spacing w:after="0" w:line="73"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At September 30, 2009, approximately $210,000 of unrecognized compensation expense related to SARs is expected to be recognized over a weighted average vesting period of approximately 1.0 year.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Wind-Down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October 1999, we relocated to California from Rhode Island and established a wind 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summary of the changes to our wind-down reserve related to this facility as of September 30, 2009 and December 31, 2008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January to</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to</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July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January to</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January to</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$ 4,448,000</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$ 4,323,000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4,060,000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4,448,000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4,875,000</w:t>
            </w: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Less actual expenses recorded against estimated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reserve during the period</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(331,000)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(293,000)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(286,000)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(910,000)</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(1,293,000)</w:t>
            </w: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expense recorded to revise estimated</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 at period-end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866,000</w:t>
            </w: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4,323,000</w:t>
            </w:r>
          </w:p>
        </w:tc>
        <w:tc>
          <w:tcPr>
            <w:tcW w:w="6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3,768,000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3,768,000</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4,448,000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period-end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1,014,000</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911,000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1,065,000</w:t>
            </w: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color w:val="auto"/>
              </w:rPr>
              <w:t>Total accrued wind-down expenses at period-end</w:t>
            </w: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(current and non current)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$ 5,337,000</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$ 5,022,000</w:t>
            </w:r>
          </w:p>
        </w:tc>
        <w:tc>
          <w:tcPr>
            <w:tcW w:w="320" w:type="dxa"/>
            <w:vAlign w:val="bottom"/>
          </w:tcPr>
          <w:p>
            <w:pPr>
              <w:spacing w:after="0"/>
              <w:rPr>
                <w:sz w:val="20"/>
                <w:szCs w:val="20"/>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4,679,000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4,679,000</w:t>
            </w: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5,513,000</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 current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$ 1,496,000</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$ 1,438,000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1,357,000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1,357,000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1,420,000</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wind-down expenses, non-current</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3,841,000</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3,322,000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3,322,000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4,093,000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wind-down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$ 5,337,000</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$ 5,022,000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4,679,000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4,679,000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5,513,000</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April 1, 2009, as part of our acquisition of the SCS operations, we acquired operations near Melbourne, Australia. In order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to terminate our facility lease in Australia (with an original termination date of December 31, 2010), employee termination benefits and other liabilities associated with the wind-down and relocation of our operations in Australia.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July to</w:t>
            </w:r>
          </w:p>
        </w:tc>
      </w:tr>
      <w:tr>
        <w:trPr>
          <w:trHeight w:val="149"/>
        </w:trPr>
        <w:tc>
          <w:tcPr>
            <w:tcW w:w="104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10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June 30, 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310,000</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Less actual expenses recorded against estimated reserve during the period</w:t>
            </w:r>
          </w:p>
        </w:tc>
        <w:tc>
          <w:tcPr>
            <w:tcW w:w="1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(232,000)</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Accrued wind-down reserve at September 30, 2009</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Capital leases</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$899,000 at September 30, 2009 and $1,009,000 at December 31, 2008.</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entered into a fifteen-year lease agreement for a scientific and administrative facility in Rhode Island in connection with a sale and leaseback arrangement in 1997. The lease term expires June 30, 2013. The lease contains escalating rent payments, which we recognize on a straight-line basis. Deferred rent expense for this facility was approximately $911,000 at September 30, 2009 and $1,065,000 at December 31, 2008, and is included as part of the wind-down accrual on the accompanying condensed consolidated balance sheet.</w:t>
      </w:r>
    </w:p>
    <w:p>
      <w:pPr>
        <w:spacing w:after="0" w:line="79"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was approximately $180,000 as of September 30, 2009 and $437,000 as of December 31, 2008, and is reflected as deferred rent on our condensed consolidated balance sheet. As of September 30, 2009, we had a space-sharing agreement covering approximately 10,451 square feet of this facility, under which we receive base payments plus a proportionate share of the operating expenses based on square footage over the term of the agreement. In October 2009, we amended the lease to extend the expiry date of the lease term from March 31, 2010 to August 31, 2011. The aggregate rent payment for the extended lease term is approximately $3,100,000.</w:t>
      </w:r>
    </w:p>
    <w:p>
      <w:pPr>
        <w:spacing w:after="0" w:line="7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April 1, 2009, as part of our acquisition of the operations of SCS, we acquired operations in Cambridge, U.K.. Our wholly-owned subsidiary, Stem Cell Sciences UK Ltd, has two lease agreements with Babraham Bioscience Technologies Ltd., for approximately 3,900 square feet in total of office and lab space in Cambridge, U.K. The lease term for one ends on February 28, 2010, and the other on March 26, 2011, with annual lease payments of approximately 59,000 U.K. pounds (GBP) and 51,000 GBP,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April 1, 2009, as part of our acquisition of the operations of SCS, we acquired operations near Melbourne, Australia. Our wholly-owned subsidiary, Stem Cell Sciences (Australia) Pty Ltd, is in a lease agreement with Monash University for approximately 1,938 square feet of office and lab space in Victoria, Australia. The lease term ends on December 31, 2010. In order to reduce operating complexity and expenses, we made the decision to close our site in Australia and consolidate personnel and programs to our Cambridge, U.K. and Palo Alto, California sites. We paid approximately $86,000 for an early termination of the lease which cost is included as part of our wind-down expenses in the accompanying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 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July 2008, we amended our 1997 and 2000 license agreements with NeuroSpheres. NeuroSpheres is the holder of certain patents exclusively licensed by us, including the six patents that are the basis of our patent infringement suits against Neuralstem. As part of the amendment, we agreed to pay all reasonable litigation costs, expenses and attorney’s fees incurred by NeuroSpheres in the declaratory judgment suit between us and Neuralstem. In return, we are entitled to off-set all litigation costs incurred in that suit and any successor suit against amounts that would otherwise be owed under the license agreements, such as annual maintenance fees, milestones and royalty payments. At this time, we cannot estimate the likely total costs of our pending litigation with Neuralstem, given the unpredictable nature of such proceedings, or the total amount we may ultimately owe under the NeuroSpheres license agreements. However, the ability to apply the offsets will run for the entire term of each license agreement. For these reasons, we have chosen to approximate the potential value of the offset receivable by assuming that all litigation charges actually incurred in the consolidated cases, as of September 30, 2009, will ultimately be offset against royalties owed. Management will reevaluate this assumption on a quarterly basis based on actual costs and other relevant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 Liability</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 We received total proceeds, net of offering expenses and placement agency fees, of approximately $18,637,000. We recorded the fair value of the warrants to purchase 10,344,828 shares of our common stock as a liability. The fair value of the warrant liability is revalued at the end of each reporting period, with the change in fair value of the warrant liability recorded as a gain or loss in our Consolidated Statements of Operations. We used the Black-Scholes option pricing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model to estimate the fair value of these warrants. In using this model, we make certain assumptions about risk-free interest rates, dividend yields, volatility and expected term of the warrants. Risk-free interest rates are derived from the yield on U.S. Treasury debt securities. Dividend yields are based on our historical dividend payments, which have been zero to date. Volatility is derived from the historical volatility of our common stock as traded on Nasdaq. The expected term of the warrants is based on the time to expiration of the warrants from the date of measurement.</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assumptions used for the Black-Scholes option pricing model at September 30, 2009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8"/>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September 30,</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At 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fair value for the</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71"/>
        </w:trPr>
        <w:tc>
          <w:tcPr>
            <w:tcW w:w="6900" w:type="dxa"/>
            <w:vAlign w:val="bottom"/>
            <w:vMerge w:val="restart"/>
          </w:tcPr>
          <w:p>
            <w:pPr>
              <w:spacing w:after="0"/>
              <w:rPr>
                <w:sz w:val="20"/>
                <w:szCs w:val="20"/>
                <w:color w:val="auto"/>
              </w:rPr>
            </w:pPr>
            <w:r>
              <w:rPr>
                <w:rFonts w:ascii="Arial" w:cs="Arial" w:eastAsia="Arial" w:hAnsi="Arial"/>
                <w:sz w:val="18"/>
                <w:szCs w:val="18"/>
                <w:color w:val="auto"/>
              </w:rPr>
              <w:t>Fair value of warrant liability</w:t>
            </w:r>
          </w:p>
        </w:tc>
        <w:tc>
          <w:tcPr>
            <w:tcW w:w="220" w:type="dxa"/>
            <w:vAlign w:val="bottom"/>
          </w:tcPr>
          <w:p>
            <w:pPr>
              <w:spacing w:after="0"/>
              <w:rPr>
                <w:sz w:val="14"/>
                <w:szCs w:val="14"/>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2009</w:t>
            </w:r>
          </w:p>
        </w:tc>
        <w:tc>
          <w:tcPr>
            <w:tcW w:w="0" w:type="dxa"/>
            <w:vAlign w:val="bottom"/>
          </w:tcPr>
          <w:p>
            <w:pPr>
              <w:spacing w:after="0"/>
              <w:rPr>
                <w:sz w:val="1"/>
                <w:szCs w:val="1"/>
                <w:color w:val="auto"/>
              </w:rPr>
            </w:pPr>
          </w:p>
        </w:tc>
      </w:tr>
      <w:tr>
        <w:trPr>
          <w:trHeight w:val="224"/>
        </w:trPr>
        <w:tc>
          <w:tcPr>
            <w:tcW w:w="690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9,262,448</w:t>
            </w:r>
          </w:p>
        </w:tc>
        <w:tc>
          <w:tcPr>
            <w:tcW w:w="6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$ 11,092,862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fair value of the warrants will continue to be classified as a liability until such time as the warrants are exercised, expire or an amendment of the warrant agreement renders these warrants to be no longer classified as 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8, 2009, we filed a prospectus supplement that relates to the issuance and sale, from time to time, of up to $30,000,000 of our common stock, through our sales agent Cantor Fitzgerald &amp; Co (Cantor). These sales will be made pursuant to the terms of a sales agreement with Cantor, under which we will pay Cantor a fee of 3.0% of the gross proceeds. The prospectus is a part of a registration statement that we filed with the SEC on June 25, 2008, using a “shelf” registration process. Under this shelf registration process, we may offer to sell in one or more offerings up to a total dollar amount of $100,000,000. Under our sales agreement with Cantor, in the three-month period ended September 30, 2009, we sold 1,555,000 shares of common stock at a price of approximately $1.80 per share for gross proceeds of approximately $2,800,000.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 of SCS Operations</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On April 1, 2009, we acquired the operations of SCS for an aggregate purchase price of approximately $5,135,000. The acquired operations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These acquired operations will help us pursue applications of our cell technologies to develop cell-based research tools, which we believe represent nearer-term commercial opportunities.</w:t>
      </w:r>
    </w:p>
    <w:p>
      <w:pPr>
        <w:spacing w:after="0" w:line="50" w:lineRule="exact"/>
        <w:rPr>
          <w:sz w:val="20"/>
          <w:szCs w:val="20"/>
          <w:color w:val="auto"/>
        </w:rPr>
      </w:pPr>
    </w:p>
    <w:p>
      <w:pPr>
        <w:ind w:right="480" w:firstLine="215"/>
        <w:spacing w:after="0" w:line="342" w:lineRule="auto"/>
        <w:rPr>
          <w:sz w:val="20"/>
          <w:szCs w:val="20"/>
          <w:color w:val="auto"/>
        </w:rPr>
      </w:pPr>
      <w:r>
        <w:rPr>
          <w:rFonts w:ascii="Arial" w:cs="Arial" w:eastAsia="Arial" w:hAnsi="Arial"/>
          <w:sz w:val="16"/>
          <w:szCs w:val="16"/>
          <w:color w:val="auto"/>
        </w:rPr>
        <w:t>As consideration for the acquired operations, we issued to SCS 2,650,000 shares of common stock and waived certain commitments of SCS to repay approximately $709,000 in principal and accrued interest owed to us. The closing price of our common stock on April 1, 2009 was $1.67 per share.</w:t>
      </w:r>
    </w:p>
    <w:p>
      <w:pPr>
        <w:spacing w:after="0" w:line="16"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This transaction has been accounted for as a business purchase. We have evaluated the acquired assets and liabilities and believe that the historical cost of the net tangible assets acquired approximated fair market value. The primary method used to calculate the fair value of the intangible assets was the “Excess Earnings Method.” These intangible assets will be amortized over their estimated lives.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purchase price has been allocated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Allocated purchase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price</w:t>
            </w: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36,000</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 and developed technology</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1,310,000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 to 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In process research and development</w:t>
            </w: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1,340,000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13 to 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310,000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2,139,000</w:t>
            </w:r>
          </w:p>
        </w:tc>
        <w:tc>
          <w:tcPr>
            <w:tcW w:w="6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5,135,000</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In connection with our acquisition of the operations of SCS, and in accordance with U.S. GAAP, our acquisition costs of approximately $692,000, which primarily consisted of legal and other professional fees, were expensed in the nine-month period ended September 30, 2009. These costs were reported in our condensed consolidated statements of operations as part of our selling, general &amp; administrative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Subsequent events have been evaluated through November 4, 2009, which represents the issuance date of these unaudited condensed consolidated financial statements.</w:t>
      </w:r>
    </w:p>
    <w:p>
      <w:pPr>
        <w:spacing w:after="0" w:line="62"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In November 2009, we raised gross proceeds of $12,500,000 through the sale to certain institutional investors of 10,000,000 shares of common stock and warrants to purchase 4,000,000 shares of common stock. The common stock and warrants were sold in units, with each unit consisting of (i) one share of common stock and (ii) a warrant to purchase 0.4 of a share of common stock at an exercise price of $1.50 per share, and the purchase price was $1.25 per unit. The warrants will generally be exercisable for a period of five years beginning six months after the date of issuance. The shares and warrants were offered as a registered direct offering under our effective shelf registration statement previously filed with the SEC. We received total proceeds, net of offering expenses and placement agency fees, of approximately $11,900,000. The net proceeds of the financing will be used for general corporate purposes, including working capital, product development and capital expenditures, as well as for other strategic purposes.</w:t>
      </w:r>
    </w:p>
    <w:p>
      <w:pPr>
        <w:spacing w:after="0" w:line="59"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October 2009, we amended the lease agreement for our facility located at the Stanford Research Park in Palo Alto, California, to extend the expiry date of the lease term from March 31, 2010 to August 31, 2011. The aggregate rent payment for the extended lease term is approximately $3,100,000.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80" w:firstLine="222"/>
        <w:spacing w:after="0" w:line="284"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the Company’s HuCNS-SC cells for the treatment of neuronal ceroid lipofuscinosis (NCL, also known as Batten disease) or any other disease; uncertainty as to whether the U.S. Food and Drug Administration (FDA) or other regulatory authorities will permit us to proceed with clinical testing of proposed products despite the novel and unproven nature of our technologies; the risk that one or more of our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uncertainties about the design of future clinical trials and whether the Company will receive the necessary support of a clinical trial site and its institutional review board to pursue future clinical trials in NCL, PMD or in proposed therapies for other diseases or conditions; the uncertainty regarding our ability to obtain a corporate partner or partners, if needed, to support the development and commercialization of our potential cell-based therapeutics products;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II, Item 1A of this report and Part I, Item 1A included in our Annual Report on Form 10-K for the fiscal year ended December 31, 2008.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We are focused on developing and commercializing cell-based technologies. Our research and development (R&amp;D) programs are primarily focused on identifying and developing potential cell-based therapeutics which can either restore or support organ function. In particular, since we relocated our corporate headquarters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in clinical development for two indications. In January 2009, we completed a six patient Phase I clinical trial of HuCNS-SC cells in infantile and late infantile neuronal ceroid lipofuscinosis (NCL), two forms of a group of disorders often referred to as Batten disease. The data from this Phase I trial showed that the HuCNS-SC cells were well tolerated, and there was evidence that the donor cells engrafted and survived. In December 2008, the FDA approved our IND to initiate a Phase I clinical trial of HuCNS-SC cells in a second indication, Pelizeaus-Merzbacher Disease (PMD), a fatal myelination disorder in the brain. In September 2009, we announced that we plan to initiate the PMD trial at University of California-San Francisco Children’s Hospital. We expect to begin enrolling patients by the end of 2009 and that the trial will take 12-18 months to complete. In addition, our HuCNS-SC cells are in preclinical development for spinal cord injury and retinal disorders. In our Liver Program, we are in preclinical research and development with our human liver engrafting cells and we plan to seek the necessary approvals to initiate a clinical study to evaluate hLEC as a potential cellular therapy, with the initial indication likely to be liver-based metabolic disorders.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85"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On April 1, 2009, we acquired the operations of Stem Cell Sciences Plc (SCS). The acquired business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These acquired operations will help us pursue applications of our cell technologies to develop cell-based research tools, which we believe represent nearer-term commercial opportunities. See Note 9 “Acquisition of SCS Operations” in the notes to condensed financial statements of Part I, Item 1 of this form 10-Q for further information.</w:t>
      </w:r>
    </w:p>
    <w:p>
      <w:pPr>
        <w:spacing w:after="0" w:line="70"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We have not derived any revenue or cash flows from the sale or commercialization of any therapeutic products. Through our acquisition of the SCS operations, we have derived revenue from sales and royalties on sales of cell culture media. We have also derived revenue from licensing rights to our intellectual property. To date, all such revenue has been limited and there can be no assurance that these revenues will increase.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81" w:lineRule="exact"/>
        <w:rPr>
          <w:sz w:val="20"/>
          <w:szCs w:val="20"/>
          <w:color w:val="auto"/>
        </w:rPr>
      </w:pPr>
    </w:p>
    <w:p>
      <w:pPr>
        <w:ind w:right="420" w:firstLine="225"/>
        <w:spacing w:after="0" w:line="291" w:lineRule="auto"/>
        <w:rPr>
          <w:sz w:val="20"/>
          <w:szCs w:val="20"/>
          <w:color w:val="auto"/>
        </w:rPr>
      </w:pPr>
      <w:r>
        <w:rPr>
          <w:rFonts w:ascii="Arial" w:cs="Arial" w:eastAsia="Arial" w:hAnsi="Arial"/>
          <w:sz w:val="16"/>
          <w:szCs w:val="16"/>
          <w:color w:val="auto"/>
        </w:rPr>
        <w:t xml:space="preserve">Before we can derive revenue or cash inflows from the commercialization of any of our therapeutic product candidates, we will need to: (i) conduct substantial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and characterization of our proprietary cell types, (ii) undertake preclinical and clinical testing for specific disease indications;</w:t>
      </w:r>
    </w:p>
    <w:p>
      <w:pPr>
        <w:ind w:right="300" w:firstLine="8"/>
        <w:spacing w:after="0" w:line="261"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validate and scale-up manufacturing processes to produce these cell-based therapeutics, and (iv) pursue required regulatory approvals. These steps are risky, expensive and time consuming.</w:t>
      </w:r>
    </w:p>
    <w:p>
      <w:pPr>
        <w:spacing w:after="0" w:line="76"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Overall, we expect our R&amp;D expenses to be substantial and to increase for the foreseeable future as we continue the development and clinical investigation of our current and future therapeutic product candidates. In addition, we expect our expenses and expenditures to increase as we begin to develop and commercialize non-therapeutic applications of our cell-based technologies. However, expenditures on R&amp;D programs are subject to many uncertainties, including whether we develop our product candidates with a partner or independently. We cannot forecast with any degree of certainty which of our product candidates or technologies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products, including future regulatory requirements and legal restrictions on the procurement of human tissue for medical research, many of which cannot be determined with accuracy at this time given the stage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therapeutic product candidates or any non-therapeutic applications of our cell-based technologies.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8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w:t>
      </w:r>
    </w:p>
    <w:p>
      <w:pPr>
        <w:spacing w:after="0" w:line="117"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In November 2009, we raised gross proceeds of $12,500,000 through the sale to certain institutional investors of 10,000,000 shares of common stock and warrants to purchase 4,000,000 shares of common stock. The common stock and warrants were sold in units, with each unit consisting of (i) one share of common stock and (ii) a warrant to purchase 0.4 of a share of common stock at an exercise price of $1.50 per share, and the purchase price was $1.25 per unit. The warrants will generally be exercisable for a period of five years beginning six months after the date of issuance. The shares and warrants were offered as a registered direct offering under our effective shelf registration statement previously filed with the SEC. We received total proceeds, net of offering expenses and placement agency fees, of approximately $11,900,000. The net proceeds of the financing will be used for general corporate purposes, including working capital, product development and capital expenditures, as well as for other strategic purposes.</w:t>
      </w:r>
    </w:p>
    <w:p>
      <w:pPr>
        <w:spacing w:after="0" w:line="5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 October 2009, we announced new preclinical data showing that our human neural stem cells protect cone photoreceptors (cones) in the eye from progressive degeneration and preserve visual function long term. Cones are light sensing cells that are highly concentrated within the macula of the human eye, and the ability to protect these cells suggests a promising approach to treating age-related macular degeneration (AMD), the leading cause of vision loss and blindness in people over the age of 55. These findings were presented at the Society for Neuroscience 2009 Annual Meeting.</w:t>
      </w:r>
    </w:p>
    <w:p>
      <w:pPr>
        <w:spacing w:after="0" w:line="6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 xml:space="preserve">In September 2009, we announced the publication of preclinical data demonstrating for the first time that transplantation of our proprietary, purified human neural stem cells delays the loss of motor function in a mouse model of infantile neuronal ceroid lipofuscinosis (NCL). NCL, commonly referred to as Batten disease, is a fatal neurodegenerative disorder in children. This paper, “Neuroprotection of Host Cells by Human Central Nervous System Stem Cells in a Mouse Model of Infantile Neuronal Ceroid Lipofuscinosis,” was featured in the September 2009 edition of the peer-reviewed journal </w:t>
      </w:r>
      <w:r>
        <w:rPr>
          <w:rFonts w:ascii="Arial" w:cs="Arial" w:eastAsia="Arial" w:hAnsi="Arial"/>
          <w:sz w:val="16"/>
          <w:szCs w:val="16"/>
          <w:i w:val="1"/>
          <w:iCs w:val="1"/>
          <w:color w:val="auto"/>
        </w:rPr>
        <w:t>Cell Stem Cell.</w:t>
      </w:r>
    </w:p>
    <w:p>
      <w:pPr>
        <w:spacing w:after="0" w:line="46" w:lineRule="exact"/>
        <w:rPr>
          <w:sz w:val="20"/>
          <w:szCs w:val="20"/>
          <w:color w:val="auto"/>
        </w:rPr>
      </w:pPr>
    </w:p>
    <w:p>
      <w:pPr>
        <w:jc w:val="both"/>
        <w:ind w:right="100" w:firstLine="225"/>
        <w:spacing w:after="0" w:line="279" w:lineRule="auto"/>
        <w:rPr>
          <w:sz w:val="20"/>
          <w:szCs w:val="20"/>
          <w:color w:val="auto"/>
        </w:rPr>
      </w:pPr>
      <w:r>
        <w:rPr>
          <w:rFonts w:ascii="Arial" w:cs="Arial" w:eastAsia="Arial" w:hAnsi="Arial"/>
          <w:sz w:val="17"/>
          <w:szCs w:val="17"/>
          <w:color w:val="auto"/>
        </w:rPr>
        <w:t>In September 2009, we announced that we plan to initiate with the University of California, San Francisco (UCSF) Children’s Hospital a Phase I clinical trial to evaluate the therapeutic potential of our proprietary HuCNS-SC</w:t>
      </w:r>
      <w:r>
        <w:rPr>
          <w:rFonts w:ascii="Arial" w:cs="Arial" w:eastAsia="Arial" w:hAnsi="Arial"/>
          <w:sz w:val="14"/>
          <w:szCs w:val="14"/>
          <w:b w:val="1"/>
          <w:bCs w:val="1"/>
          <w:color w:val="auto"/>
        </w:rPr>
        <w:t>®</w:t>
      </w:r>
      <w:r>
        <w:rPr>
          <w:rFonts w:ascii="Arial" w:cs="Arial" w:eastAsia="Arial" w:hAnsi="Arial"/>
          <w:sz w:val="17"/>
          <w:szCs w:val="17"/>
          <w:color w:val="auto"/>
        </w:rPr>
        <w:t xml:space="preserve"> product candidate (purified human neural stem cells) to treat Pelizaeus-Merzbacher Disease (PMD), a myelination disorder that primarily affects infants and young children. In this trial, patients with a fatal form of PMD will be transplanted with our HuCNS-SC cells to evaluate safety and to explore the ability of the cells to myelinate the patients’ nerve axons.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21"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accompanying discussion and analysis of our financial condition and results of operations are based on our condensed consolidated financial statements and the related disclosures, which have been prepared in accordance with U.S. GAAP.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U.S. GAAP requires us to recognize expense related to the fair value of our stock-based payment awards, including employee stock options. Under the provisions of U.S. GAAP, employee stock-based payment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We estimate the expected term based on historical experience of similar awards, giving consideration to the contractual terms of the awards, vesting requirements, and expectation of future employee behavior, including post-vesting terminations.</w:t>
      </w:r>
    </w:p>
    <w:p>
      <w:pPr>
        <w:spacing w:after="0" w:line="5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review our valuation assumptions at each grant date and, as a result, our assumptions in future periods may change. As of September 30, 2009, total compensation cost related to unvested stock-based awards not yet recognized was approximately $6,200,000, which is expected to be recognized as expense over a weighted-average period of 2.5 years. See also Note 4, “Stock-Based Compensation,” in the notes to condensed consolidated financial statements of Part I, Item 1 of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Rhode Island</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connection with exiting our research and manufacturing operations in Lincoln, Rhode Island, and the relocation of our corporate headquarters and remaining research laboratories to California in October 1999, we provided a reserve for our estimate of the exit cost obligation. The reserve reflects estimates of the ongoing costs of our former scientific and 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8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64"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six years (2003 through 2008) was approximately 74%, varying from 66% to 89%. As of September 30, 2009, based on current information available to management, the vacancy rate is projected to be approximately 77% for 2009, approximately 73% for 2010 and approximately 70% from 2011 through the end of the lease. These estimates are based on actual occupancy as of September 30, 2009, predicted lead time for acquiring new subtenants, historical vacancy rates for the area, and assessments by our broker/realtor of future real estate market conditions. If the assumed vacancy rate from 2010 to the end of the lease had been 5% higher or lower at September 30, 2009, then the reserve would have increased or decreased by approximately $146,000. Similarly, a 5% increase or decrease in the operating expenses for the facility from 2010 on would have increased or decreased the reserve by approximately $93,000, and a 5% increase or decrease in the assumed average rental charge per square foot would have increased or decreased the reserve by approximately $43,000. Management does not wait for specific events to change its estimate, but instead uses its best efforts to anticipate them on a quarterly basis. See Note 5 “Wind-down expenses,” in the notes to condensed consolidated financial statements of Part I, Item 1 of this Form 10-Q for further information.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Wind-down expenses — Australia</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for an early termination of our facility lease in Australia (with an original termination date of December 31, 2010), employee termination benefits and other liabilities associated with the wind-down and relocation of our operations in Australia.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00" w:firstLine="222"/>
        <w:spacing w:after="0" w:line="269" w:lineRule="auto"/>
        <w:rPr>
          <w:sz w:val="20"/>
          <w:szCs w:val="20"/>
          <w:color w:val="auto"/>
        </w:rPr>
      </w:pPr>
      <w:r>
        <w:rPr>
          <w:rFonts w:ascii="Arial" w:cs="Arial" w:eastAsia="Arial" w:hAnsi="Arial"/>
          <w:sz w:val="17"/>
          <w:szCs w:val="17"/>
          <w:color w:val="auto"/>
        </w:rPr>
        <w:t>The operating results of acquired companies or operations are included in our consolidated financial statements starting on the date of acquisition. Goodwill is recorded at the time of an acquisition and is calculated as the difference between the aggregate consideration paid for an acquisition and the fair value of the net tangible and intangible assets acquired. Accounting for acquisitions requires extensive use of accounting estimates and judgments to allocate the purchase price to the fair value of the net tangible and intangible assets acquired, including in-process research and development (IPR&amp;D). Goodwill and intangible assets deemed to have indefinite lives are not amortized but are subject to annual impairment tests. If the assumptions and estimates used to allocate the purchase price are not correct, or if business conditions change, purchase price adjustments or future asset impairment charges could be required. We test goodwill for impairment on an annual basis or more frequently if we believe indicators of impairment exist. Impairment evaluations involve management estimates of asset useful lives and future cash flows. Significant management judgment is required in the forecasts of future operating results that are used in the evaluations. It is possible, however, that the plans and estimates used may be incorrect. If our actual results, or the plans and estimates used in future impairment analysis, are lower than the original estimates used to assess the recoverability of these assets, we could incur additional impairment charges in a future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clinical studies, research collaborations and development programs for both cell-based therapeutic products and research tools, unpredictable or unanticipated manufacturing and supply costs, unanticipated capital expenditures necessary to support our business, expenses arising out of the integration of the acquired SCS operations, developments in on-going patent protection and litigation, the on-going expenses to lease and maintain our Rhode Island facilities, and the increasing costs associated with operating our California and Cambridge, U.K.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Product Sales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for the three and nine month periods ended September 30, 2009, as compared with the same periods in 2008, is summarized in the table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5"/>
              </w:rPr>
              <w:t>Change in 2009 versus 2008</w:t>
            </w: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0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5"/>
              </w:rPr>
              <w:t>Change in 2009 versus 2008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gridSpan w:val="5"/>
            <w:vMerge w:val="continue"/>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Licensing agreements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grants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98,806</w:t>
            </w:r>
          </w:p>
        </w:tc>
        <w:tc>
          <w:tcPr>
            <w:tcW w:w="2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86,427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$ 300,260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59,561</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$ 240,699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154,362</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154,362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274,961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253,168</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12,379</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240,789</w:t>
            </w:r>
          </w:p>
        </w:tc>
        <w:tc>
          <w:tcPr>
            <w:tcW w:w="440" w:type="dxa"/>
            <w:vAlign w:val="bottom"/>
            <w:vMerge w:val="continue"/>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1,945%</w:t>
            </w:r>
          </w:p>
        </w:tc>
        <w:tc>
          <w:tcPr>
            <w:tcW w:w="760" w:type="dxa"/>
            <w:vAlign w:val="bottom"/>
          </w:tcPr>
          <w:p>
            <w:pPr>
              <w:jc w:val="right"/>
              <w:spacing w:after="0"/>
              <w:rPr>
                <w:sz w:val="20"/>
                <w:szCs w:val="20"/>
                <w:color w:val="auto"/>
              </w:rPr>
            </w:pPr>
            <w:r>
              <w:rPr>
                <w:rFonts w:ascii="Arial" w:cs="Arial" w:eastAsia="Arial" w:hAnsi="Arial"/>
                <w:sz w:val="18"/>
                <w:szCs w:val="18"/>
                <w:color w:val="auto"/>
              </w:rPr>
              <w:t>575,221</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59,561</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515,660</w:t>
            </w:r>
          </w:p>
        </w:tc>
        <w:tc>
          <w:tcPr>
            <w:tcW w:w="4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(141,453)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(141,453)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(200,979)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111,715</w:t>
            </w: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12,379</w:t>
            </w:r>
          </w:p>
        </w:tc>
        <w:tc>
          <w:tcPr>
            <w:tcW w:w="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99,336</w:t>
            </w:r>
          </w:p>
        </w:tc>
        <w:tc>
          <w:tcPr>
            <w:tcW w:w="440" w:type="dxa"/>
            <w:vAlign w:val="bottom"/>
            <w:vMerge w:val="continue"/>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802%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$ 374,242</w:t>
            </w:r>
          </w:p>
        </w:tc>
        <w:tc>
          <w:tcPr>
            <w:tcW w:w="2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59,561</w:t>
            </w: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$ 314,681</w:t>
            </w:r>
          </w:p>
        </w:tc>
        <w:tc>
          <w:tcPr>
            <w:tcW w:w="4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117"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Total revenue in the third quarter of 2009 was approximately $253,000, which was 698% higher than total revenue in the third quarter of 2008. The increase in 2009 compared to 2008 was primarily attributable to consolidation of revenues from the acquired SCS operations in the third quarter of 2009, which were not part of our operations in the same period in 2008.</w:t>
      </w:r>
    </w:p>
    <w:p>
      <w:pPr>
        <w:spacing w:after="0" w:line="7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i w:val="1"/>
          <w:iCs w:val="1"/>
          <w:color w:val="auto"/>
        </w:rPr>
        <w:t xml:space="preserve">Third quarter ended September 30, 2009 versus third quarter ended September 30, 2008. </w:t>
      </w:r>
      <w:r>
        <w:rPr>
          <w:rFonts w:ascii="Arial" w:cs="Arial" w:eastAsia="Arial" w:hAnsi="Arial"/>
          <w:sz w:val="18"/>
          <w:szCs w:val="18"/>
          <w:color w:val="auto"/>
        </w:rPr>
        <w:t>Licensing and grant revenue for the third quarter of 2009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$86,000, or 698%, higher as compared to the same period in 2008. This increase was primarily attributable to approximately $44,000 in grant and licensing revenue recognized and consolidated as part of our acquisition of the SCS operations, revenue of approximately $37,000 from an existing grant which we were awarded in October 2008 from the National Institute of Diabetes and Digestive and Kidney Diseases to research and develop a potential cell-based therapeutic for liver disease, and an increase of approximately $5,000 in licensing revenue from existing licensing agreements. In the third quarter of 2009, we</w:t>
      </w:r>
    </w:p>
    <w:p>
      <w:pPr>
        <w:sectPr>
          <w:pgSz w:w="11900" w:h="16838" w:orient="portrait"/>
          <w:cols w:equalWidth="0" w:num="1">
            <w:col w:w="11420"/>
          </w:cols>
          <w:pgMar w:left="240" w:top="419" w:right="2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recognized approximately $154,000 and $141,000 as revenue from product sales and cost of product sales, respectively, in connection with our acquisition of the SCS operations, compared to none in the same period of 2008.</w:t>
      </w:r>
    </w:p>
    <w:p>
      <w:pPr>
        <w:spacing w:after="0" w:line="62"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i w:val="1"/>
          <w:iCs w:val="1"/>
          <w:color w:val="auto"/>
        </w:rPr>
        <w:t xml:space="preserve">Nine-month period ended September 30, 2009 versus nine-month period ended September 30, 2008. </w:t>
      </w:r>
      <w:r>
        <w:rPr>
          <w:rFonts w:ascii="Arial" w:cs="Arial" w:eastAsia="Arial" w:hAnsi="Arial"/>
          <w:sz w:val="18"/>
          <w:szCs w:val="18"/>
          <w:color w:val="auto"/>
        </w:rPr>
        <w:t>Licensing and grant revenue for the nine-month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September 30, 2009 were approximately $241,000, or 404%, higher as compared to the same period in 2008. This increase was primarily attributable to approximately $136,000 in grant and licensing revenue recognized and consolidated as part of our acquisition of the SCS operations, Revenue of approximately $89,000 from an existing grant which we were awarded in October 2008 from the National Institute of Diabetes and Digestive and Kidney Diseases to research and develop a potential cell-based therapeutic for liver disease, and an increase of approximately $16,000 in licensing revenue from existing licensing agreements. For the nine months ended September 30, 2009, we recognized and consolidated approximately $275,000 and $201,000 as revenue from product sales and cost of product sales, respectively, in connection with of our acquisition of the SCS operations, compared to none in the same period of 2008.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Operating expenses for the three and nine month periods ended September 30, 2009, as compared with the same periods in 2008,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Change in 2009 versus</w:t>
            </w:r>
          </w:p>
        </w:tc>
        <w:tc>
          <w:tcPr>
            <w:tcW w:w="25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2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 in 2009 versus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ind w:left="200"/>
              <w:spacing w:after="0" w:line="201" w:lineRule="exact"/>
              <w:rPr>
                <w:sz w:val="20"/>
                <w:szCs w:val="20"/>
                <w:color w:val="auto"/>
              </w:rPr>
            </w:pPr>
            <w:r>
              <w:rPr>
                <w:rFonts w:ascii="Arial" w:cs="Arial" w:eastAsia="Arial" w:hAnsi="Arial"/>
                <w:sz w:val="18"/>
                <w:szCs w:val="18"/>
                <w:color w:val="auto"/>
              </w:rPr>
              <w:t>Research &amp;</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400"/>
              <w:spacing w:after="0"/>
              <w:rPr>
                <w:sz w:val="20"/>
                <w:szCs w:val="20"/>
                <w:color w:val="auto"/>
              </w:rPr>
            </w:pPr>
            <w:r>
              <w:rPr>
                <w:rFonts w:ascii="Arial" w:cs="Arial" w:eastAsia="Arial" w:hAnsi="Arial"/>
                <w:sz w:val="18"/>
                <w:szCs w:val="18"/>
                <w:color w:val="auto"/>
              </w:rPr>
              <w:t>development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$ 4,988,569</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$ 4,171,799</w:t>
            </w: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816,770</w:t>
            </w:r>
          </w:p>
        </w:tc>
        <w:tc>
          <w:tcPr>
            <w:tcW w:w="4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$14,278,958</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$13,087,165</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$ 1,191,793</w:t>
            </w:r>
          </w:p>
        </w:tc>
        <w:tc>
          <w:tcPr>
            <w:tcW w:w="4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&amp;</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2,111,838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1,631,580</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480,258</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6,852,724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6,231,629</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621,095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Wind-down expenses</w:t>
            </w: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(5,679)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53,636</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(59,315)</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539,821</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381,136</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158,685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operating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$ 7,094,728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$ 5,857,015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$ 1,237,713</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21,671,503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19.699,930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$ 1,971,573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Our R&amp;D expenses consist primarily of salaries and related personnel expenses, costs associated with clinical trials and regulatory submissions; costs associated with preclinical activities such as toxicology studies; costs associated with cell processing and process development; certain patent-related costs such as licensing; facilities 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the nine months ended September 30, 2009) were approximately $106 million. Over this period, the majority of these cumulative costs were related to: (i) characterization of our proprietary HuCNS-SC cell,</w:t>
      </w:r>
    </w:p>
    <w:p>
      <w:pPr>
        <w:spacing w:after="0" w:line="5" w:lineRule="exact"/>
        <w:rPr>
          <w:sz w:val="20"/>
          <w:szCs w:val="20"/>
          <w:color w:val="auto"/>
        </w:rPr>
      </w:pPr>
    </w:p>
    <w:p>
      <w:pPr>
        <w:ind w:right="200"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expenditures for toxicology and other preclinical studies, preparation and submission of applications to regulatory agencies to conduct clinical trials and obtaining regulatory clearance to initiate such trials, all with respect to our HuCNS-SC cells, (iii) preclinical studies and development of our human liver engrafting cells; and (iv) costs associated with cell processing and process development.</w:t>
      </w:r>
    </w:p>
    <w:p>
      <w:pPr>
        <w:spacing w:after="0" w:line="82"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R&amp;D expenses totaled approximately $4,989,000 in the third quarter of 2009 compared with $4,172,000 in the third quarter of 2008, and $14,279,000 for the nine-month period ended September 30, 2009 compared with $13,087,000 for the nine-month period ended September 30, 2008.</w:t>
      </w:r>
    </w:p>
    <w:p>
      <w:pPr>
        <w:spacing w:after="0" w:line="38"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i w:val="1"/>
          <w:iCs w:val="1"/>
          <w:color w:val="auto"/>
        </w:rPr>
        <w:t xml:space="preserve">Third quarter ended September 30, 2009 versus third quarter ended September 30, 2008. </w:t>
      </w:r>
      <w:r>
        <w:rPr>
          <w:rFonts w:ascii="Arial" w:cs="Arial" w:eastAsia="Arial" w:hAnsi="Arial"/>
          <w:sz w:val="16"/>
          <w:szCs w:val="16"/>
          <w:color w:val="auto"/>
        </w:rPr>
        <w:t>R&amp;D expense totaled approximately $4,989,000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2009, as compared to $4,172,000 for the same period in 2008. The increase of approximately $817,000, or 20%, from 2008 to 2009 was primarily attributable to (i) increased R&amp;D operations of approximately $471,000 from our acquisition of the SCS operations; R&amp;D activity associated with the SCS operations is primarily focused on developing cell technologies for non-therapeutic applications, such as use in cell-based assays for drug discovery, (ii) an increase in personnel expenses of approximately $237,000 resulting from an increased head count at our California site to support expanded operations in our cell processing and product development programs; at our California site, we had 50 full time employees in research and development and laboratory support services at September 30, 2009, as compared to 43 at September 30, 2008, and (iii) an increase in consultant expenses of approximately $142,000. These increased expenses were partially offset by a decrease of approximately $33,000 in other expenses primarily attributable to supplies.</w:t>
      </w:r>
    </w:p>
    <w:p>
      <w:pPr>
        <w:spacing w:after="0" w:line="5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 xml:space="preserve">Nine-month period ended September 30, 2009 versus nine-month period ended September 30, 2008. </w:t>
      </w:r>
      <w:r>
        <w:rPr>
          <w:rFonts w:ascii="Arial" w:cs="Arial" w:eastAsia="Arial" w:hAnsi="Arial"/>
          <w:sz w:val="17"/>
          <w:szCs w:val="17"/>
          <w:color w:val="auto"/>
        </w:rPr>
        <w:t>R&amp;D expense totaled approximately $14,279,000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nine-month period ended September 30, 2009, as compared to $13,087,000 for the same period in 2008. The increase of approximately $1,192,000, or 9%, from 2008 to 2009 was primarily attributable to (i) increased R&amp;D operations of approximately $1,118,000 from our acquisition of the SCS operations; R&amp;D activity associated with the SCS operations is primarily focused on developing cell technologies for non-therapeutic applications, such as use in cell-based assays for drug discovery, (ii) an increase in personnel expenses of approximately $461,000 resulting from an increased head count in our California site to support expanded operations in our cell processing and product development programs; at our California site, we had 50 full time employees in research and development and laboratory support services at September 30, 2009, as compared to 43 at September 30, 2008, and (iii) an increase in consultant expenses of approximately $197,000. These increased expenses were partially offset by a decrease of approximately $584,000 in the other expenses primarily attributable to external services and supplies related to manufacturing and testing of our cells and for our six-patient Phase I clinical trial for NCL, which was completed in January 2009.</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Selling, general and administrative (SG&amp;A) expenses are primarily comprised of salaries, benefits and other staff related costs associated with sales and marketing, finance, legal, human resources, information technology, and other administrative personnel, facilities and overhead costs, external legal and other external general and administrative services.</w:t>
      </w:r>
    </w:p>
    <w:p>
      <w:pPr>
        <w:spacing w:after="0" w:line="73"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SG&amp;A expenses totaled approximately $2,112,000 in the third quarter of 2009 compared with $1,632,000 in the third quarter of 2008, and $6,853,000 for the nine-month period ended September 30, 2009 compared with $6,232,000 for the nine-month period ended September 30, 2008.</w:t>
      </w:r>
    </w:p>
    <w:p>
      <w:pPr>
        <w:spacing w:after="0" w:line="38" w:lineRule="exact"/>
        <w:rPr>
          <w:sz w:val="20"/>
          <w:szCs w:val="20"/>
          <w:color w:val="auto"/>
        </w:rPr>
      </w:pPr>
    </w:p>
    <w:p>
      <w:pPr>
        <w:jc w:val="both"/>
        <w:ind w:right="60" w:firstLine="225"/>
        <w:spacing w:after="0" w:line="302" w:lineRule="auto"/>
        <w:rPr>
          <w:sz w:val="20"/>
          <w:szCs w:val="20"/>
          <w:color w:val="auto"/>
        </w:rPr>
      </w:pPr>
      <w:r>
        <w:rPr>
          <w:rFonts w:ascii="Arial" w:cs="Arial" w:eastAsia="Arial" w:hAnsi="Arial"/>
          <w:sz w:val="16"/>
          <w:szCs w:val="16"/>
          <w:i w:val="1"/>
          <w:iCs w:val="1"/>
          <w:color w:val="auto"/>
        </w:rPr>
        <w:t xml:space="preserve">Third quarter ended September 30, 2009 versus third quarter ended September 30, 2008. </w:t>
      </w:r>
      <w:r>
        <w:rPr>
          <w:rFonts w:ascii="Arial" w:cs="Arial" w:eastAsia="Arial" w:hAnsi="Arial"/>
          <w:sz w:val="16"/>
          <w:szCs w:val="16"/>
          <w:color w:val="auto"/>
        </w:rPr>
        <w:t>SG&amp;A expenses totaled approximately $2,112,000 in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2009, compared with $1,632,000 for the same period in 2008. The increase of approximately $480,000, or 29%, from 2008 to 2009 was primarily attributable to (i) increased SG&amp;A expenses of approximately $278,000 at our acquired SCS operations, (ii) an increase in external services of approximately $169,000 mainly due to an increase in consultant and investor relations expenses, and (iii) an increase of approximately $33,000 in other expenses.</w:t>
      </w:r>
    </w:p>
    <w:p>
      <w:pPr>
        <w:spacing w:after="0" w:line="46"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i w:val="1"/>
          <w:iCs w:val="1"/>
          <w:color w:val="auto"/>
        </w:rPr>
        <w:t>Nine-month period ended September 30, 2009 versus nine-month period ended September 30, 2008</w:t>
      </w:r>
      <w:r>
        <w:rPr>
          <w:rFonts w:ascii="Arial" w:cs="Arial" w:eastAsia="Arial" w:hAnsi="Arial"/>
          <w:sz w:val="16"/>
          <w:szCs w:val="16"/>
          <w:color w:val="auto"/>
        </w:rPr>
        <w:t>. SG&amp;A expenses totaled approximately $6,853,000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nine-month period ended September 30, 2009, compared with $6,232,000 for the same period in 2008. The increase of approximately $621,000, or 10%, from 2008 to 2009 was primarily attributable to (i) increased SG&amp;A expenses of approximately $437,000 at our acquired SCS operations, (ii) approximately $692,000 of acquisition expenses related to the acquisition of SCS operations, (iii) an increase in personnel expenses of $250,000 primarily related to stock based compensation, and (iv) an increase in other expenses mainly related to investor relations of approximately $101,000. These increased expenses were partially offset by a decrease in external services of approximately $859,000 primarily attributable to a decrease in legal fees.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Wind-down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(5,679)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53,636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$ 229,552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Australia</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310,269</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wind-down expenses</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(5,679)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53,636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$ 539,821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$ 381,136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Rhode Island</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$5,513,000 at December 31, 2008. Payments net of subtenant income of approximately $286,000 for the third quarter and $910,000 for the nine months ended September 30, 2009 were recorded against this reserve. At September 30, 2009, we re-evaluated the estimate and adjusted the reserve to approximately $4,679,000 by recording in aggregate, a reduction in wind-down expenses of approximately $6,000 in the third quarter of 2009, for a total of approximately $230,000 for the nine months ended September 30, 2009. Payments recorded against the reserve were approximately $316,000 in the third quarter and $935,000 for the nine months ended September 30, 2008 and additional expenses recorded to adjust the reserve were approximately $54,000 in the third quarter and $381,000 for the nine months ended September 30, 2008.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5 “Wind-down expenses,” in the notes to condensed consolidated financial statements of Part I, Item 1 of this Form 10-Q for further information.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On April 1, 2009, as part of our acquisition of the SCS operations, we acquired operations near Melbourne, Australia. In order to reduce operating complexity and expenses, we made the decision to close our site in Australia and consolidate personnel and programs to our Cambridge, U.K. and Palo Alto, California sites. U.S. GAAP requires that a liability for a cost associated with an exit or disposal activity be recognized when the liability is incurred. In accordance with U.S. GAAP requirements, at June 30, 2009, we established a short-term reserve of approximately $310,000 for the estimated costs to close down and exit our Australia operations. The reserve reflects the estimated cost to terminate our facility lease in Australia (with an original termination date of December 31, 2010), employee termination benefits and other liabilities associated with the wind-down and relocation of our operations in Australia. Payments of approximately $232,000 for the third quarter ended September 30, 2009 were recorded against this reserve. No further adjustments were made to the reserve balance of approximately $78,000 at September 30,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Other income totaled approximately $1,838,000 in the second quarter of 2009 compared with $101,000 in the same period of 2008, and other expense of $495,000 for the nine months ended September 30, 2009 compared with other income of $636,000 for the nine months ended September 30, 2008.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8"/>
              </w:rPr>
              <w:t>Change in 2009 versus</w:t>
            </w:r>
          </w:p>
        </w:tc>
        <w:tc>
          <w:tcPr>
            <w:tcW w:w="22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2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 in 2009 versus</w:t>
            </w: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Gain on sale of</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$ 397,866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   397,866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1,830,414</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1,830,414</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(822,517)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(822,517)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138,332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(132,801)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738,107</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(682,291)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(84,010)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29,940</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40,740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(41,694)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(18,145)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(23,549)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1,838,272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100,683</w:t>
            </w:r>
          </w:p>
        </w:tc>
        <w:tc>
          <w:tcPr>
            <w:tcW w:w="14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$ 1,737,589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(495,392)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635,952</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(1,131,344)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Calculation is not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Marketable Equity Securities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the first quarter of 2009, we sold in aggregate 2,900,000 shares of ReNeuron and received proceeds of approximately $510,000. We recognized a realized gain of approximately $398,000 for that quarter. We did not sell any ReNeuron shares in the second and third quarters of 2009. We owned 1,921,924 ordinary shares of ReNeuron at September 30, 2009.</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connection with our financing in November 2008, we issued warrants to purchase in aggregate 10,344,828 shares of common stock at an exercise price of $2.30 per share and recorded the fair value of these warrants as a liability. The fair value of the warrant liability is revalued at the end of each reporting period, with the change in fair value of the warrant liability recorded as a gain or loss in our Consolidated Statements of Operations. We used the Black-Scholes option pricing model to estimate the fair value of these warrants and in using this model, we make certain assumptions about risk-free interest rates, dividend yields, volatility and expected term of the warrants. See Note 7 “Warrant Liability” in the Notes to condensed consolidated financial statements of Part I, Item 1 of this Form 10-Q for further information.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8,439,931</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Change in fair value for the quarter ended March 31, 2009</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2,755,448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March 31, 2009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11,195,379</w:t>
            </w: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Change in fair value for the quarter ended June 30, 2009</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(102,517)</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June 30, 2009</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11,092,862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Change in fair value for the quarter ended September 30, 2009</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(1,830,414)</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liability at September 30, 2009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9,262,448</w:t>
            </w: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Interest income for the three months ended September 30, 2009 decreased by approximately $133,000, or 96%, compared to the same period in 2008. For the nine months ended September 30, 2009, interest income decreased by approximately $682,000, or 92%, compared to the same period in 2008. The decreases in 2009 were primarily due to a lower average yield. See “Cash Used in Investing Activities,” in Liquidity and Capital Resources below for further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Interest expense for the three and nine months ended September 30, 2009, was relatively flat when compared to similar periods in 2008. Interest expense is primarily for outstanding debt and capital lease balances. See Note 6 “Commitment and Contingencies,” in the notes to condensed consolidated financial statements of Part I, Item 1 of this Form 10-Q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vMerge w:val="restart"/>
          </w:tcPr>
          <w:p>
            <w:pPr>
              <w:jc w:val="right"/>
              <w:ind w:right="262"/>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$33,206,323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$34,037,775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 (831,452)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880" w:type="dxa"/>
            <w:vAlign w:val="bottom"/>
          </w:tcPr>
          <w:p>
            <w:pPr>
              <w:ind w:left="240"/>
              <w:spacing w:after="0"/>
              <w:rPr>
                <w:sz w:val="20"/>
                <w:szCs w:val="20"/>
                <w:color w:val="auto"/>
              </w:rPr>
            </w:pPr>
            <w:r>
              <w:rPr>
                <w:rFonts w:ascii="Arial" w:cs="Arial" w:eastAsia="Arial" w:hAnsi="Arial"/>
                <w:sz w:val="18"/>
                <w:szCs w:val="18"/>
                <w:color w:val="auto"/>
              </w:rPr>
              <w:t>In summary, our cash flows were: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4"/>
              </w:rPr>
              <w:t>Change in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20" w:type="dxa"/>
            <w:vAlign w:val="bottom"/>
            <w:gridSpan w:val="11"/>
            <w:vMerge w:val="restart"/>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176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gridSpan w:val="3"/>
          </w:tcPr>
          <w:p>
            <w:pPr>
              <w:jc w:val="center"/>
              <w:ind w:left="22"/>
              <w:spacing w:after="0" w:line="158" w:lineRule="exact"/>
              <w:rPr>
                <w:sz w:val="20"/>
                <w:szCs w:val="20"/>
                <w:color w:val="auto"/>
              </w:rPr>
            </w:pPr>
            <w:r>
              <w:rPr>
                <w:rFonts w:ascii="Arial" w:cs="Arial" w:eastAsia="Arial" w:hAnsi="Arial"/>
                <w:sz w:val="14"/>
                <w:szCs w:val="14"/>
                <w:b w:val="1"/>
                <w:bCs w:val="1"/>
                <w:color w:val="auto"/>
                <w:w w:val="88"/>
              </w:rPr>
              <w:t>Versus 2008</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60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(18,491,364)</w:t>
            </w:r>
          </w:p>
        </w:tc>
        <w:tc>
          <w:tcPr>
            <w:tcW w:w="2060" w:type="dxa"/>
            <w:vAlign w:val="bottom"/>
            <w:gridSpan w:val="7"/>
            <w:shd w:val="clear" w:color="auto" w:fill="CCEEFF"/>
          </w:tcPr>
          <w:p>
            <w:pPr>
              <w:ind w:left="820"/>
              <w:spacing w:after="0"/>
              <w:rPr>
                <w:sz w:val="20"/>
                <w:szCs w:val="20"/>
                <w:color w:val="auto"/>
              </w:rPr>
            </w:pPr>
            <w:r>
              <w:rPr>
                <w:rFonts w:ascii="Arial" w:cs="Arial" w:eastAsia="Arial" w:hAnsi="Arial"/>
                <w:sz w:val="18"/>
                <w:szCs w:val="18"/>
                <w:color w:val="auto"/>
              </w:rPr>
              <w:t>$(17,165,645)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(1,325,719)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(1,048,348)</w:t>
            </w:r>
          </w:p>
        </w:tc>
        <w:tc>
          <w:tcPr>
            <w:tcW w:w="2060" w:type="dxa"/>
            <w:vAlign w:val="bottom"/>
            <w:gridSpan w:val="7"/>
          </w:tcPr>
          <w:p>
            <w:pPr>
              <w:ind w:left="820"/>
              <w:spacing w:after="0"/>
              <w:rPr>
                <w:sz w:val="20"/>
                <w:szCs w:val="20"/>
                <w:color w:val="auto"/>
              </w:rPr>
            </w:pPr>
            <w:r>
              <w:rPr>
                <w:rFonts w:ascii="Arial" w:cs="Arial" w:eastAsia="Arial" w:hAnsi="Arial"/>
                <w:sz w:val="18"/>
                <w:szCs w:val="18"/>
                <w:color w:val="auto"/>
              </w:rPr>
              <w:t>$ 23,372,726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$(24,421,074)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17,936,157</w:t>
            </w:r>
          </w:p>
        </w:tc>
        <w:tc>
          <w:tcPr>
            <w:tcW w:w="94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204,276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$ 17,731,881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Net cash used in operating activities in the first nine months of 2009 increased by approximately $1,326,000 or 8% when compared to the same period of 2008. Cash used in operating activities is primarily driven by our net loss but operating cash flows differ from net loss due to non-cash charges or differences in the timing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The decrease of approximately $24,421,000 or 104% from 2008 to 2009 for net cash provided by (used in) investing activities, was primarily attributable to a higher number of marketable debt securities maturing in the first nine months of 2008 as compared to the similar period in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increase from 2008 to 2009 of approximately $17,732,000 for net cash provided by financing activities was primarily attributable to gross proceeds of approximately $18,454,000 from the sale of 9,817,400 shares of common stock at an average price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$1.88 per share in the nine months ended September 30, 2009. These shares were sold under sales agreements with Cantor Fitzgerald &amp; Co. (“Cantor”).</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Listed below are key financing transactions entered into by us in the last three years:</w:t>
      </w:r>
    </w:p>
    <w:p>
      <w:pPr>
        <w:spacing w:after="0" w:line="117" w:lineRule="exact"/>
        <w:rPr>
          <w:sz w:val="20"/>
          <w:szCs w:val="20"/>
          <w:color w:val="auto"/>
        </w:rPr>
      </w:pPr>
    </w:p>
    <w:p>
      <w:pPr>
        <w:ind w:left="660" w:hanging="314"/>
        <w:spacing w:after="0" w:line="291"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 November 2009, we raised gross proceeds of $12,500,000 through the sale to certain institutional investors of 10,000,000 shares of common stock and warrants to purchase 4,000,000 shares of common stock. The common stock and warrants were sold in units, with each unit consisting of (i) one share of common stock and (ii) a warrant to purchase 0.4 of a share of common stock at an exercise price of $1.50 per share, and the purchase price was $1.25 per unit. The warrants will generally be exercisable for a period of five years beginning six months after the date of issuance. The shares and warrants were offered as a registered direct offering under our effective shelf registration statement previously filed with the SEC. We received total proceeds, net of offering expenses and placement agency fees, of approximately $11,900,000. The net proceeds of the financing will be used for general corporate purposes, including working capital, product development and capital expenditures, as well as for other strategic purposes.</w:t>
      </w:r>
    </w:p>
    <w:p>
      <w:pPr>
        <w:spacing w:after="0" w:line="72" w:lineRule="exact"/>
        <w:rPr>
          <w:rFonts w:ascii="Arial" w:cs="Arial" w:eastAsia="Arial" w:hAnsi="Arial"/>
          <w:sz w:val="16"/>
          <w:szCs w:val="16"/>
          <w:b w:val="1"/>
          <w:bCs w:val="1"/>
          <w:color w:val="auto"/>
        </w:rPr>
      </w:pPr>
    </w:p>
    <w:p>
      <w:pPr>
        <w:ind w:left="660" w:right="120" w:hanging="314"/>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June 2009 and July 2009, we sold a total of 1,830,000 shares of common stock under a sales agreement with Cantor, which we entered into and filed a Prospectus Supplement to announce, in June 2009. These shares were sold at an average price of approximately $1.80 per share for gross proceeds of approximately $3,291,000. Under the terms of the agreement, up to $30,000,000 worth of shares may be sold from time to time under a shelf registration statement and Cantor is paid compensation equal to 3.0% of the gross proceeds of such sales.</w:t>
      </w:r>
    </w:p>
    <w:p>
      <w:pPr>
        <w:spacing w:after="0" w:line="76" w:lineRule="exact"/>
        <w:rPr>
          <w:rFonts w:ascii="Arial" w:cs="Arial" w:eastAsia="Arial" w:hAnsi="Arial"/>
          <w:sz w:val="17"/>
          <w:szCs w:val="17"/>
          <w:b w:val="1"/>
          <w:bCs w:val="1"/>
          <w:color w:val="auto"/>
        </w:rPr>
      </w:pPr>
    </w:p>
    <w:p>
      <w:pPr>
        <w:ind w:left="660" w:right="20" w:hanging="314"/>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From January 2007 through June 2009, we sold a total of 10,000,000 shares of common stock under a separate sales agreement with Cantor, which we entered into and filed a Prospectus Supplement to announce, in December 2006. These shares were sold at an average price of $2.06 per share for gross proceeds of approximately $20,555,000. Under the terms of this agreement, up to 10,000,000 shares could be sold from time to time under a shelf registration statement and Cantor was paid compensation equal to 5.0% of the gross proceeds.</w:t>
      </w:r>
    </w:p>
    <w:p>
      <w:pPr>
        <w:spacing w:after="0" w:line="76" w:lineRule="exact"/>
        <w:rPr>
          <w:rFonts w:ascii="Arial" w:cs="Arial" w:eastAsia="Arial" w:hAnsi="Arial"/>
          <w:sz w:val="17"/>
          <w:szCs w:val="17"/>
          <w:b w:val="1"/>
          <w:bCs w:val="1"/>
          <w:color w:val="auto"/>
        </w:rPr>
      </w:pPr>
    </w:p>
    <w:p>
      <w:pPr>
        <w:ind w:left="660" w:right="20" w:hanging="314"/>
        <w:spacing w:after="0" w:line="279"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In November 2008, we sold 13,793,104 units to institutional investors at a price of $1.45 per unit, for gross proceeds of $20,000,000. The units, each of which consisted of one share of common stock and a warrant to purchase 0.75 shares of common stock at an exercise price of $2.30 per share, were offered as a registered direct offering under an effective shelf registration statement previously filed with and declared effective by the SEC. We received total proceeds net of offering expenses and placement agency fees of approximately $18,637,000.</w:t>
      </w:r>
    </w:p>
    <w:p>
      <w:pPr>
        <w:spacing w:after="0" w:line="76" w:lineRule="exact"/>
        <w:rPr>
          <w:rFonts w:ascii="Arial" w:cs="Arial" w:eastAsia="Arial" w:hAnsi="Arial"/>
          <w:sz w:val="17"/>
          <w:szCs w:val="17"/>
          <w:b w:val="1"/>
          <w:bCs w:val="1"/>
          <w:color w:val="auto"/>
        </w:rPr>
      </w:pPr>
    </w:p>
    <w:p>
      <w:pPr>
        <w:ind w:left="660" w:right="280" w:hanging="314"/>
        <w:spacing w:after="0" w:line="25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 April 2006, we sold 11,750,820 shares of our common stock to institutional investors at a price of $3.05 per share, for gross proceeds of approximately $35,840,000. The shares were offered as a registered direct offering under an effective shelf registration statement previously filed with and declared effective by the SEC. We received total proceeds, net of offering expenses and placement agency fees, of approximately $33,422,000. No warrants were issued as part of this financing transaction.</w:t>
      </w:r>
    </w:p>
    <w:p>
      <w:pPr>
        <w:spacing w:after="0" w:line="79" w:lineRule="exact"/>
        <w:rPr>
          <w:sz w:val="20"/>
          <w:szCs w:val="20"/>
          <w:color w:val="auto"/>
        </w:rPr>
      </w:pPr>
    </w:p>
    <w:p>
      <w:pPr>
        <w:ind w:right="120" w:firstLine="222"/>
        <w:spacing w:after="0" w:line="254"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selling,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8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On June 25, 2008 we filed with the SEC a universal shelf registration statement, declared effective July 18, 2008, which permits us to issue up to $100 million worth of registered debt and equity securities. Under this effective shelf registration, we have the flexibility to issue registered securities, from time to time, in one or more separate offerings or other transactions with the size, price and terms to be determined at the time of issuance. Registered securities issued using this shelf may be used to raise additional capital to fund our working capital and other corporate needs, for future acquisitions of assets, programs or businesses, and for other corporate purposes. As of November 2, 2009, we had approximately $48 million under our universal shelf registration statement available for issuing debt or equity securities; approximately $30 million of this $48 million has been reserved for the potential exercise of the warrants issued in connection with our November 2008 and November 2009 financings.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 In addition, the decline in economic activity, together with the deterioration of the credit and capital markets, could have an adverse impact on potential sources of future 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See Note 6, “Commitments and Contingencies” in the notes to condensed consolidated financial statements of Part I, Item 1 of this Form 10-Q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lease various real properties under operating leases that generally require us to pay taxes, insurance, maintenance, and minimum lease payments. Some of our leases have options to renew.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California</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entered into and amended a lease agreement for an approximately 68,000 square foot facility located at the Stanford Research Park in Palo Alto, California. At September 30, 2009, we had a space-sharing agreement covering approximately 10,451 square feet of this facility. We receive base payments plus a proportionate share of the operating expenses based on square footage over the term of the agreement. We expect to receive, in aggregate, approximately $152,000 as part of the space-sharing agreement for the remainder of 2009. As a result of the above transactions, our estimated net cash outlay for rent and operating expenses will be approximately $800,000 for the remainder of 2009.</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Rhode Island</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continue to have outstanding obligations in regard to our former facilities in Lincoln, Rhode Island. In 1997, we had entered into a fifteen-year lease for a scientific and administrative facility in a sale and leaseback arrangement. The lease includes escalating rent payments. We expect to pay approximately $293,000 in operating lease payments and estimated operating expenses of approximately $150,000, before receipt of sub-tenant income, for the remainder of 2009. We expect to receive, in aggregate, approximately $94,000 in sub-tenant rent and operating expense for the remainder of 2009. As a result of the above transactions, our estimated cash outlay net of sub-tenant rent for the facility will be approximately $349,000 for the remainder of 2009.</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United Kingdom</w:t>
      </w:r>
    </w:p>
    <w:p>
      <w:pPr>
        <w:spacing w:after="0" w:line="117"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7"/>
          <w:szCs w:val="17"/>
          <w:color w:val="auto"/>
        </w:rPr>
        <w:t>On April 1, 2009, as part of our acquisition of the operations of SCS, we acquired operations in Cambridge, U.K.. Our wholly-owned subsidiary, Stem Cell Sciences UK Ltd, has two lease agreements with Babraham Bioscience Technologies Ltd., for in aggregate space of approximately 3,900 square feet of office and lab space in Cambridge, U.K.. The lease term for one ends on February 28, 2010 and the other on March 26, 2011. For these two leases, at September 30, 2009, we expect to pay approximately 27,500 U.K. pounds (GBP) as rental payments for the remainder of 2009.</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 — Australia</w:t>
      </w:r>
    </w:p>
    <w:p>
      <w:pPr>
        <w:spacing w:after="0" w:line="11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On April 1, 2009, as part of our acquisition of the operations of SCS, we acquired operations near Melbourne, Australia. Our wholly-owned subsidiary, Stem Cell Sciences (Australia) Pty Ltd, is in a lease agreement with Monash University for approximately 1,938 square feet of office and lab space in Victoria, Australia. The lease term ends on December 31, 2010. In order to reduce operating complexity and expenses, we made the decision to close our site in Australia and consolidate personnel and programs to our Cambridge, U.K. and Palo Alto, California sites. We signed an agreement with the landlord to terminate our obligations under the lease and paid approximately $86,000 in consideration. See Note 5 “Wind-down expenses,” in the notes to condensed consolidated financial statements of Part I, Item 1 of this Form 10-Q for further information.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first nine months of 2009, we believe that there have been no significant changes in our payments due under contractual obligations, as disclosed in our Annual Report on Form 10-K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August 2009, the FASB issued an Accounting Standard Update (ASU) under the topic </w:t>
      </w:r>
      <w:r>
        <w:rPr>
          <w:rFonts w:ascii="Arial" w:cs="Arial" w:eastAsia="Arial" w:hAnsi="Arial"/>
          <w:sz w:val="17"/>
          <w:szCs w:val="17"/>
          <w:i w:val="1"/>
          <w:iCs w:val="1"/>
          <w:color w:val="auto"/>
        </w:rPr>
        <w:t>“Fair Value Measurements and Disclosures — Measuring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at Fair Value.” </w:t>
      </w:r>
      <w:r>
        <w:rPr>
          <w:rFonts w:ascii="Arial" w:cs="Arial" w:eastAsia="Arial" w:hAnsi="Arial"/>
          <w:sz w:val="17"/>
          <w:szCs w:val="17"/>
          <w:color w:val="auto"/>
        </w:rPr>
        <w:t>This ASU provides amendments for fair value measurements of liabilities. It provides clarification that under circumstances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a quoted price in an active market for the identical liability is not available, a reporting entity is required to measure fair value using one or more techniques prescribed in this update. This ASU also clarifies that when estimating a fair value of a liability, a reporting entity is not required to include a separate input or adjustment to other inputs relating to the existence of a restriction that prevents the transfer of the liability. This ASU is effective for the first reporting period (including interim periods) beginning after issuance or fourth quarter 2009. The Company is assessing the impact, if any, of this ASU on our financial condition, results of operations, and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Our market risks at September 30, 2009 have not changed materially from those discussed in Item 7A of our Form 10-K for the year ended December 31, 2008 on file with the U.S. Securities and Exchange Commission.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In July 2006, we filed suit against Neuralstem, Inc. in the Federal District Court for the District of Maryland, alleging that Neuralstem’s activities violate claims in four of the patents we exclusively licensed from NeuroSpheres.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considered these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reexamination requests. In April 2008, the PTO upheld the ‘832 and ‘872 patents, as amended, and issued Notices of Intent to Issue an Ex Parte Reexamination Certificate for both. In May 2009, the PTO upheld the ‘346 and ‘709 patents, as amended, and issued Notices of Intent to Issue an Ex Parte Reexamination Certificate for both.</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May 2008, we filed a second patent infringement suit against Neuralstem and its two founders, Karl Johe and Richard Garr. In this suit, which we filed in the Federal District Court for the Northern District of California, we allege that Neuralstem’s activities infringe claims in two patents we exclusively license from NeuroSpheres, specifically U.S. Patent No. 7,361,505 (claiming composition of matter of human neural stem cells derived from any source material) and U.S. Patent No. 7,115,418 (claiming methods for proliferating human neural stem cells). In addition, we allege various state law causes of action against Neuralstem arising out of its repeated derogatory statements to the public about our patent portfolio. Also in May 2008, Neuralstem filed suit against us and NeuroSpheres in the Federal District Court for the District of Maryland seeking a declaratory judgment that the ‘505 and ‘418 patents are either invalid or are not infringed by Neuralstem and that Neuralstem has not violated California state law. In August 2008, the California court transferred our lawsuit against Neuralstem to Maryland for resolution on the merits. In July 2009, the Maryland District Court granted our motion to consolidate these two cases with the litigation we initiated against Neuralstem in 2006. In August 2009, the Maryland District Court approved a scheduling order submitted by the parties for discovery and trial.</w:t>
      </w:r>
    </w:p>
    <w:p>
      <w:pPr>
        <w:spacing w:after="0" w:line="70"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addition to the actions described above, in April 2008, we filed an opposition to Neuralstem’s European Patent No. 0 915 968 (methods of isolating, propagating and differentiating CNS stem cells), because the claimed invention is believed by us to be unpatentable over prior art, including the patents exclusively licensed by us from NeuroSpheres. Neuralstem has responded to this opposition and the parties are currently awaiting a hearing, expected for 2010. In September 2009, we also filed a request with the PTO to reexamine Neuralstem’s U.S. Patent No. 5,753,506 (methods of isolating, propagating and differentiating CNS stem cells), which is the U.S. counterpart of Neuralstem’s ‘968 patent in Europe. The PTO granted this reexamination request in October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There have been no material change from the risk factors disclosed in Part I, Item 1A, of our Annual Report on Form 10-K for the fiscal year ended December 31, 2008 and Part II, Item 1A, of our Quarterly Report on Form 10-Q for the quarter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10.1 — </w:t>
      </w:r>
      <w:r>
        <w:rPr>
          <w:rFonts w:ascii="Arial" w:cs="Arial" w:eastAsia="Arial" w:hAnsi="Arial"/>
          <w:sz w:val="16"/>
          <w:szCs w:val="16"/>
          <w:color w:val="auto"/>
        </w:rPr>
        <w:t>Amendment to lease, dated October 12, 2009, between the Board of Trustees of the Leland Stanford Junior University and the Registrant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31.1 — </w:t>
      </w:r>
      <w:r>
        <w:rPr>
          <w:rFonts w:ascii="Arial" w:cs="Arial" w:eastAsia="Arial" w:hAnsi="Arial"/>
          <w:sz w:val="18"/>
          <w:szCs w:val="18"/>
          <w:color w:val="auto"/>
        </w:rPr>
        <w:t>Certification of Martin McGlynn under Section 302 of the Sarbanes-Oxley Act of 2002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31.2 — </w:t>
      </w:r>
      <w:r>
        <w:rPr>
          <w:rFonts w:ascii="Arial" w:cs="Arial" w:eastAsia="Arial" w:hAnsi="Arial"/>
          <w:sz w:val="18"/>
          <w:szCs w:val="18"/>
          <w:color w:val="auto"/>
        </w:rPr>
        <w:t>Certification of Rodney K. B. Young under Section 302 of the Sarbanes-Oxley Act of 2002</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STEMCELLS, INC.</w:t>
            </w:r>
          </w:p>
        </w:tc>
        <w:tc>
          <w:tcPr>
            <w:tcW w:w="114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(name of Registrant)</w:t>
            </w:r>
          </w:p>
        </w:tc>
        <w:tc>
          <w:tcPr>
            <w:tcW w:w="114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November 4, 2009</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K. B. Young</w:t>
            </w:r>
          </w:p>
        </w:tc>
        <w:tc>
          <w:tcPr>
            <w:tcW w:w="1140" w:type="dxa"/>
            <w:vAlign w:val="bottom"/>
          </w:tcPr>
          <w:p>
            <w:pPr>
              <w:spacing w:after="0"/>
              <w:rPr>
                <w:sz w:val="24"/>
                <w:szCs w:val="24"/>
                <w:color w:val="auto"/>
              </w:rPr>
            </w:pPr>
          </w:p>
        </w:tc>
      </w:tr>
      <w:tr>
        <w:trPr>
          <w:trHeight w:val="195"/>
        </w:trPr>
        <w:tc>
          <w:tcPr>
            <w:tcW w:w="562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Rodney K. B. Young</w:t>
            </w:r>
          </w:p>
        </w:tc>
        <w:tc>
          <w:tcPr>
            <w:tcW w:w="1140" w:type="dxa"/>
            <w:vAlign w:val="bottom"/>
          </w:tcPr>
          <w:p>
            <w:pPr>
              <w:spacing w:after="0"/>
              <w:rPr>
                <w:sz w:val="16"/>
                <w:szCs w:val="16"/>
                <w:color w:val="auto"/>
              </w:rPr>
            </w:pPr>
          </w:p>
        </w:tc>
      </w:tr>
      <w:tr>
        <w:trPr>
          <w:trHeight w:val="230"/>
        </w:trPr>
        <w:tc>
          <w:tcPr>
            <w:tcW w:w="56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405"/>
        </w:trPr>
        <w:tc>
          <w:tcPr>
            <w:tcW w:w="56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24"/>
                <w:szCs w:val="24"/>
                <w:color w:val="auto"/>
              </w:rPr>
            </w:pPr>
          </w:p>
        </w:tc>
      </w:tr>
      <w:tr>
        <w:trPr>
          <w:trHeight w:val="226"/>
        </w:trPr>
        <w:tc>
          <w:tcPr>
            <w:tcW w:w="562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ind w:right="260"/>
        <w:spacing w:after="0" w:line="375" w:lineRule="auto"/>
        <w:rPr>
          <w:sz w:val="20"/>
          <w:szCs w:val="20"/>
          <w:color w:val="auto"/>
        </w:rPr>
      </w:pPr>
      <w:r>
        <w:rPr>
          <w:rFonts w:ascii="Arial" w:cs="Arial" w:eastAsia="Arial" w:hAnsi="Arial"/>
          <w:sz w:val="18"/>
          <w:szCs w:val="18"/>
          <w:b w:val="1"/>
          <w:bCs w:val="1"/>
          <w:color w:val="auto"/>
        </w:rPr>
        <w:t xml:space="preserve">Exhibit 10.1 — </w:t>
      </w:r>
      <w:r>
        <w:rPr>
          <w:rFonts w:ascii="Arial" w:cs="Arial" w:eastAsia="Arial" w:hAnsi="Arial"/>
          <w:sz w:val="18"/>
          <w:szCs w:val="18"/>
          <w:color w:val="auto"/>
        </w:rPr>
        <w:t>Amendment to lease, dated October 12, 2009, between the Board of Trustees of the Leland Stanford Junior University and the Registrant</w:t>
      </w:r>
      <w:r>
        <w:rPr>
          <w:rFonts w:ascii="Arial" w:cs="Arial" w:eastAsia="Arial" w:hAnsi="Arial"/>
          <w:sz w:val="18"/>
          <w:szCs w:val="18"/>
          <w:b w:val="1"/>
          <w:bCs w:val="1"/>
          <w:color w:val="auto"/>
        </w:rPr>
        <w:t xml:space="preserve"> Exhibit 31.1 — </w:t>
      </w:r>
      <w:r>
        <w:rPr>
          <w:rFonts w:ascii="Arial" w:cs="Arial" w:eastAsia="Arial" w:hAnsi="Arial"/>
          <w:sz w:val="18"/>
          <w:szCs w:val="18"/>
          <w:color w:val="auto"/>
        </w:rPr>
        <w:t>Certification of Martin McGlynn under Section 302 of the Sarbanes-Oxley Act of 2002</w:t>
      </w:r>
      <w:r>
        <w:rPr>
          <w:rFonts w:ascii="Arial" w:cs="Arial" w:eastAsia="Arial" w:hAnsi="Arial"/>
          <w:sz w:val="18"/>
          <w:szCs w:val="18"/>
          <w:b w:val="1"/>
          <w:bCs w:val="1"/>
          <w:color w:val="auto"/>
        </w:rPr>
        <w:t xml:space="preserve"> Exhibit 31.2 — </w:t>
      </w:r>
      <w:r>
        <w:rPr>
          <w:rFonts w:ascii="Arial" w:cs="Arial" w:eastAsia="Arial" w:hAnsi="Arial"/>
          <w:sz w:val="18"/>
          <w:szCs w:val="18"/>
          <w:color w:val="auto"/>
        </w:rPr>
        <w:t>Certification of Rodney K. B. Young under Section 302 of the Sarbanes-Oxley Act of 2002</w:t>
      </w:r>
    </w:p>
    <w:p>
      <w:pPr>
        <w:spacing w:after="0" w:line="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32.2 — </w:t>
      </w:r>
      <w:r>
        <w:rPr>
          <w:rFonts w:ascii="Arial" w:cs="Arial" w:eastAsia="Arial" w:hAnsi="Arial"/>
          <w:sz w:val="18"/>
          <w:szCs w:val="18"/>
          <w:color w:val="auto"/>
        </w:rPr>
        <w:t>Certification of Rodney K. B. Young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19"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LEASE</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 xml:space="preserve">This Third Amendment to Lease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is made and entered into as of October 12, 2009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THE BOARD OF TRUSTEES OF THE LELAND STANFORD JUNIOR UNIVERSITY, a body having corporate powers under the laws of the State of California </w:t>
      </w:r>
      <w:r>
        <w:rPr>
          <w:rFonts w:ascii="Arial" w:cs="Arial" w:eastAsia="Arial" w:hAnsi="Arial"/>
          <w:sz w:val="18"/>
          <w:szCs w:val="18"/>
          <w:b w:val="1"/>
          <w:bCs w:val="1"/>
          <w:i w:val="1"/>
          <w:iCs w:val="1"/>
          <w:color w:val="auto"/>
        </w:rPr>
        <w:t>(“Landlord”)</w:t>
      </w:r>
      <w:r>
        <w:rPr>
          <w:rFonts w:ascii="Arial" w:cs="Arial" w:eastAsia="Arial" w:hAnsi="Arial"/>
          <w:sz w:val="18"/>
          <w:szCs w:val="18"/>
          <w:color w:val="auto"/>
        </w:rPr>
        <w:t>, and STEMCELLS, INC., a Delaware corporation</w:t>
      </w:r>
      <w:r>
        <w:rPr>
          <w:rFonts w:ascii="Arial" w:cs="Arial" w:eastAsia="Arial" w:hAnsi="Arial"/>
          <w:sz w:val="18"/>
          <w:szCs w:val="18"/>
          <w:b w:val="1"/>
          <w:bCs w:val="1"/>
          <w:i w:val="1"/>
          <w:iCs w:val="1"/>
          <w:color w:val="auto"/>
        </w:rPr>
        <w:t xml:space="preserve"> (“Tenant”)</w:t>
      </w:r>
      <w:r>
        <w:rPr>
          <w:rFonts w:ascii="Arial" w:cs="Arial" w:eastAsia="Arial" w:hAnsi="Arial"/>
          <w:sz w:val="18"/>
          <w:szCs w:val="18"/>
          <w:color w:val="auto"/>
        </w:rPr>
        <w:t>.</w:t>
      </w:r>
    </w:p>
    <w:p>
      <w:pPr>
        <w:spacing w:after="0" w:line="73"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 xml:space="preserve">A. Landlord and Tenant entered into that certain Restated and Amended Lease dated as of December 19, 2002 as amended by that certain Lease Amendment dated as of August 1, 2003 and that certain Second Amendment to Lease dated April 1, 2005 (as amended, the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xml:space="preserve"> pursuant to which Landlord has leased to Tenant 68,162 rentable square feet in that certain property commonly known as 3155 Porter Drive, Palo Alto, California and more particularly described in the Lease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Each capitalized term not defined in this Amendment shall have the same meaning given to such term in the Lease.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Landlord and Tenant now desire extend the Term of the Lease, on the terms and conditions more particularly set forth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Landlord and Tenant hereby agree as follows:</w:t>
      </w:r>
    </w:p>
    <w:p>
      <w:pPr>
        <w:spacing w:after="0" w:line="113"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 xml:space="preserve">Section 1 Extended Term. </w:t>
      </w:r>
      <w:r>
        <w:rPr>
          <w:rFonts w:ascii="Arial" w:cs="Arial" w:eastAsia="Arial" w:hAnsi="Arial"/>
          <w:sz w:val="18"/>
          <w:szCs w:val="18"/>
          <w:color w:val="auto"/>
        </w:rPr>
        <w:t>The term of the Lease is hereby extended commencing on April 1, 2010 and expiring on August 31, 2011</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(“Extended Term”)</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have no further rights to renew or extend the term of the Lease and Section 3(B) of the Second Amendment to Lease is hereby deleted in its entirety.]</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2 Base Monthly Rent. </w:t>
      </w:r>
      <w:r>
        <w:rPr>
          <w:rFonts w:ascii="Arial" w:cs="Arial" w:eastAsia="Arial" w:hAnsi="Arial"/>
          <w:sz w:val="18"/>
          <w:szCs w:val="18"/>
          <w:color w:val="auto"/>
        </w:rPr>
        <w:t>The Base Monthly Rent payable by Tenant during the Extended Term shall be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Period During</w:t>
            </w:r>
          </w:p>
        </w:tc>
        <w:tc>
          <w:tcPr>
            <w:tcW w:w="4460" w:type="dxa"/>
            <w:vAlign w:val="bottom"/>
          </w:tcPr>
          <w:p>
            <w:pPr>
              <w:jc w:val="right"/>
              <w:ind w:right="339"/>
              <w:spacing w:after="0"/>
              <w:rPr>
                <w:sz w:val="20"/>
                <w:szCs w:val="20"/>
                <w:color w:val="auto"/>
              </w:rPr>
            </w:pPr>
            <w:r>
              <w:rPr>
                <w:rFonts w:ascii="Arial" w:cs="Arial" w:eastAsia="Arial" w:hAnsi="Arial"/>
                <w:sz w:val="14"/>
                <w:szCs w:val="14"/>
                <w:b w:val="1"/>
                <w:bCs w:val="1"/>
                <w:color w:val="auto"/>
              </w:rPr>
              <w:t>Base Monthly Rent per</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Base Monthly Rent</w:t>
            </w:r>
          </w:p>
        </w:tc>
        <w:tc>
          <w:tcPr>
            <w:tcW w:w="0" w:type="dxa"/>
            <w:vAlign w:val="bottom"/>
          </w:tcPr>
          <w:p>
            <w:pPr>
              <w:spacing w:after="0"/>
              <w:rPr>
                <w:sz w:val="1"/>
                <w:szCs w:val="1"/>
                <w:color w:val="auto"/>
              </w:rPr>
            </w:pPr>
          </w:p>
        </w:tc>
      </w:tr>
      <w:tr>
        <w:trPr>
          <w:trHeight w:val="157"/>
        </w:trPr>
        <w:tc>
          <w:tcPr>
            <w:tcW w:w="50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Extended Term</w:t>
            </w:r>
          </w:p>
        </w:tc>
        <w:tc>
          <w:tcPr>
            <w:tcW w:w="4460" w:type="dxa"/>
            <w:vAlign w:val="bottom"/>
          </w:tcPr>
          <w:p>
            <w:pPr>
              <w:jc w:val="right"/>
              <w:ind w:right="439"/>
              <w:spacing w:after="0" w:line="157" w:lineRule="exact"/>
              <w:rPr>
                <w:sz w:val="20"/>
                <w:szCs w:val="20"/>
                <w:color w:val="auto"/>
              </w:rPr>
            </w:pPr>
            <w:r>
              <w:rPr>
                <w:rFonts w:ascii="Arial" w:cs="Arial" w:eastAsia="Arial" w:hAnsi="Arial"/>
                <w:sz w:val="14"/>
                <w:szCs w:val="14"/>
                <w:b w:val="1"/>
                <w:bCs w:val="1"/>
                <w:color w:val="auto"/>
              </w:rPr>
              <w:t>rentable square foot</w:t>
            </w: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April 1,</w:t>
            </w:r>
          </w:p>
        </w:tc>
        <w:tc>
          <w:tcPr>
            <w:tcW w:w="4440" w:type="dxa"/>
            <w:vAlign w:val="bottom"/>
          </w:tcPr>
          <w:p>
            <w:pPr>
              <w:ind w:left="20"/>
              <w:spacing w:after="0"/>
              <w:rPr>
                <w:sz w:val="20"/>
                <w:szCs w:val="20"/>
                <w:color w:val="auto"/>
              </w:rPr>
            </w:pPr>
            <w:r>
              <w:rPr>
                <w:rFonts w:ascii="Arial" w:cs="Arial" w:eastAsia="Arial" w:hAnsi="Arial"/>
                <w:sz w:val="18"/>
                <w:szCs w:val="18"/>
                <w:color w:val="auto"/>
              </w:rPr>
              <w:t>2010 — March 31, 2011</w:t>
            </w:r>
          </w:p>
        </w:tc>
        <w:tc>
          <w:tcPr>
            <w:tcW w:w="4460" w:type="dxa"/>
            <w:vAlign w:val="bottom"/>
          </w:tcPr>
          <w:p>
            <w:pPr>
              <w:jc w:val="right"/>
              <w:ind w:right="879"/>
              <w:spacing w:after="0"/>
              <w:rPr>
                <w:sz w:val="20"/>
                <w:szCs w:val="20"/>
                <w:color w:val="auto"/>
              </w:rPr>
            </w:pPr>
            <w:r>
              <w:rPr>
                <w:rFonts w:ascii="Arial" w:cs="Arial" w:eastAsia="Arial" w:hAnsi="Arial"/>
                <w:sz w:val="18"/>
                <w:szCs w:val="18"/>
                <w:color w:val="auto"/>
              </w:rPr>
              <w:t>$2.65</w:t>
            </w: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$180,629.30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April 1,</w:t>
            </w:r>
          </w:p>
        </w:tc>
        <w:tc>
          <w:tcPr>
            <w:tcW w:w="4440" w:type="dxa"/>
            <w:vAlign w:val="bottom"/>
          </w:tcPr>
          <w:p>
            <w:pPr>
              <w:ind w:left="20"/>
              <w:spacing w:after="0"/>
              <w:rPr>
                <w:sz w:val="20"/>
                <w:szCs w:val="20"/>
                <w:color w:val="auto"/>
              </w:rPr>
            </w:pPr>
            <w:r>
              <w:rPr>
                <w:rFonts w:ascii="Arial" w:cs="Arial" w:eastAsia="Arial" w:hAnsi="Arial"/>
                <w:sz w:val="18"/>
                <w:szCs w:val="18"/>
                <w:color w:val="auto"/>
              </w:rPr>
              <w:t>2011 — August 31, 2011</w:t>
            </w:r>
          </w:p>
        </w:tc>
        <w:tc>
          <w:tcPr>
            <w:tcW w:w="4460" w:type="dxa"/>
            <w:vAlign w:val="bottom"/>
          </w:tcPr>
          <w:p>
            <w:pPr>
              <w:jc w:val="right"/>
              <w:ind w:right="879"/>
              <w:spacing w:after="0"/>
              <w:rPr>
                <w:sz w:val="20"/>
                <w:szCs w:val="20"/>
                <w:color w:val="auto"/>
              </w:rPr>
            </w:pPr>
            <w:r>
              <w:rPr>
                <w:rFonts w:ascii="Arial" w:cs="Arial" w:eastAsia="Arial" w:hAnsi="Arial"/>
                <w:sz w:val="18"/>
                <w:szCs w:val="18"/>
                <w:color w:val="auto"/>
              </w:rPr>
              <w:t>$2.73</w:t>
            </w: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$186,082.26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0" w:firstLine="225"/>
        <w:spacing w:after="0" w:line="282" w:lineRule="auto"/>
        <w:rPr>
          <w:sz w:val="20"/>
          <w:szCs w:val="20"/>
          <w:color w:val="auto"/>
        </w:rPr>
      </w:pPr>
      <w:r>
        <w:rPr>
          <w:rFonts w:ascii="Arial" w:cs="Arial" w:eastAsia="Arial" w:hAnsi="Arial"/>
          <w:sz w:val="18"/>
          <w:szCs w:val="18"/>
          <w:b w:val="1"/>
          <w:bCs w:val="1"/>
          <w:color w:val="auto"/>
        </w:rPr>
        <w:t xml:space="preserve">Section 3 Condition of the Premises. </w:t>
      </w:r>
      <w:r>
        <w:rPr>
          <w:rFonts w:ascii="Arial" w:cs="Arial" w:eastAsia="Arial" w:hAnsi="Arial"/>
          <w:sz w:val="18"/>
          <w:szCs w:val="18"/>
          <w:color w:val="auto"/>
        </w:rPr>
        <w:t>Tenant hereby accepts the Premises in its “as-is” condition, and Landlord shall not be obligated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additions, repairs or improvements or to do any work whatsoever on, to or within the Premises.</w:t>
      </w:r>
    </w:p>
    <w:p>
      <w:pPr>
        <w:spacing w:after="0" w:line="54"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Section 4 Space Sharing Agreement. </w:t>
      </w:r>
      <w:r>
        <w:rPr>
          <w:rFonts w:ascii="Arial" w:cs="Arial" w:eastAsia="Arial" w:hAnsi="Arial"/>
          <w:sz w:val="18"/>
          <w:szCs w:val="18"/>
          <w:color w:val="auto"/>
        </w:rPr>
        <w:t>The Space Sharing Agreement and Tenant’s obligations pursuant to Section 7 of the Second Amendment to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in full force and effect during the Extended Term.</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 xml:space="preserve">Section 5 Brokerage Commission. </w:t>
      </w:r>
      <w:r>
        <w:rPr>
          <w:rFonts w:ascii="Arial" w:cs="Arial" w:eastAsia="Arial" w:hAnsi="Arial"/>
          <w:sz w:val="18"/>
          <w:szCs w:val="18"/>
          <w:color w:val="auto"/>
        </w:rPr>
        <w:t>Landlord is not represented by a broker and Tenant is represented by Cornish &amp; Carey Commercial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(“Tenant’s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Broker”) </w:t>
      </w:r>
      <w:r>
        <w:rPr>
          <w:rFonts w:ascii="Arial" w:cs="Arial" w:eastAsia="Arial" w:hAnsi="Arial"/>
          <w:sz w:val="18"/>
          <w:szCs w:val="18"/>
          <w:color w:val="auto"/>
        </w:rPr>
        <w:t>with respect to this Amendment Landlord shall pay Tenant’s Broker pursuant to the terms of a separate commission agreement. Tenant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Landlord represent and warrant that they have had no other dealings with any other real estate broker or agent in connection with this Amendment. Tenant and Landlord shall indemnify, defend and hold the other harmless from and against all liabilities arising from any other claims of brokerage commissions or finder’s fees based 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Tenant’s or Landlord’s, as applicable, dealings or contacts with brokers or agents, other than, as to Tenant, Tenant’s Broker.</w:t>
      </w:r>
    </w:p>
    <w:p>
      <w:pPr>
        <w:spacing w:after="0" w:line="113"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8"/>
          <w:szCs w:val="18"/>
          <w:b w:val="1"/>
          <w:bCs w:val="1"/>
          <w:color w:val="auto"/>
        </w:rPr>
        <w:t xml:space="preserve">Section 6 Effect of Amendment. </w:t>
      </w:r>
      <w:r>
        <w:rPr>
          <w:rFonts w:ascii="Arial" w:cs="Arial" w:eastAsia="Arial" w:hAnsi="Arial"/>
          <w:sz w:val="18"/>
          <w:szCs w:val="18"/>
          <w:color w:val="auto"/>
        </w:rPr>
        <w:t>As modified by this Amendment, all of the terms and conditions of the Lease remain unchanged and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In the event of any express conflict or inconsistency between the terms of this Amendment and the terms of the Lease, the terms of this Amendment shall control and govern.</w:t>
      </w:r>
    </w:p>
    <w:p>
      <w:pPr>
        <w:spacing w:after="0" w:line="68"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 xml:space="preserve">Section 7 Counterparts. </w:t>
      </w:r>
      <w:r>
        <w:rPr>
          <w:rFonts w:ascii="Arial" w:cs="Arial" w:eastAsia="Arial" w:hAnsi="Arial"/>
          <w:sz w:val="18"/>
          <w:szCs w:val="18"/>
          <w:color w:val="auto"/>
        </w:rPr>
        <w:t>This Amendment may be executed in any number of counterparts, each of which shall be an original, but all of which, when</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one and the same instrument.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Landlord and Tenant have executed this Amendment as of the Effective Date.</w:t>
      </w:r>
    </w:p>
    <w:p>
      <w:pPr>
        <w:sectPr>
          <w:pgSz w:w="11900" w:h="16838" w:orient="portrait"/>
          <w:cols w:equalWidth="0" w:num="1">
            <w:col w:w="11160"/>
          </w:cols>
          <w:pgMar w:left="240" w:top="935" w:right="49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ectPr>
          <w:pgSz w:w="11900" w:h="16838" w:orient="portrait"/>
          <w:cols w:equalWidth="0" w:num="2">
            <w:col w:w="5800" w:space="720"/>
            <w:col w:w="4640"/>
          </w:cols>
          <w:pgMar w:left="240" w:top="935" w:right="499" w:bottom="1440" w:gutter="0" w:footer="0" w:header="0"/>
          <w:type w:val="continuous"/>
        </w:sectPr>
      </w:pPr>
    </w:p>
    <w:p>
      <w:pPr>
        <w:spacing w:after="0" w:line="25" w:lineRule="exact"/>
        <w:rPr>
          <w:sz w:val="20"/>
          <w:szCs w:val="20"/>
          <w:color w:val="auto"/>
        </w:rPr>
      </w:pPr>
    </w:p>
    <w:p>
      <w:pPr>
        <w:ind w:right="1920"/>
        <w:spacing w:after="0" w:line="282" w:lineRule="auto"/>
        <w:rPr>
          <w:sz w:val="20"/>
          <w:szCs w:val="20"/>
          <w:color w:val="auto"/>
        </w:rPr>
      </w:pPr>
      <w:r>
        <w:rPr>
          <w:rFonts w:ascii="Arial" w:cs="Arial" w:eastAsia="Arial" w:hAnsi="Arial"/>
          <w:sz w:val="18"/>
          <w:szCs w:val="18"/>
          <w:b w:val="1"/>
          <w:bCs w:val="1"/>
          <w:color w:val="auto"/>
        </w:rPr>
        <w:t>THE BOARD OF TRUSTEES OF THE LELAND STANFORD JUNIOR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114300</wp:posOffset>
            </wp:positionV>
            <wp:extent cx="133794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794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Delaware corporation</w:t>
      </w:r>
    </w:p>
    <w:p>
      <w:pPr>
        <w:spacing w:after="0" w:line="268" w:lineRule="exact"/>
        <w:rPr>
          <w:sz w:val="20"/>
          <w:szCs w:val="20"/>
          <w:color w:val="auto"/>
        </w:rPr>
      </w:pPr>
    </w:p>
    <w:p>
      <w:pPr>
        <w:sectPr>
          <w:pgSz w:w="11900" w:h="16838" w:orient="portrait"/>
          <w:cols w:equalWidth="0" w:num="2">
            <w:col w:w="5800" w:space="720"/>
            <w:col w:w="4640"/>
          </w:cols>
          <w:pgMar w:left="240" w:top="935" w:right="4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ectPr>
          <w:pgSz w:w="11900" w:h="16838" w:orient="portrait"/>
          <w:cols w:equalWidth="0" w:num="2">
            <w:col w:w="5800" w:space="720"/>
            <w:col w:w="4640"/>
          </w:cols>
          <w:pgMar w:left="240" w:top="935" w:right="499" w:bottom="1440" w:gutter="0" w:footer="0" w:header="0"/>
          <w:type w:val="continuous"/>
        </w:sectPr>
      </w:pPr>
    </w:p>
    <w:p>
      <w:pPr>
        <w:ind w:left="580"/>
        <w:spacing w:after="0"/>
        <w:tabs>
          <w:tab w:leader="none" w:pos="1280" w:val="left"/>
        </w:tabs>
        <w:rPr>
          <w:sz w:val="20"/>
          <w:szCs w:val="20"/>
          <w:color w:val="auto"/>
        </w:rPr>
      </w:pPr>
      <w:r>
        <w:rPr>
          <w:rFonts w:ascii="Arial" w:cs="Arial" w:eastAsia="Arial" w:hAnsi="Arial"/>
          <w:sz w:val="18"/>
          <w:szCs w:val="18"/>
          <w:color w:val="auto"/>
        </w:rPr>
        <w:t>Name:</w:t>
        <w:tab/>
        <w:t>JEAN SNIDER</w:t>
      </w:r>
    </w:p>
    <w:p>
      <w:pPr>
        <w:spacing w:after="0" w:line="9"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MANAGING DIRECTOR, 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Rodney Young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184" w:lineRule="exact"/>
        <w:rPr>
          <w:sz w:val="20"/>
          <w:szCs w:val="20"/>
          <w:color w:val="auto"/>
        </w:rPr>
      </w:pPr>
    </w:p>
    <w:p>
      <w:pPr>
        <w:sectPr>
          <w:pgSz w:w="11900" w:h="16838" w:orient="portrait"/>
          <w:cols w:equalWidth="0" w:num="3">
            <w:col w:w="6360" w:space="720"/>
            <w:col w:w="480" w:space="220"/>
            <w:col w:w="3380"/>
          </w:cols>
          <w:pgMar w:left="240" w:top="935" w:right="499" w:bottom="1440" w:gutter="0" w:footer="0" w:header="0"/>
          <w:type w:val="continuous"/>
        </w:sectPr>
      </w:pPr>
    </w:p>
    <w:p>
      <w:pPr>
        <w:jc w:val="center"/>
        <w:ind w:right="-2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240" w:top="935" w:right="49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314"/>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820" w:firstLine="1"/>
        <w:spacing w:after="0" w:line="342" w:lineRule="auto"/>
        <w:tabs>
          <w:tab w:leader="none" w:pos="116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20" w:right="500" w:firstLine="1"/>
        <w:spacing w:after="0" w:line="277"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Rodney K. B. Young, certify that:</w:t>
      </w:r>
    </w:p>
    <w:p>
      <w:pPr>
        <w:spacing w:after="0" w:line="117"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660" w:right="28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80" w:firstLine="1"/>
        <w:spacing w:after="0" w:line="264" w:lineRule="auto"/>
        <w:tabs>
          <w:tab w:leader="none" w:pos="11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60" w:firstLine="1"/>
        <w:spacing w:after="0" w:line="264" w:lineRule="auto"/>
        <w:tabs>
          <w:tab w:leader="none" w:pos="11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80" w:firstLine="1"/>
        <w:spacing w:after="0" w:line="342" w:lineRule="auto"/>
        <w:tabs>
          <w:tab w:leader="none" w:pos="11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60" w:firstLine="1"/>
        <w:spacing w:after="0" w:line="264" w:lineRule="auto"/>
        <w:tabs>
          <w:tab w:leader="none" w:pos="11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314"/>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720" w:firstLine="91"/>
        <w:spacing w:after="0" w:line="308" w:lineRule="auto"/>
        <w:tabs>
          <w:tab w:leader="none" w:pos="1255" w:val="left"/>
        </w:tabs>
        <w:numPr>
          <w:ilvl w:val="2"/>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00" w:firstLine="91"/>
        <w:spacing w:after="0" w:line="277" w:lineRule="auto"/>
        <w:tabs>
          <w:tab w:leader="none" w:pos="1265"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September 30, 2009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StemCells, Inc. (the “Company”) quarterly report on Form 10-Q for the period ending September 30, 2009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K. B.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Roman"/>
      <w:start w:val="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2019-12-10T09:44:11Z</dcterms:created>
  <dcterms:modified xsi:type="dcterms:W3CDTF">2019-12-10T09:44:11Z</dcterms:modified>
</cp:coreProperties>
</file>