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149860</wp:posOffset>
            </wp:positionV>
            <wp:extent cx="64852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5255" cy="24765"/>
                    </a:xfrm>
                    <a:prstGeom prst="rect">
                      <a:avLst/>
                    </a:prstGeom>
                    <a:noFill/>
                  </pic:spPr>
                </pic:pic>
              </a:graphicData>
            </a:graphic>
          </wp:anchor>
        </w:drawing>
      </w:r>
    </w:p>
    <w:p>
      <w:pPr>
        <w:spacing w:after="0" w:line="23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59690</wp:posOffset>
            </wp:positionV>
            <wp:extent cx="11049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152"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10-K</w:t>
      </w:r>
    </w:p>
    <w:p>
      <w:pPr>
        <w:spacing w:after="0" w:line="97" w:lineRule="exact"/>
        <w:rPr>
          <w:sz w:val="20"/>
          <w:szCs w:val="20"/>
          <w:color w:val="auto"/>
        </w:rPr>
      </w:pPr>
    </w:p>
    <w:p>
      <w:pPr>
        <w:ind w:left="2220" w:hanging="996"/>
        <w:spacing w:after="0"/>
        <w:tabs>
          <w:tab w:leader="none" w:pos="22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2220"/>
        <w:spacing w:after="0"/>
        <w:rPr>
          <w:sz w:val="20"/>
          <w:szCs w:val="20"/>
          <w:color w:val="auto"/>
        </w:rPr>
      </w:pPr>
      <w:r>
        <w:rPr>
          <w:rFonts w:ascii="Arial" w:cs="Arial" w:eastAsia="Arial" w:hAnsi="Arial"/>
          <w:sz w:val="13"/>
          <w:szCs w:val="13"/>
          <w:b w:val="1"/>
          <w:bCs w:val="1"/>
          <w:color w:val="auto"/>
        </w:rPr>
        <w:t>For the fiscal year ended December 31, 2009</w:t>
      </w:r>
    </w:p>
    <w:p>
      <w:pPr>
        <w:spacing w:after="0" w:line="6"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or</w:t>
      </w:r>
    </w:p>
    <w:p>
      <w:pPr>
        <w:spacing w:after="0" w:line="11" w:lineRule="exact"/>
        <w:rPr>
          <w:sz w:val="20"/>
          <w:szCs w:val="20"/>
          <w:color w:val="auto"/>
        </w:rPr>
      </w:pPr>
    </w:p>
    <w:p>
      <w:pPr>
        <w:ind w:left="2220" w:hanging="967"/>
        <w:spacing w:after="0"/>
        <w:tabs>
          <w:tab w:leader="none" w:pos="22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2" w:lineRule="exact"/>
        <w:rPr>
          <w:sz w:val="20"/>
          <w:szCs w:val="20"/>
          <w:color w:val="auto"/>
        </w:rPr>
      </w:pPr>
    </w:p>
    <w:tbl>
      <w:tblPr>
        <w:tblLayout w:type="fixed"/>
        <w:tblInd w:w="56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4560" w:type="dxa"/>
            <w:vAlign w:val="bottom"/>
          </w:tcPr>
          <w:p>
            <w:pPr>
              <w:jc w:val="center"/>
              <w:ind w:left="2135"/>
              <w:spacing w:after="0"/>
              <w:rPr>
                <w:sz w:val="20"/>
                <w:szCs w:val="20"/>
                <w:color w:val="auto"/>
              </w:rPr>
            </w:pPr>
            <w:r>
              <w:rPr>
                <w:rFonts w:ascii="Arial" w:cs="Arial" w:eastAsia="Arial" w:hAnsi="Arial"/>
                <w:sz w:val="13"/>
                <w:szCs w:val="13"/>
                <w:b w:val="1"/>
                <w:bCs w:val="1"/>
                <w:color w:val="auto"/>
              </w:rPr>
              <w:t>COMMISSION FILE NUMBER 0-19871</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740" w:type="dxa"/>
            <w:vAlign w:val="bottom"/>
            <w:tcBorders>
              <w:bottom w:val="single" w:sz="8" w:color="auto"/>
            </w:tcBorders>
          </w:tcPr>
          <w:p>
            <w:pPr>
              <w:spacing w:after="0"/>
              <w:rPr>
                <w:sz w:val="9"/>
                <w:szCs w:val="9"/>
                <w:color w:val="auto"/>
              </w:rPr>
            </w:pPr>
          </w:p>
        </w:tc>
        <w:tc>
          <w:tcPr>
            <w:tcW w:w="8000" w:type="dxa"/>
            <w:vAlign w:val="bottom"/>
            <w:gridSpan w:val="2"/>
            <w:vMerge w:val="restart"/>
          </w:tcPr>
          <w:p>
            <w:pPr>
              <w:jc w:val="center"/>
              <w:ind w:right="1204"/>
              <w:spacing w:after="0"/>
              <w:rPr>
                <w:sz w:val="20"/>
                <w:szCs w:val="20"/>
                <w:color w:val="auto"/>
              </w:rPr>
            </w:pPr>
            <w:r>
              <w:rPr>
                <w:rFonts w:ascii="Arial" w:cs="Arial" w:eastAsia="Arial" w:hAnsi="Arial"/>
                <w:sz w:val="31"/>
                <w:szCs w:val="31"/>
                <w:b w:val="1"/>
                <w:bCs w:val="1"/>
                <w:color w:val="auto"/>
              </w:rPr>
              <w:t>STEMCELLS, INC.</w:t>
            </w:r>
          </w:p>
        </w:tc>
        <w:tc>
          <w:tcPr>
            <w:tcW w:w="0" w:type="dxa"/>
            <w:vAlign w:val="bottom"/>
          </w:tcPr>
          <w:p>
            <w:pPr>
              <w:spacing w:after="0"/>
              <w:rPr>
                <w:sz w:val="1"/>
                <w:szCs w:val="1"/>
                <w:color w:val="auto"/>
              </w:rPr>
            </w:pPr>
          </w:p>
        </w:tc>
      </w:tr>
      <w:tr>
        <w:trPr>
          <w:trHeight w:val="439"/>
        </w:trPr>
        <w:tc>
          <w:tcPr>
            <w:tcW w:w="1740" w:type="dxa"/>
            <w:vAlign w:val="bottom"/>
          </w:tcPr>
          <w:p>
            <w:pPr>
              <w:spacing w:after="0"/>
              <w:rPr>
                <w:sz w:val="24"/>
                <w:szCs w:val="24"/>
                <w:color w:val="auto"/>
              </w:rPr>
            </w:pPr>
          </w:p>
        </w:tc>
        <w:tc>
          <w:tcPr>
            <w:tcW w:w="8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4560" w:type="dxa"/>
            <w:vAlign w:val="bottom"/>
          </w:tcPr>
          <w:p>
            <w:pPr>
              <w:jc w:val="center"/>
              <w:ind w:left="2115"/>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4560" w:type="dxa"/>
            <w:vAlign w:val="bottom"/>
          </w:tcPr>
          <w:p>
            <w:pPr>
              <w:jc w:val="center"/>
              <w:ind w:right="2835"/>
              <w:spacing w:after="0"/>
              <w:rPr>
                <w:sz w:val="20"/>
                <w:szCs w:val="20"/>
                <w:color w:val="auto"/>
              </w:rPr>
            </w:pPr>
            <w:r>
              <w:rPr>
                <w:rFonts w:ascii="Arial" w:cs="Arial" w:eastAsia="Arial" w:hAnsi="Arial"/>
                <w:sz w:val="12"/>
                <w:szCs w:val="12"/>
                <w:b w:val="1"/>
                <w:bCs w:val="1"/>
                <w:color w:val="auto"/>
                <w:w w:val="92"/>
              </w:rPr>
              <w:t>A Delaware Corporation</w:t>
            </w:r>
          </w:p>
        </w:tc>
        <w:tc>
          <w:tcPr>
            <w:tcW w:w="3440" w:type="dxa"/>
            <w:vAlign w:val="bottom"/>
          </w:tcPr>
          <w:p>
            <w:pPr>
              <w:jc w:val="right"/>
              <w:ind w:right="1684"/>
              <w:spacing w:after="0"/>
              <w:rPr>
                <w:sz w:val="20"/>
                <w:szCs w:val="20"/>
                <w:color w:val="auto"/>
              </w:rPr>
            </w:pPr>
            <w:r>
              <w:rPr>
                <w:rFonts w:ascii="Arial" w:cs="Arial" w:eastAsia="Arial" w:hAnsi="Arial"/>
                <w:sz w:val="12"/>
                <w:szCs w:val="12"/>
                <w:b w:val="1"/>
                <w:bCs w:val="1"/>
                <w:color w:val="auto"/>
              </w:rPr>
              <w:t>94-3078125</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4560" w:type="dxa"/>
            <w:vAlign w:val="bottom"/>
          </w:tcPr>
          <w:p>
            <w:pPr>
              <w:jc w:val="center"/>
              <w:ind w:right="2835"/>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440" w:type="dxa"/>
            <w:vAlign w:val="bottom"/>
          </w:tcPr>
          <w:p>
            <w:pPr>
              <w:jc w:val="center"/>
              <w:ind w:right="524"/>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4560" w:type="dxa"/>
            <w:vAlign w:val="bottom"/>
          </w:tcPr>
          <w:p>
            <w:pPr>
              <w:jc w:val="center"/>
              <w:ind w:right="2835"/>
              <w:spacing w:after="0"/>
              <w:rPr>
                <w:sz w:val="20"/>
                <w:szCs w:val="20"/>
                <w:color w:val="auto"/>
              </w:rPr>
            </w:pPr>
            <w:r>
              <w:rPr>
                <w:rFonts w:ascii="Arial" w:cs="Arial" w:eastAsia="Arial" w:hAnsi="Arial"/>
                <w:sz w:val="10"/>
                <w:szCs w:val="10"/>
                <w:i w:val="1"/>
                <w:iCs w:val="1"/>
                <w:color w:val="auto"/>
                <w:w w:val="99"/>
              </w:rPr>
              <w:t>incorporation or organization)</w:t>
            </w:r>
          </w:p>
        </w:tc>
        <w:tc>
          <w:tcPr>
            <w:tcW w:w="3440" w:type="dxa"/>
            <w:vAlign w:val="bottom"/>
          </w:tcPr>
          <w:p>
            <w:pPr>
              <w:jc w:val="center"/>
              <w:ind w:right="544"/>
              <w:spacing w:after="0"/>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17"/>
                <w:szCs w:val="17"/>
                <w:color w:val="auto"/>
              </w:rPr>
            </w:pPr>
          </w:p>
        </w:tc>
        <w:tc>
          <w:tcPr>
            <w:tcW w:w="4560" w:type="dxa"/>
            <w:vAlign w:val="bottom"/>
          </w:tcPr>
          <w:p>
            <w:pPr>
              <w:jc w:val="center"/>
              <w:ind w:right="2835"/>
              <w:spacing w:after="0"/>
              <w:rPr>
                <w:sz w:val="20"/>
                <w:szCs w:val="20"/>
                <w:color w:val="auto"/>
              </w:rPr>
            </w:pPr>
            <w:r>
              <w:rPr>
                <w:rFonts w:ascii="Arial" w:cs="Arial" w:eastAsia="Arial" w:hAnsi="Arial"/>
                <w:sz w:val="12"/>
                <w:szCs w:val="12"/>
                <w:b w:val="1"/>
                <w:bCs w:val="1"/>
                <w:color w:val="auto"/>
                <w:w w:val="98"/>
              </w:rPr>
              <w:t>3155 PORTER DRIVE</w:t>
            </w:r>
          </w:p>
        </w:tc>
        <w:tc>
          <w:tcPr>
            <w:tcW w:w="3440" w:type="dxa"/>
            <w:vAlign w:val="bottom"/>
          </w:tcPr>
          <w:p>
            <w:pPr>
              <w:jc w:val="right"/>
              <w:ind w:right="1824"/>
              <w:spacing w:after="0"/>
              <w:rPr>
                <w:sz w:val="20"/>
                <w:szCs w:val="20"/>
                <w:color w:val="auto"/>
              </w:rPr>
            </w:pPr>
            <w:r>
              <w:rPr>
                <w:rFonts w:ascii="Arial" w:cs="Arial" w:eastAsia="Arial" w:hAnsi="Arial"/>
                <w:sz w:val="12"/>
                <w:szCs w:val="12"/>
                <w:b w:val="1"/>
                <w:bCs w:val="1"/>
                <w:color w:val="auto"/>
              </w:rPr>
              <w:t>94304</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4560" w:type="dxa"/>
            <w:vAlign w:val="bottom"/>
          </w:tcPr>
          <w:p>
            <w:pPr>
              <w:jc w:val="center"/>
              <w:ind w:right="2715"/>
              <w:spacing w:after="0"/>
              <w:rPr>
                <w:sz w:val="20"/>
                <w:szCs w:val="20"/>
                <w:color w:val="auto"/>
              </w:rPr>
            </w:pPr>
            <w:r>
              <w:rPr>
                <w:rFonts w:ascii="Arial" w:cs="Arial" w:eastAsia="Arial" w:hAnsi="Arial"/>
                <w:sz w:val="12"/>
                <w:szCs w:val="12"/>
                <w:b w:val="1"/>
                <w:bCs w:val="1"/>
                <w:color w:val="auto"/>
                <w:w w:val="96"/>
              </w:rPr>
              <w:t>PALO ALTO, CA</w:t>
            </w:r>
          </w:p>
        </w:tc>
        <w:tc>
          <w:tcPr>
            <w:tcW w:w="3440" w:type="dxa"/>
            <w:vAlign w:val="bottom"/>
          </w:tcPr>
          <w:p>
            <w:pPr>
              <w:jc w:val="center"/>
              <w:ind w:right="544"/>
              <w:spacing w:after="0"/>
              <w:rPr>
                <w:sz w:val="20"/>
                <w:szCs w:val="20"/>
                <w:color w:val="auto"/>
              </w:rPr>
            </w:pPr>
            <w:r>
              <w:rPr>
                <w:rFonts w:ascii="Arial" w:cs="Arial" w:eastAsia="Arial" w:hAnsi="Arial"/>
                <w:sz w:val="12"/>
                <w:szCs w:val="12"/>
                <w:i w:val="1"/>
                <w:iCs w:val="1"/>
                <w:color w:val="auto"/>
                <w:w w:val="91"/>
              </w:rPr>
              <w:t>(zip code)</w:t>
            </w: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4560" w:type="dxa"/>
            <w:vAlign w:val="bottom"/>
          </w:tcPr>
          <w:p>
            <w:pPr>
              <w:jc w:val="center"/>
              <w:ind w:right="2715"/>
              <w:spacing w:after="0"/>
              <w:rPr>
                <w:sz w:val="20"/>
                <w:szCs w:val="20"/>
                <w:color w:val="auto"/>
              </w:rPr>
            </w:pPr>
            <w:r>
              <w:rPr>
                <w:rFonts w:ascii="Arial" w:cs="Arial" w:eastAsia="Arial" w:hAnsi="Arial"/>
                <w:sz w:val="10"/>
                <w:szCs w:val="10"/>
                <w:i w:val="1"/>
                <w:iCs w:val="1"/>
                <w:color w:val="auto"/>
                <w:w w:val="96"/>
              </w:rPr>
              <w:t>(Address of principal offices)</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00" w:type="dxa"/>
            <w:vAlign w:val="bottom"/>
            <w:gridSpan w:val="2"/>
          </w:tcPr>
          <w:p>
            <w:pPr>
              <w:jc w:val="center"/>
              <w:ind w:right="1184"/>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69"/>
        </w:trPr>
        <w:tc>
          <w:tcPr>
            <w:tcW w:w="6300" w:type="dxa"/>
            <w:vAlign w:val="bottom"/>
            <w:gridSpan w:val="2"/>
          </w:tcPr>
          <w:p>
            <w:pPr>
              <w:jc w:val="center"/>
              <w:ind w:left="3861"/>
              <w:spacing w:after="0"/>
              <w:rPr>
                <w:sz w:val="20"/>
                <w:szCs w:val="20"/>
                <w:color w:val="auto"/>
              </w:rPr>
            </w:pPr>
            <w:r>
              <w:rPr>
                <w:rFonts w:ascii="Arial" w:cs="Arial" w:eastAsia="Arial" w:hAnsi="Arial"/>
                <w:sz w:val="13"/>
                <w:szCs w:val="13"/>
                <w:b w:val="1"/>
                <w:bCs w:val="1"/>
                <w:color w:val="auto"/>
                <w:w w:val="92"/>
              </w:rPr>
              <w:t>(650) 475-3100</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40" w:type="dxa"/>
            <w:vAlign w:val="bottom"/>
          </w:tcPr>
          <w:p>
            <w:pPr>
              <w:spacing w:after="0"/>
              <w:rPr>
                <w:sz w:val="17"/>
                <w:szCs w:val="17"/>
                <w:color w:val="auto"/>
              </w:rPr>
            </w:pPr>
          </w:p>
        </w:tc>
        <w:tc>
          <w:tcPr>
            <w:tcW w:w="8000" w:type="dxa"/>
            <w:vAlign w:val="bottom"/>
            <w:gridSpan w:val="2"/>
          </w:tcPr>
          <w:p>
            <w:pPr>
              <w:jc w:val="center"/>
              <w:ind w:right="118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18"/>
        </w:trPr>
        <w:tc>
          <w:tcPr>
            <w:tcW w:w="1740" w:type="dxa"/>
            <w:vAlign w:val="bottom"/>
          </w:tcPr>
          <w:p>
            <w:pPr>
              <w:spacing w:after="0"/>
              <w:rPr>
                <w:sz w:val="18"/>
                <w:szCs w:val="18"/>
                <w:color w:val="auto"/>
              </w:rPr>
            </w:pPr>
          </w:p>
        </w:tc>
        <w:tc>
          <w:tcPr>
            <w:tcW w:w="4560" w:type="dxa"/>
            <w:vAlign w:val="bottom"/>
          </w:tcPr>
          <w:p>
            <w:pPr>
              <w:ind w:left="8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440" w:type="dxa"/>
            <w:vAlign w:val="bottom"/>
          </w:tcPr>
          <w:p>
            <w:pPr>
              <w:ind w:left="14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4560" w:type="dxa"/>
            <w:vAlign w:val="bottom"/>
          </w:tcPr>
          <w:p>
            <w:pPr>
              <w:jc w:val="center"/>
              <w:ind w:right="2835"/>
              <w:spacing w:after="0"/>
              <w:rPr>
                <w:sz w:val="20"/>
                <w:szCs w:val="20"/>
                <w:color w:val="auto"/>
              </w:rPr>
            </w:pPr>
            <w:r>
              <w:rPr>
                <w:rFonts w:ascii="Arial" w:cs="Arial" w:eastAsia="Arial" w:hAnsi="Arial"/>
                <w:sz w:val="10"/>
                <w:szCs w:val="10"/>
                <w:color w:val="auto"/>
                <w:w w:val="93"/>
              </w:rPr>
              <w:t>Common Stock, $0.01 par value</w:t>
            </w:r>
          </w:p>
        </w:tc>
        <w:tc>
          <w:tcPr>
            <w:tcW w:w="3440" w:type="dxa"/>
            <w:vAlign w:val="bottom"/>
          </w:tcPr>
          <w:p>
            <w:pPr>
              <w:jc w:val="center"/>
              <w:ind w:right="544"/>
              <w:spacing w:after="0"/>
              <w:rPr>
                <w:sz w:val="20"/>
                <w:szCs w:val="20"/>
                <w:color w:val="auto"/>
              </w:rPr>
            </w:pPr>
            <w:r>
              <w:rPr>
                <w:rFonts w:ascii="Arial" w:cs="Arial" w:eastAsia="Arial" w:hAnsi="Arial"/>
                <w:sz w:val="10"/>
                <w:szCs w:val="10"/>
                <w:color w:val="auto"/>
                <w:w w:val="96"/>
              </w:rPr>
              <w:t>Nasdaq Global Market</w:t>
            </w:r>
          </w:p>
        </w:tc>
        <w:tc>
          <w:tcPr>
            <w:tcW w:w="0" w:type="dxa"/>
            <w:vAlign w:val="bottom"/>
          </w:tcPr>
          <w:p>
            <w:pPr>
              <w:spacing w:after="0"/>
              <w:rPr>
                <w:sz w:val="1"/>
                <w:szCs w:val="1"/>
                <w:color w:val="auto"/>
              </w:rPr>
            </w:pPr>
          </w:p>
        </w:tc>
      </w:tr>
      <w:tr>
        <w:trPr>
          <w:trHeight w:val="131"/>
        </w:trPr>
        <w:tc>
          <w:tcPr>
            <w:tcW w:w="6300" w:type="dxa"/>
            <w:vAlign w:val="bottom"/>
            <w:gridSpan w:val="2"/>
          </w:tcPr>
          <w:p>
            <w:pPr>
              <w:jc w:val="center"/>
              <w:ind w:right="1095"/>
              <w:spacing w:after="0"/>
              <w:rPr>
                <w:sz w:val="20"/>
                <w:szCs w:val="20"/>
                <w:color w:val="auto"/>
              </w:rPr>
            </w:pPr>
            <w:r>
              <w:rPr>
                <w:rFonts w:ascii="Arial" w:cs="Arial" w:eastAsia="Arial" w:hAnsi="Arial"/>
                <w:sz w:val="10"/>
                <w:szCs w:val="10"/>
                <w:color w:val="auto"/>
                <w:w w:val="94"/>
              </w:rPr>
              <w:t>Junior Preferred Stock Purchase Rights</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00" w:type="dxa"/>
            <w:vAlign w:val="bottom"/>
            <w:gridSpan w:val="2"/>
          </w:tcPr>
          <w:p>
            <w:pPr>
              <w:jc w:val="center"/>
              <w:ind w:right="1184"/>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4560" w:type="dxa"/>
            <w:vAlign w:val="bottom"/>
          </w:tcPr>
          <w:p>
            <w:pPr>
              <w:jc w:val="center"/>
              <w:ind w:left="2135"/>
              <w:spacing w:after="0"/>
              <w:rPr>
                <w:sz w:val="20"/>
                <w:szCs w:val="20"/>
                <w:color w:val="auto"/>
              </w:rPr>
            </w:pPr>
            <w:r>
              <w:rPr>
                <w:rFonts w:ascii="Arial" w:cs="Arial" w:eastAsia="Arial" w:hAnsi="Arial"/>
                <w:sz w:val="13"/>
                <w:szCs w:val="13"/>
                <w:b w:val="1"/>
                <w:bCs w:val="1"/>
                <w:color w:val="auto"/>
                <w:w w:val="86"/>
              </w:rPr>
              <w:t>None</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300" w:type="dxa"/>
            <w:vAlign w:val="bottom"/>
            <w:gridSpan w:val="2"/>
          </w:tcPr>
          <w:p>
            <w:pPr>
              <w:ind w:left="320"/>
              <w:spacing w:after="0"/>
              <w:rPr>
                <w:sz w:val="20"/>
                <w:szCs w:val="20"/>
                <w:color w:val="auto"/>
              </w:rPr>
            </w:pPr>
            <w:r>
              <w:rPr>
                <w:rFonts w:ascii="Arial" w:cs="Arial" w:eastAsia="Arial" w:hAnsi="Arial"/>
                <w:sz w:val="12"/>
                <w:szCs w:val="12"/>
                <w:color w:val="auto"/>
                <w:w w:val="91"/>
              </w:rPr>
              <w:t>Indicate by check mark if the registrant is a well-known seasoned issuer, as defined in Rule 405 of the Securities Act. Yes o</w:t>
            </w:r>
          </w:p>
        </w:tc>
        <w:tc>
          <w:tcPr>
            <w:tcW w:w="3440" w:type="dxa"/>
            <w:vAlign w:val="bottom"/>
          </w:tcPr>
          <w:p>
            <w:pPr>
              <w:ind w:left="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tcPr>
          <w:p>
            <w:pPr>
              <w:ind w:left="320"/>
              <w:spacing w:after="0"/>
              <w:rPr>
                <w:sz w:val="20"/>
                <w:szCs w:val="20"/>
                <w:color w:val="auto"/>
              </w:rPr>
            </w:pPr>
            <w:r>
              <w:rPr>
                <w:rFonts w:ascii="Arial" w:cs="Arial" w:eastAsia="Arial" w:hAnsi="Arial"/>
                <w:sz w:val="12"/>
                <w:szCs w:val="12"/>
                <w:color w:val="auto"/>
                <w:w w:val="90"/>
              </w:rPr>
              <w:t>Indicate by check mark if the registrant is not required to file reports pursuant to Section 13 or Section 15(d) of the Act. Yes o</w:t>
            </w:r>
          </w:p>
        </w:tc>
        <w:tc>
          <w:tcPr>
            <w:tcW w:w="344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80" w:right="200" w:firstLine="306"/>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34" w:lineRule="exact"/>
        <w:rPr>
          <w:sz w:val="20"/>
          <w:szCs w:val="20"/>
          <w:color w:val="auto"/>
        </w:rPr>
      </w:pPr>
    </w:p>
    <w:p>
      <w:pPr>
        <w:ind w:left="580" w:right="120" w:firstLine="306"/>
        <w:spacing w:after="0" w:line="322"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5" w:lineRule="exact"/>
        <w:rPr>
          <w:sz w:val="20"/>
          <w:szCs w:val="20"/>
          <w:color w:val="auto"/>
        </w:rPr>
      </w:pPr>
    </w:p>
    <w:p>
      <w:pPr>
        <w:ind w:left="580" w:right="160" w:firstLine="306"/>
        <w:spacing w:after="0" w:line="275"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8" w:lineRule="exact"/>
        <w:rPr>
          <w:sz w:val="20"/>
          <w:szCs w:val="20"/>
          <w:color w:val="auto"/>
        </w:rPr>
      </w:pPr>
    </w:p>
    <w:p>
      <w:pPr>
        <w:ind w:left="580" w:right="40" w:firstLine="306"/>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2" w:lineRule="exact"/>
        <w:rPr>
          <w:sz w:val="20"/>
          <w:szCs w:val="20"/>
          <w:color w:val="auto"/>
        </w:rPr>
      </w:pPr>
    </w:p>
    <w:p>
      <w:pPr>
        <w:ind w:left="3540" w:right="440" w:hanging="4499"/>
        <w:spacing w:after="0" w:line="132" w:lineRule="exact"/>
        <w:tabs>
          <w:tab w:leader="none" w:pos="3520" w:val="left"/>
        </w:tabs>
        <w:rPr>
          <w:sz w:val="20"/>
          <w:szCs w:val="20"/>
          <w:color w:val="auto"/>
        </w:rPr>
      </w:pPr>
      <w:r>
        <w:rPr>
          <w:rFonts w:ascii="Arial" w:cs="Arial" w:eastAsia="Arial" w:hAnsi="Arial"/>
          <w:sz w:val="10"/>
          <w:szCs w:val="10"/>
          <w:color w:val="auto"/>
        </w:rPr>
        <w:t>Large accelerated filer o</w:t>
      </w:r>
      <w:r>
        <w:rPr>
          <w:sz w:val="20"/>
          <w:szCs w:val="20"/>
          <w:color w:val="auto"/>
        </w:rPr>
        <w:tab/>
      </w: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 o Smaller reporting company o (Do not check if a smaller reporting company)</w:t>
      </w:r>
    </w:p>
    <w:p>
      <w:pPr>
        <w:spacing w:after="0" w:line="128" w:lineRule="exact"/>
        <w:rPr>
          <w:sz w:val="20"/>
          <w:szCs w:val="20"/>
          <w:color w:val="auto"/>
        </w:rPr>
      </w:pPr>
    </w:p>
    <w:p>
      <w:pPr>
        <w:ind w:left="880"/>
        <w:spacing w:after="0" w:line="127" w:lineRule="exact"/>
        <w:tabs>
          <w:tab w:leader="none" w:pos="672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r>
        <w:rPr>
          <w:sz w:val="20"/>
          <w:szCs w:val="20"/>
          <w:color w:val="auto"/>
        </w:rPr>
        <w:tab/>
      </w: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92" w:lineRule="exact"/>
        <w:rPr>
          <w:sz w:val="20"/>
          <w:szCs w:val="20"/>
          <w:color w:val="auto"/>
        </w:rPr>
      </w:pPr>
    </w:p>
    <w:p>
      <w:pPr>
        <w:ind w:left="580" w:right="420" w:firstLine="306"/>
        <w:spacing w:after="0" w:line="322" w:lineRule="auto"/>
        <w:rPr>
          <w:sz w:val="20"/>
          <w:szCs w:val="20"/>
          <w:color w:val="auto"/>
        </w:rPr>
      </w:pPr>
      <w:r>
        <w:rPr>
          <w:rFonts w:ascii="Arial" w:cs="Arial" w:eastAsia="Arial" w:hAnsi="Arial"/>
          <w:sz w:val="11"/>
          <w:szCs w:val="11"/>
          <w:color w:val="auto"/>
        </w:rPr>
        <w:t>Aggregate market value of common stock held by non-affiliates at June 30, 2009: $108,027,916.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2"/>
          <w:szCs w:val="12"/>
          <w:color w:val="auto"/>
        </w:rPr>
        <w:t>Common stock outstanding at March 10, 2010: 119,271,882 shares.</w:t>
      </w:r>
    </w:p>
    <w:p>
      <w:pPr>
        <w:spacing w:after="0" w:line="57"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DOCUMENTS INCORPORATED BY REFERENCE</w:t>
      </w:r>
    </w:p>
    <w:p>
      <w:pPr>
        <w:spacing w:after="0" w:line="61" w:lineRule="exact"/>
        <w:rPr>
          <w:sz w:val="20"/>
          <w:szCs w:val="20"/>
          <w:color w:val="auto"/>
        </w:rPr>
      </w:pPr>
    </w:p>
    <w:p>
      <w:pPr>
        <w:ind w:left="580" w:right="440" w:firstLine="306"/>
        <w:spacing w:after="0" w:line="275" w:lineRule="auto"/>
        <w:rPr>
          <w:sz w:val="20"/>
          <w:szCs w:val="20"/>
          <w:color w:val="auto"/>
        </w:rPr>
      </w:pPr>
      <w:r>
        <w:rPr>
          <w:rFonts w:ascii="Arial" w:cs="Arial" w:eastAsia="Arial" w:hAnsi="Arial"/>
          <w:sz w:val="12"/>
          <w:szCs w:val="12"/>
          <w:color w:val="auto"/>
        </w:rPr>
        <w:t>Portions of the registrant’s definitive Proxy Statement relating to the registrant’s 2010 Annual Meeting of Stockholders to be filed with the Commission pursuant to Regulation 14A are incorporated by reference in Part III of this report.</w:t>
      </w:r>
    </w:p>
    <w:p>
      <w:pPr>
        <w:spacing w:after="0" w:line="26"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FORWARD LOOKING STATEMENTS</w:t>
      </w:r>
    </w:p>
    <w:p>
      <w:pPr>
        <w:spacing w:after="0" w:line="61" w:lineRule="exact"/>
        <w:rPr>
          <w:sz w:val="20"/>
          <w:szCs w:val="20"/>
          <w:color w:val="auto"/>
        </w:rPr>
      </w:pPr>
    </w:p>
    <w:p>
      <w:pPr>
        <w:ind w:left="580" w:firstLine="306"/>
        <w:spacing w:after="0" w:line="262" w:lineRule="auto"/>
        <w:rPr>
          <w:sz w:val="20"/>
          <w:szCs w:val="20"/>
          <w:color w:val="auto"/>
        </w:rPr>
      </w:pPr>
      <w:r>
        <w:rPr>
          <w:rFonts w:ascii="Arial" w:cs="Arial" w:eastAsia="Arial" w:hAnsi="Arial"/>
          <w:sz w:val="12"/>
          <w:szCs w:val="12"/>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33655</wp:posOffset>
            </wp:positionV>
            <wp:extent cx="648525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525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127" w:right="919" w:bottom="1440" w:gutter="0" w:footer="0" w:header="0"/>
        </w:sectPr>
      </w:pPr>
    </w:p>
    <w:bookmarkStart w:id="2" w:name="page3"/>
    <w:bookmarkEnd w:id="2"/>
    <w:tbl>
      <w:tblPr>
        <w:tblLayout w:type="fixed"/>
        <w:tblInd w:w="38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12"/>
          </w:tcPr>
          <w:p>
            <w:pPr>
              <w:jc w:val="center"/>
              <w:ind w:right="3820"/>
              <w:spacing w:after="0"/>
              <w:rPr>
                <w:sz w:val="20"/>
                <w:szCs w:val="20"/>
                <w:color w:val="auto"/>
              </w:rPr>
            </w:pPr>
            <w:r>
              <w:rPr>
                <w:rFonts w:ascii="Arial" w:cs="Arial" w:eastAsia="Arial" w:hAnsi="Arial"/>
                <w:sz w:val="13"/>
                <w:szCs w:val="13"/>
                <w:b w:val="1"/>
                <w:bCs w:val="1"/>
                <w:color w:val="auto"/>
                <w:w w:val="89"/>
              </w:rPr>
              <w:t>Table of Contents</w:t>
            </w:r>
          </w:p>
        </w:tc>
        <w:tc>
          <w:tcPr>
            <w:tcW w:w="34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8"/>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4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23">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3">
              <w:r>
                <w:rPr>
                  <w:rFonts w:ascii="Arial" w:cs="Arial" w:eastAsia="Arial" w:hAnsi="Arial"/>
                  <w:sz w:val="13"/>
                  <w:szCs w:val="13"/>
                  <w:color w:val="0000EE"/>
                  <w:w w:val="88"/>
                </w:rPr>
                <w:t>Risk Factors</w:t>
              </w:r>
            </w:hyperlink>
          </w:p>
        </w:tc>
        <w:tc>
          <w:tcPr>
            <w:tcW w:w="75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22</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Properties</w:t>
              </w:r>
            </w:hyperlink>
          </w:p>
        </w:tc>
        <w:tc>
          <w:tcPr>
            <w:tcW w:w="674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4">
              <w:r>
                <w:rPr>
                  <w:rFonts w:ascii="Arial" w:cs="Arial" w:eastAsia="Arial" w:hAnsi="Arial"/>
                  <w:sz w:val="13"/>
                  <w:szCs w:val="13"/>
                  <w:b w:val="1"/>
                  <w:bCs w:val="1"/>
                  <w:color w:val="0000EE"/>
                </w:rPr>
                <w:t>PART II</w:t>
              </w:r>
            </w:hyperlink>
          </w:p>
        </w:tc>
        <w:tc>
          <w:tcPr>
            <w:tcW w:w="440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5.</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Item 6.</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Item 7.</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54">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53</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2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Statements and Supplementary Data</w:t>
              </w:r>
            </w:hyperlink>
          </w:p>
        </w:tc>
        <w:tc>
          <w:tcPr>
            <w:tcW w:w="5100" w:type="dxa"/>
            <w:vAlign w:val="bottom"/>
            <w:gridSpan w:val="11"/>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Item 9.</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88">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87</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90">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Other Information</w:t>
              </w:r>
            </w:hyperlink>
          </w:p>
        </w:tc>
        <w:tc>
          <w:tcPr>
            <w:tcW w:w="694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89</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90">
              <w:r>
                <w:rPr>
                  <w:rFonts w:ascii="Arial" w:cs="Arial" w:eastAsia="Arial" w:hAnsi="Arial"/>
                  <w:sz w:val="13"/>
                  <w:szCs w:val="13"/>
                  <w:b w:val="1"/>
                  <w:bCs w:val="1"/>
                  <w:color w:val="0000EE"/>
                </w:rPr>
                <w:t>PART III</w:t>
              </w:r>
            </w:hyperlink>
          </w:p>
        </w:tc>
        <w:tc>
          <w:tcPr>
            <w:tcW w:w="4360" w:type="dxa"/>
            <w:vAlign w:val="bottom"/>
            <w:gridSpan w:val="4"/>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Item 10.</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Directors and Executive Officers of the Registrant</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Item 11.</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90</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Item 12.</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90</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Item 13.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Certain Relationships and Related Transactions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90</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Item 14.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Principal Accountant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gridSpan w:val="10"/>
          </w:tcPr>
          <w:p>
            <w:pPr>
              <w:jc w:val="center"/>
              <w:ind w:right="4380"/>
              <w:spacing w:after="0"/>
              <w:rPr>
                <w:rFonts w:ascii="Arial" w:cs="Arial" w:eastAsia="Arial" w:hAnsi="Arial"/>
                <w:sz w:val="13"/>
                <w:szCs w:val="13"/>
                <w:b w:val="1"/>
                <w:bCs w:val="1"/>
                <w:color w:val="0000EE"/>
              </w:rPr>
            </w:pPr>
            <w:hyperlink w:anchor="page92">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Item 15.</w:t>
              </w:r>
            </w:hyperlink>
          </w:p>
        </w:tc>
        <w:tc>
          <w:tcPr>
            <w:tcW w:w="3340" w:type="dxa"/>
            <w:vAlign w:val="bottom"/>
            <w:gridSpan w:val="17"/>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80" w:type="dxa"/>
            <w:vAlign w:val="bottom"/>
            <w:gridSpan w:val="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EX-10.23</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EX-10.24</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EX-10.27</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REGARDING REFERENCES TO OUR COMMON STOCK</w:t>
      </w:r>
    </w:p>
    <w:p>
      <w:pPr>
        <w:spacing w:after="0" w:line="100"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Throughout this Form 10-K, the words “we,” “us,” “our,” and “StemCells” refer to StemCells, Inc., including our directly and indirectly wholly-owned subsidiaries. “Common stock” refers to StemCells, Inc., common stock, $.01 par value.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StemCells, Inc. is engaged in the research, development, and commercialization of stem cell therapeutics and related enabling technologies for academia and industry. We believe that understanding cells and cell biology, and in particular stem cells, will play an increasingly important role in the understanding of human diseases and in the discovery of new medical therapies. Consequently, we are focused on (i) cellular medicine, or the use of stem and progenitor cells as the basis for novel therapeutics and therapies, and (ii) enabling technologies for stem cell research, or the use of cells and related technologies to enable stem cell-based research and drug discovery and development.</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primary research and development efforts are focused on cellular medicine, where we seek to identify and develop stem and progenitor cells as potential therapeutic agents. We currently have two therapeutic product development programs: (i) our CNS Program, which is developing applications for HuCNS-SC</w:t>
      </w:r>
      <w:r>
        <w:rPr>
          <w:rFonts w:ascii="Arial" w:cs="Arial" w:eastAsia="Arial" w:hAnsi="Arial"/>
          <w:sz w:val="11"/>
          <w:szCs w:val="11"/>
          <w:color w:val="auto"/>
        </w:rPr>
        <w:t>®</w:t>
      </w:r>
      <w:r>
        <w:rPr>
          <w:rFonts w:ascii="Arial" w:cs="Arial" w:eastAsia="Arial" w:hAnsi="Arial"/>
          <w:sz w:val="13"/>
          <w:szCs w:val="13"/>
          <w:color w:val="auto"/>
        </w:rPr>
        <w:t xml:space="preserve"> cells, our proprietary human neural stem cell product candidate, and (ii) our Liver Program, which is developing applications for our proprietary human liver engrafting cells. We estimate that degenerative conditions of the central nervous system (CNS) and the liver together currently affect more than 35 million people in the United States.</w:t>
      </w:r>
      <w:r>
        <w:rPr>
          <w:rFonts w:ascii="Arial" w:cs="Arial" w:eastAsia="Arial" w:hAnsi="Arial"/>
          <w:sz w:val="11"/>
          <w:szCs w:val="11"/>
          <w:color w:val="auto"/>
        </w:rPr>
        <w:t>1</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our CNS Program, we are in clinical development with our HuCNS-SC cells for disorders of the central nervous system, which includes the brain, spinal cord and eye. We have completed a Phase I clinical trial to evaluate the safety and preliminary efficacy of our HuCNS-SC cells as a treatment for infantile and late infantile neuronal ceroid lipofuscinosis (NCL), two forms of a group of disorders often referred to as Batten disease. NCL is fatal and there are currently no approved treatments for the disease. The data from our NCL trial showed that our HuCNS-SC cells were well tolerated, non-tumorigenic, and there was evidence of engraftment and long-term survival of the HuCNS-SC cells. In November 2009, we initiated a Phase I clinical trial of our HuCNS-SC cells in a second indication, Pelizeaus-Merzbacher Disease (PMD), a fatal myelination disorder in the brain. In February 2010, we enrolled and treated the first patient in our PMD trial, and we expect it will take 12-18 months to complete enrollment. In addition, our HuCNS-SC cells are in preclinical development for spinal cord injury and retinal disorders.</w:t>
      </w:r>
    </w:p>
    <w:p>
      <w:pPr>
        <w:spacing w:after="0" w:line="7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our Liver Program, we are in preclinical development with our human liver engrafting cells (hLEC) to evaluate hLEC as a potential cellular therapy for a range of liver diseases. In September 2009, we received ethics committee approval to initiate a clinical study to evaluate hLEC as a potential cellular therapy for liver-based metabolic disorders. However, we have decided to defer initiating a clinical study of hLEC, pending additional improvements to our process of isolating and purifying hLEC.</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our enabling cell technologies programs, we are engaged in developing and commercializing applications of our technologies to enable stem cell-based research. We currently market a range of proprietary cell culture products under the SC Proven</w:t>
      </w:r>
      <w:r>
        <w:rPr>
          <w:rFonts w:ascii="Arial" w:cs="Arial" w:eastAsia="Arial" w:hAnsi="Arial"/>
          <w:sz w:val="10"/>
          <w:szCs w:val="10"/>
          <w:color w:val="auto"/>
        </w:rPr>
        <w:t>®</w:t>
      </w:r>
      <w:r>
        <w:rPr>
          <w:rFonts w:ascii="Arial" w:cs="Arial" w:eastAsia="Arial" w:hAnsi="Arial"/>
          <w:sz w:val="12"/>
          <w:szCs w:val="12"/>
          <w:color w:val="auto"/>
        </w:rPr>
        <w:t xml:space="preserve"> brand, including iSTEM</w:t>
      </w:r>
      <w:r>
        <w:rPr>
          <w:rFonts w:ascii="Arial" w:cs="Arial" w:eastAsia="Arial" w:hAnsi="Arial"/>
          <w:sz w:val="10"/>
          <w:szCs w:val="10"/>
          <w:color w:val="auto"/>
        </w:rPr>
        <w:t>®</w:t>
      </w:r>
      <w:r>
        <w:rPr>
          <w:rFonts w:ascii="Arial" w:cs="Arial" w:eastAsia="Arial" w:hAnsi="Arial"/>
          <w:sz w:val="12"/>
          <w:szCs w:val="12"/>
          <w:color w:val="auto"/>
        </w:rPr>
        <w:t>, GS1-R</w:t>
      </w:r>
      <w:r>
        <w:rPr>
          <w:rFonts w:ascii="Arial" w:cs="Arial" w:eastAsia="Arial" w:hAnsi="Arial"/>
          <w:sz w:val="10"/>
          <w:szCs w:val="10"/>
          <w:color w:val="auto"/>
        </w:rPr>
        <w:t>TM</w:t>
      </w:r>
      <w:r>
        <w:rPr>
          <w:rFonts w:ascii="Arial" w:cs="Arial" w:eastAsia="Arial" w:hAnsi="Arial"/>
          <w:sz w:val="12"/>
          <w:szCs w:val="12"/>
          <w:color w:val="auto"/>
        </w:rPr>
        <w:t>, GS2-M</w:t>
      </w:r>
      <w:r>
        <w:rPr>
          <w:rFonts w:ascii="Arial" w:cs="Arial" w:eastAsia="Arial" w:hAnsi="Arial"/>
          <w:sz w:val="10"/>
          <w:szCs w:val="10"/>
          <w:color w:val="auto"/>
        </w:rPr>
        <w:t>TM</w:t>
      </w:r>
      <w:r>
        <w:rPr>
          <w:rFonts w:ascii="Arial" w:cs="Arial" w:eastAsia="Arial" w:hAnsi="Arial"/>
          <w:sz w:val="12"/>
          <w:szCs w:val="12"/>
          <w:color w:val="auto"/>
        </w:rPr>
        <w:t>, RHB-A</w:t>
      </w:r>
      <w:r>
        <w:rPr>
          <w:rFonts w:ascii="Arial" w:cs="Arial" w:eastAsia="Arial" w:hAnsi="Arial"/>
          <w:sz w:val="10"/>
          <w:szCs w:val="10"/>
          <w:color w:val="auto"/>
        </w:rPr>
        <w:t>®</w:t>
      </w:r>
      <w:r>
        <w:rPr>
          <w:rFonts w:ascii="Arial" w:cs="Arial" w:eastAsia="Arial" w:hAnsi="Arial"/>
          <w:sz w:val="12"/>
          <w:szCs w:val="12"/>
          <w:color w:val="auto"/>
        </w:rPr>
        <w:t>, RHB-Basal</w:t>
      </w:r>
      <w:r>
        <w:rPr>
          <w:rFonts w:ascii="Arial" w:cs="Arial" w:eastAsia="Arial" w:hAnsi="Arial"/>
          <w:sz w:val="10"/>
          <w:szCs w:val="10"/>
          <w:color w:val="auto"/>
        </w:rPr>
        <w:t>®</w:t>
      </w:r>
      <w:r>
        <w:rPr>
          <w:rFonts w:ascii="Arial" w:cs="Arial" w:eastAsia="Arial" w:hAnsi="Arial"/>
          <w:sz w:val="12"/>
          <w:szCs w:val="12"/>
          <w:color w:val="auto"/>
        </w:rPr>
        <w:t>, NDiff</w:t>
      </w:r>
      <w:r>
        <w:rPr>
          <w:rFonts w:ascii="Arial" w:cs="Arial" w:eastAsia="Arial" w:hAnsi="Arial"/>
          <w:sz w:val="10"/>
          <w:szCs w:val="10"/>
          <w:color w:val="auto"/>
        </w:rPr>
        <w:t>®</w:t>
      </w:r>
      <w:r>
        <w:rPr>
          <w:rFonts w:ascii="Arial" w:cs="Arial" w:eastAsia="Arial" w:hAnsi="Arial"/>
          <w:sz w:val="12"/>
          <w:szCs w:val="12"/>
          <w:color w:val="auto"/>
        </w:rPr>
        <w:t xml:space="preserve"> N2B27, NDiff</w:t>
      </w:r>
      <w:r>
        <w:rPr>
          <w:rFonts w:ascii="Arial" w:cs="Arial" w:eastAsia="Arial" w:hAnsi="Arial"/>
          <w:sz w:val="10"/>
          <w:szCs w:val="10"/>
          <w:color w:val="auto"/>
        </w:rPr>
        <w:t>®</w:t>
      </w:r>
      <w:r>
        <w:rPr>
          <w:rFonts w:ascii="Arial" w:cs="Arial" w:eastAsia="Arial" w:hAnsi="Arial"/>
          <w:sz w:val="12"/>
          <w:szCs w:val="12"/>
          <w:color w:val="auto"/>
        </w:rPr>
        <w:t xml:space="preserve"> 2 and 27 supplements, HEScGRO</w:t>
      </w:r>
      <w:r>
        <w:rPr>
          <w:rFonts w:ascii="Arial" w:cs="Arial" w:eastAsia="Arial" w:hAnsi="Arial"/>
          <w:sz w:val="10"/>
          <w:szCs w:val="10"/>
          <w:color w:val="auto"/>
        </w:rPr>
        <w:t>TM</w:t>
      </w:r>
      <w:r>
        <w:rPr>
          <w:rFonts w:ascii="Arial" w:cs="Arial" w:eastAsia="Arial" w:hAnsi="Arial"/>
          <w:sz w:val="12"/>
          <w:szCs w:val="12"/>
          <w:color w:val="auto"/>
        </w:rPr>
        <w:t>, and ESGRO Complete</w:t>
      </w:r>
      <w:r>
        <w:rPr>
          <w:rFonts w:ascii="Arial" w:cs="Arial" w:eastAsia="Arial" w:hAnsi="Arial"/>
          <w:sz w:val="10"/>
          <w:szCs w:val="10"/>
          <w:color w:val="auto"/>
        </w:rPr>
        <w:t>TM</w:t>
      </w:r>
      <w:r>
        <w:rPr>
          <w:rFonts w:ascii="Arial" w:cs="Arial" w:eastAsia="Arial" w:hAnsi="Arial"/>
          <w:sz w:val="12"/>
          <w:szCs w:val="12"/>
          <w:color w:val="auto"/>
        </w:rPr>
        <w:t>proprietary media.</w:t>
      </w:r>
      <w:r>
        <w:rPr>
          <w:rFonts w:ascii="Arial" w:cs="Arial" w:eastAsia="Arial" w:hAnsi="Arial"/>
          <w:sz w:val="10"/>
          <w:szCs w:val="10"/>
          <w:color w:val="auto"/>
        </w:rPr>
        <w:t>2</w:t>
      </w:r>
      <w:r>
        <w:rPr>
          <w:rFonts w:ascii="Arial" w:cs="Arial" w:eastAsia="Arial" w:hAnsi="Arial"/>
          <w:sz w:val="12"/>
          <w:szCs w:val="12"/>
          <w:color w:val="auto"/>
        </w:rPr>
        <w:t xml:space="preserve"> Academic and industrial laboratories conducting stem cell research need specialized cell culture products for the derivation, growth, maintenance and manipulation of stem cells, and as this type of research continues to grow, the market for such cell culture products will also continue to expand. In addition, the pharmaceutical industry has shown an increasing interest in the use of stem cell-based assays in its research and development activities. We are pursuing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46990</wp:posOffset>
            </wp:positionV>
            <wp:extent cx="8235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4" w:lineRule="exact"/>
        <w:rPr>
          <w:sz w:val="20"/>
          <w:szCs w:val="20"/>
          <w:color w:val="auto"/>
        </w:rPr>
      </w:pPr>
    </w:p>
    <w:p>
      <w:pPr>
        <w:ind w:left="680" w:firstLine="406"/>
        <w:spacing w:after="0" w:line="255" w:lineRule="auto"/>
        <w:tabs>
          <w:tab w:leader="none" w:pos="1165" w:val="left"/>
        </w:tabs>
        <w:numPr>
          <w:ilvl w:val="0"/>
          <w:numId w:val="3"/>
        </w:numPr>
        <w:rPr>
          <w:rFonts w:ascii="Arial" w:cs="Arial" w:eastAsia="Arial" w:hAnsi="Arial"/>
          <w:sz w:val="11"/>
          <w:szCs w:val="11"/>
          <w:color w:val="auto"/>
        </w:rPr>
      </w:pPr>
      <w:r>
        <w:rPr>
          <w:rFonts w:ascii="Arial" w:cs="Arial" w:eastAsia="Arial" w:hAnsi="Arial"/>
          <w:sz w:val="13"/>
          <w:szCs w:val="13"/>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and the Cincinnati Children’s Hospital Medical Center.</w:t>
      </w:r>
    </w:p>
    <w:p>
      <w:pPr>
        <w:spacing w:after="0" w:line="1"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3"/>
          <w:szCs w:val="13"/>
          <w:color w:val="auto"/>
        </w:rPr>
        <w:t>HEScGRO and ESGRO Complete are trademarks of Millipore Corporation, our co-exclusive distributor of these products.</w:t>
      </w:r>
    </w:p>
    <w:p>
      <w:pPr>
        <w:spacing w:after="0" w:line="28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the development of our technologies, including technologies relating to embryonic stem cells, induced pluripotent stem (iPS) cells, and tissue-derived (adult) stem cells, as well as a gene insertion technology, for use in drug discovery and development. Several of the cell technologies and intellectual property related to our enabling cell technologies programs were acquired in April 2009 through our acquisition of substantially all of the operating assets and liabilities of Stem Cell Sciences Plc (SCS).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Potential of Our Tissue-Derived Cell-Based Therapeutics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 xml:space="preserve">Stem cells are “building block” cells as they produce all of the mature functional cell types found in normal organs. Progenitor cells are cells that have already developed from stem cells, but can still produce one or more mature cell types within an organ. Stem cells are rare; to date only four human stem cells have been identified and characterized </w:t>
      </w:r>
      <w:r>
        <w:rPr>
          <w:rFonts w:ascii="Arial" w:cs="Arial" w:eastAsia="Arial" w:hAnsi="Arial"/>
          <w:sz w:val="12"/>
          <w:szCs w:val="12"/>
          <w:i w:val="1"/>
          <w:iCs w:val="1"/>
          <w:color w:val="auto"/>
        </w:rPr>
        <w:t>in vivo</w:t>
      </w:r>
      <w:r>
        <w:rPr>
          <w:rFonts w:ascii="Arial" w:cs="Arial" w:eastAsia="Arial" w:hAnsi="Arial"/>
          <w:sz w:val="12"/>
          <w:szCs w:val="12"/>
          <w:color w:val="auto"/>
        </w:rPr>
        <w:t>: the hemotopoietic stem cell, the mesenchymal stem cell, the neural stem cell, and the embryonic stem cell. Stem cells have two defining characteristics: (i) they produce all of the mature cell types of the particular organ, and (ii) they self renew — that is, some of the cells developed from stem cells are themselves new stem cells. Because of this self-renewal property, we believe that stem cell-based therapies may have the potential to return an impaired organ to proper function for the life of the patient.</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Many degenerative diseases are caused by the loss of normal cellular function in a particular organ. When cells are damaged or destroyed, they no longer produce, metabolize or accurately regulate the many substances essential to life.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of this naturally. Transplantation of stem or progenitor cells may prevent the loss of, or even generate new, functional cells and thereby potentially maintain or restore organ function and the patient’s health.</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focused on identifying and purifying tissue-derived stem and progenitor cells for use in homologous therapy. Homologous therapy means the use of cells derived from a particular organ to treat a disease of that same organ (for example, use of brain-derived neural stem cells for treatment of CNS disorders and liver-derived cells for treatment of liver disorders). Tissue-derived stem cells are developmentally pre-programmed to become the mature functional cells of the organ from which they were derived. We believe that homologous use of purified, unmodified tissue-derived cells is the most direct way to provide for engraftment and differentiation into functional cells, and should minimize the risk of transplantation of unwanted cell types.</w:t>
      </w:r>
    </w:p>
    <w:p>
      <w:pPr>
        <w:spacing w:after="0" w:line="7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use cells derived from donated fetal or adult tissue sources, which are supplied to us in compliance with all applicable state and federal regulations. We are not involved in any activity directed toward human cloning, nor do we have any plans to start such activities. We are currently developing embryonic stem cells and iPS cells as potential research tools. We are not currently developing embryonic or iPS stem cells for therapeutic use, although we may in the future explore their applicability as cell-based therapeutic products.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aim is to create a sustainable business based on our belief that understanding cells and cell biology will play an increasingly important role in life science research and in the discovery, development and implementation of new medical therapies. Our primary strategy is to identify multiple types of human stem and progenitor cells with therapeutic and commercial importance, to develop techniques and processes to purify these cells for direct transplant and to expand and bank these cells, to advance these cells into clinical development and ultimately, to commercialize them as cell-based therapeutic products.</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fundamental competencies required to execute this strategy are knowledge and expertise in cell biology, particularly stem cell biology, and a commitment to rigorous and robust research and development. We believe that these competencies are critical to identifying, characterizing and understanding cells with therapeutic potential and importance, and ultimately, that “good science makes for good medicine.”</w:t>
      </w:r>
    </w:p>
    <w:p>
      <w:pPr>
        <w:spacing w:after="0" w:line="67" w:lineRule="exact"/>
        <w:rPr>
          <w:sz w:val="20"/>
          <w:szCs w:val="20"/>
          <w:color w:val="auto"/>
        </w:rPr>
      </w:pPr>
    </w:p>
    <w:p>
      <w:pPr>
        <w:ind w:left="680" w:right="500" w:firstLine="399"/>
        <w:spacing w:after="0" w:line="320" w:lineRule="auto"/>
        <w:rPr>
          <w:sz w:val="20"/>
          <w:szCs w:val="20"/>
          <w:color w:val="auto"/>
        </w:rPr>
      </w:pPr>
      <w:r>
        <w:rPr>
          <w:rFonts w:ascii="Arial" w:cs="Arial" w:eastAsia="Arial" w:hAnsi="Arial"/>
          <w:sz w:val="12"/>
          <w:szCs w:val="12"/>
          <w:color w:val="auto"/>
        </w:rPr>
        <w:t>Consequently, we have made significant investments in our research and development, clinical and regulatory, and cell processing and process development capabilities. Our management and staff have many years of experience in the stem cell field and in developing potential cell therapies. Two of the four human stem cells</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identified and characterized to date (the hematopoietic and neural stem cells) were discovered by scientists who are currently on our staff, and we believe we were the first company to receive authorization from the U.S. Food and Drug Administration (“FDA”) to conduct a clinical trial of a purified neural stem cell product candidate, as well as the first to complete such a clinical trial.</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Many of our core competencies in cell biology have applicability beyond the development of therapeutic products. Therefore, another element of our business strategy is to leverage these core competencies to develop non-therapeutic applications for our cell technologies, which we believe represent nearer-term commercial opportunities. As scientific and medical research increasingly focuses on stem cells and cell biology, our technologies are expected to have utility as tools to help enable this research. We currently market specialized cell culture products through our SC Proven product line and are seeking to develop and commercialize applications of our technologies for use in stem cell-based assays.</w:t>
      </w:r>
    </w:p>
    <w:p>
      <w:pPr>
        <w:spacing w:after="0" w:line="53" w:lineRule="exact"/>
        <w:rPr>
          <w:sz w:val="20"/>
          <w:szCs w:val="20"/>
          <w:color w:val="auto"/>
        </w:rPr>
      </w:pPr>
    </w:p>
    <w:p>
      <w:pPr>
        <w:jc w:val="both"/>
        <w:ind w:left="680" w:right="80" w:firstLine="399"/>
        <w:spacing w:after="0" w:line="312" w:lineRule="auto"/>
        <w:rPr>
          <w:sz w:val="20"/>
          <w:szCs w:val="20"/>
          <w:color w:val="auto"/>
        </w:rPr>
      </w:pPr>
      <w:r>
        <w:rPr>
          <w:rFonts w:ascii="Arial" w:cs="Arial" w:eastAsia="Arial" w:hAnsi="Arial"/>
          <w:sz w:val="11"/>
          <w:szCs w:val="11"/>
          <w:color w:val="auto"/>
        </w:rPr>
        <w:t>Further, a key element of our business strategy is to obtain patent protection for the compositions, processes and uses of multiple types of cells, as well as for those technologies that appear applicable and useful to enable cell-based research. We believe that patent protection will be available to the first to identify and isolate any of the finite number of different types of human stem and progenitor cells, and the first to define methods to culture such cells, making the commercial development of cell-based therapeutics and enabling applications financially feasible. In addition to discovering and developing technologies in-house, we have obtained from various academic and commercial institutions rights to certain inventions relating to stem and progenitor cells, cell culture media, and technologies to reprogram, isolate and manipulate cells. We expect to continue to expand our search for, and to seek to acquire rights from third parties relating to, new stem and progenitor cells and cell technologies. We have created an extensive patent estate, see “Patents, Proprietary Rights and Licenses,” below.</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Cellular Medicine Programs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summarizes the current status of, and the anticipated initial indications for, our two therapeutic product development programs. A more detailed discussion of each of these follows the table.</w:t>
      </w:r>
    </w:p>
    <w:p>
      <w:pPr>
        <w:sectPr>
          <w:pgSz w:w="11900" w:h="16838" w:orient="portrait"/>
          <w:cols w:equalWidth="0" w:num="1">
            <w:col w:w="10640"/>
          </w:cols>
          <w:pgMar w:left="220" w:top="343" w:right="1039" w:bottom="1440" w:gutter="0" w:footer="0" w:header="0"/>
        </w:sectPr>
      </w:pPr>
    </w:p>
    <w:p>
      <w:pPr>
        <w:spacing w:after="0" w:line="61"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CNS Program</w:t>
      </w:r>
    </w:p>
    <w:p>
      <w:pPr>
        <w:spacing w:after="0" w:line="15"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Cell-based therapeutics to restore or preserve function to central nervous system tissue by protecting, repairing or replacing dysfunctional or damaged cells. Initial indications are lysosomal storage diseases that affect the CNS, such as NCL, and disorders in which deficient myelination plays a central role, such as PMD.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362"/>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tatus</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Neuronal Ceroid Lipofuscinosis (also known as Batten disease):</w:t>
      </w:r>
    </w:p>
    <w:p>
      <w:pPr>
        <w:spacing w:after="0" w:line="165" w:lineRule="exact"/>
        <w:rPr>
          <w:sz w:val="20"/>
          <w:szCs w:val="20"/>
          <w:color w:val="auto"/>
        </w:rPr>
      </w:pPr>
    </w:p>
    <w:p>
      <w:pPr>
        <w:ind w:left="2" w:right="20" w:hanging="2"/>
        <w:spacing w:after="0" w:line="264" w:lineRule="auto"/>
        <w:tabs>
          <w:tab w:leader="none" w:pos="146" w:val="left"/>
        </w:tabs>
        <w:numPr>
          <w:ilvl w:val="0"/>
          <w:numId w:val="4"/>
        </w:numPr>
        <w:rPr>
          <w:rFonts w:ascii="Arial" w:cs="Arial" w:eastAsia="Arial" w:hAnsi="Arial"/>
          <w:sz w:val="13"/>
          <w:szCs w:val="13"/>
          <w:color w:val="auto"/>
        </w:rPr>
      </w:pPr>
      <w:r>
        <w:rPr>
          <w:rFonts w:ascii="Arial" w:cs="Arial" w:eastAsia="Arial" w:hAnsi="Arial"/>
          <w:sz w:val="13"/>
          <w:szCs w:val="13"/>
          <w:color w:val="auto"/>
        </w:rPr>
        <w:t>Six-patient Phase I clinical trial completed in January 2009. Trial results show HuCNS-SC cells well tolerated and not tumorigenic, and that there was evidence of engraftment and survival of the transplanted cells.</w:t>
      </w:r>
    </w:p>
    <w:p>
      <w:pPr>
        <w:spacing w:after="0" w:line="135" w:lineRule="exact"/>
        <w:rPr>
          <w:rFonts w:ascii="Arial" w:cs="Arial" w:eastAsia="Arial" w:hAnsi="Arial"/>
          <w:sz w:val="13"/>
          <w:szCs w:val="13"/>
          <w:color w:val="auto"/>
        </w:rPr>
      </w:pPr>
    </w:p>
    <w:p>
      <w:pPr>
        <w:ind w:left="2" w:hanging="2"/>
        <w:spacing w:after="0" w:line="276" w:lineRule="auto"/>
        <w:tabs>
          <w:tab w:leader="none" w:pos="146"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by showing in a mouse model for infantile NCL that transplanted HuCNS-SC cells can:</w:t>
      </w:r>
    </w:p>
    <w:p>
      <w:pPr>
        <w:spacing w:after="0" w:line="128" w:lineRule="exact"/>
        <w:rPr>
          <w:sz w:val="20"/>
          <w:szCs w:val="20"/>
          <w:color w:val="auto"/>
        </w:rPr>
      </w:pPr>
    </w:p>
    <w:p>
      <w:pPr>
        <w:sectPr>
          <w:pgSz w:w="11900" w:h="16838" w:orient="portrait"/>
          <w:cols w:equalWidth="0" w:num="2">
            <w:col w:w="5620" w:space="258"/>
            <w:col w:w="4762"/>
          </w:cols>
          <w:pgMar w:left="220" w:top="343" w:right="1039" w:bottom="1440" w:gutter="0" w:footer="0" w:header="0"/>
          <w:type w:val="continuous"/>
        </w:sectPr>
      </w:pPr>
    </w:p>
    <w:p>
      <w:pPr>
        <w:ind w:left="6080" w:hanging="136"/>
        <w:spacing w:after="0"/>
        <w:tabs>
          <w:tab w:leader="none" w:pos="6080" w:val="left"/>
        </w:tabs>
        <w:numPr>
          <w:ilvl w:val="1"/>
          <w:numId w:val="5"/>
        </w:numPr>
        <w:rPr>
          <w:rFonts w:ascii="Arial" w:cs="Arial" w:eastAsia="Arial" w:hAnsi="Arial"/>
          <w:sz w:val="13"/>
          <w:szCs w:val="13"/>
          <w:color w:val="auto"/>
        </w:rPr>
      </w:pPr>
      <w:r>
        <w:rPr>
          <w:rFonts w:ascii="Arial" w:cs="Arial" w:eastAsia="Arial" w:hAnsi="Arial"/>
          <w:sz w:val="13"/>
          <w:szCs w:val="13"/>
          <w:color w:val="auto"/>
        </w:rPr>
        <w:t>continuously produce the enzyme that is deficient in infantile NCL</w:t>
      </w:r>
    </w:p>
    <w:p>
      <w:pPr>
        <w:spacing w:after="0" w:line="165" w:lineRule="exact"/>
        <w:rPr>
          <w:rFonts w:ascii="Arial" w:cs="Arial" w:eastAsia="Arial" w:hAnsi="Arial"/>
          <w:sz w:val="13"/>
          <w:szCs w:val="13"/>
          <w:color w:val="auto"/>
        </w:rPr>
      </w:pPr>
    </w:p>
    <w:p>
      <w:pPr>
        <w:ind w:left="6080" w:hanging="136"/>
        <w:spacing w:after="0"/>
        <w:tabs>
          <w:tab w:leader="none" w:pos="608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protect host neurons from death</w:t>
      </w:r>
    </w:p>
    <w:p>
      <w:pPr>
        <w:spacing w:after="0" w:line="165" w:lineRule="exact"/>
        <w:rPr>
          <w:rFonts w:ascii="Arial" w:cs="Arial" w:eastAsia="Arial" w:hAnsi="Arial"/>
          <w:sz w:val="13"/>
          <w:szCs w:val="13"/>
          <w:color w:val="auto"/>
        </w:rPr>
      </w:pPr>
    </w:p>
    <w:p>
      <w:pPr>
        <w:ind w:left="5880" w:right="1100" w:firstLine="64"/>
        <w:spacing w:after="0" w:line="258" w:lineRule="auto"/>
        <w:tabs>
          <w:tab w:leader="none" w:pos="6090" w:val="left"/>
        </w:tabs>
        <w:numPr>
          <w:ilvl w:val="1"/>
          <w:numId w:val="5"/>
        </w:numPr>
        <w:rPr>
          <w:rFonts w:ascii="Arial" w:cs="Arial" w:eastAsia="Arial" w:hAnsi="Arial"/>
          <w:sz w:val="13"/>
          <w:szCs w:val="13"/>
          <w:color w:val="auto"/>
        </w:rPr>
      </w:pPr>
      <w:r>
        <w:rPr>
          <w:rFonts w:ascii="Arial" w:cs="Arial" w:eastAsia="Arial" w:hAnsi="Arial"/>
          <w:sz w:val="13"/>
          <w:szCs w:val="13"/>
          <w:color w:val="auto"/>
        </w:rPr>
        <w:t xml:space="preserve">delay the loss of motor function in HuCNS-SC transplanted mice. </w:t>
      </w:r>
      <w:r>
        <w:rPr>
          <w:rFonts w:ascii="Arial" w:cs="Arial" w:eastAsia="Arial" w:hAnsi="Arial"/>
          <w:sz w:val="13"/>
          <w:szCs w:val="13"/>
          <w:i w:val="1"/>
          <w:iCs w:val="1"/>
          <w:color w:val="auto"/>
        </w:rPr>
        <w:t>Pelizeaus-Merzbacher Disease:</w:t>
      </w:r>
    </w:p>
    <w:p>
      <w:pPr>
        <w:ind w:left="5940" w:right="100" w:hanging="62"/>
        <w:spacing w:after="0" w:line="264" w:lineRule="auto"/>
        <w:tabs>
          <w:tab w:leader="none" w:pos="6032" w:val="left"/>
        </w:tabs>
        <w:numPr>
          <w:ilvl w:val="0"/>
          <w:numId w:val="5"/>
        </w:numPr>
        <w:rPr>
          <w:rFonts w:ascii="Arial" w:cs="Arial" w:eastAsia="Arial" w:hAnsi="Arial"/>
          <w:sz w:val="13"/>
          <w:szCs w:val="13"/>
          <w:color w:val="auto"/>
        </w:rPr>
      </w:pPr>
      <w:r>
        <w:rPr>
          <w:rFonts w:ascii="Arial" w:cs="Arial" w:eastAsia="Arial" w:hAnsi="Arial"/>
          <w:sz w:val="13"/>
          <w:szCs w:val="13"/>
          <w:color w:val="auto"/>
        </w:rPr>
        <w:t>Four-patient Phase I clinical trial initiated in November 2009 and first patient enrolled and treated in February 2010.</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3160"/>
        <w:spacing w:after="0"/>
        <w:tabs>
          <w:tab w:leader="none" w:pos="8220" w:val="left"/>
        </w:tabs>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r>
        <w:rPr>
          <w:sz w:val="20"/>
          <w:szCs w:val="20"/>
          <w:color w:val="auto"/>
        </w:rPr>
        <w:tab/>
      </w: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tatus</w:t>
      </w:r>
    </w:p>
    <w:p>
      <w:pPr>
        <w:spacing w:after="0" w:line="60"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 xml:space="preserve">•  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the myelin deficient shiverer</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mouse that transplanted HuCNS-SC cells can:</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  generate and integrate myelin producing oligodendrocytes into the mouse brain</w:t>
      </w:r>
    </w:p>
    <w:p>
      <w:pPr>
        <w:spacing w:after="0" w:line="177"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  tightly wrap the mouse nerve axons to form myelin sheath.</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Spinal Cord Injury:</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 xml:space="preserve">•  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a mouse model for spinal cord</w:t>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injury that transplanted HuCNS-SC cells can:</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  restore motor function in injured animals</w:t>
      </w:r>
    </w:p>
    <w:p>
      <w:pPr>
        <w:sectPr>
          <w:pgSz w:w="11900" w:h="16838" w:orient="portrait"/>
          <w:cols w:equalWidth="0" w:num="1">
            <w:col w:w="10660"/>
          </w:cols>
          <w:pgMar w:left="220" w:top="34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Liver Program</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Cellular therapy to restore function to liver tissue by replacing dysfunctional or damaged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CNS Program</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62" w:right="300" w:firstLine="56"/>
        <w:spacing w:after="0" w:line="276" w:lineRule="auto"/>
        <w:tabs>
          <w:tab w:leader="none" w:pos="272" w:val="left"/>
        </w:tabs>
        <w:numPr>
          <w:ilvl w:val="0"/>
          <w:numId w:val="6"/>
        </w:numPr>
        <w:rPr>
          <w:rFonts w:ascii="Arial" w:cs="Arial" w:eastAsia="Arial" w:hAnsi="Arial"/>
          <w:sz w:val="13"/>
          <w:szCs w:val="13"/>
          <w:color w:val="auto"/>
        </w:rPr>
      </w:pPr>
      <w:r>
        <w:rPr>
          <w:rFonts w:ascii="Arial" w:cs="Arial" w:eastAsia="Arial" w:hAnsi="Arial"/>
          <w:sz w:val="13"/>
          <w:szCs w:val="13"/>
          <w:color w:val="auto"/>
        </w:rPr>
        <w:t>directly contribute to functional recovery; when human cells are ablated restored function is lost</w:t>
      </w:r>
    </w:p>
    <w:p>
      <w:pPr>
        <w:spacing w:after="0" w:line="127" w:lineRule="exact"/>
        <w:rPr>
          <w:rFonts w:ascii="Arial" w:cs="Arial" w:eastAsia="Arial" w:hAnsi="Arial"/>
          <w:sz w:val="13"/>
          <w:szCs w:val="13"/>
          <w:color w:val="auto"/>
        </w:rPr>
      </w:pPr>
    </w:p>
    <w:p>
      <w:pPr>
        <w:ind w:left="262" w:hanging="144"/>
        <w:spacing w:after="0"/>
        <w:tabs>
          <w:tab w:leader="none" w:pos="262" w:val="left"/>
        </w:tabs>
        <w:numPr>
          <w:ilvl w:val="0"/>
          <w:numId w:val="6"/>
        </w:numPr>
        <w:rPr>
          <w:rFonts w:ascii="Arial" w:cs="Arial" w:eastAsia="Arial" w:hAnsi="Arial"/>
          <w:sz w:val="13"/>
          <w:szCs w:val="13"/>
          <w:color w:val="auto"/>
        </w:rPr>
      </w:pPr>
      <w:r>
        <w:rPr>
          <w:rFonts w:ascii="Arial" w:cs="Arial" w:eastAsia="Arial" w:hAnsi="Arial"/>
          <w:sz w:val="13"/>
          <w:szCs w:val="13"/>
          <w:color w:val="auto"/>
        </w:rPr>
        <w:t>become specialized oligodendrocytes and neurons.</w:t>
      </w:r>
    </w:p>
    <w:p>
      <w:pPr>
        <w:spacing w:after="0" w:line="15"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Retinal Disorders:</w:t>
      </w:r>
    </w:p>
    <w:p>
      <w:pPr>
        <w:spacing w:after="0" w:line="8" w:lineRule="exact"/>
        <w:rPr>
          <w:sz w:val="20"/>
          <w:szCs w:val="20"/>
          <w:color w:val="auto"/>
        </w:rPr>
      </w:pPr>
    </w:p>
    <w:p>
      <w:pPr>
        <w:ind w:left="62" w:right="140" w:hanging="62"/>
        <w:spacing w:after="0" w:line="307" w:lineRule="auto"/>
        <w:tabs>
          <w:tab w:leader="none" w:pos="154"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the Royal College of Surgeons rat, a widely accepted model for retinal degeneration, that HuCNS-SC cells can:</w:t>
      </w:r>
    </w:p>
    <w:p>
      <w:pPr>
        <w:spacing w:after="0" w:line="111" w:lineRule="exact"/>
        <w:rPr>
          <w:rFonts w:ascii="Arial" w:cs="Arial" w:eastAsia="Arial" w:hAnsi="Arial"/>
          <w:sz w:val="12"/>
          <w:szCs w:val="12"/>
          <w:color w:val="auto"/>
        </w:rPr>
      </w:pPr>
    </w:p>
    <w:p>
      <w:pPr>
        <w:ind w:left="262" w:hanging="144"/>
        <w:spacing w:after="0"/>
        <w:tabs>
          <w:tab w:leader="none" w:pos="262" w:val="left"/>
        </w:tabs>
        <w:numPr>
          <w:ilvl w:val="2"/>
          <w:numId w:val="7"/>
        </w:numPr>
        <w:rPr>
          <w:rFonts w:ascii="Arial" w:cs="Arial" w:eastAsia="Arial" w:hAnsi="Arial"/>
          <w:sz w:val="13"/>
          <w:szCs w:val="13"/>
          <w:color w:val="auto"/>
        </w:rPr>
      </w:pPr>
      <w:r>
        <w:rPr>
          <w:rFonts w:ascii="Arial" w:cs="Arial" w:eastAsia="Arial" w:hAnsi="Arial"/>
          <w:sz w:val="13"/>
          <w:szCs w:val="13"/>
          <w:color w:val="auto"/>
        </w:rPr>
        <w:t>protect photoreceptor cells from death</w:t>
      </w:r>
    </w:p>
    <w:p>
      <w:pPr>
        <w:spacing w:after="0" w:line="165" w:lineRule="exact"/>
        <w:rPr>
          <w:rFonts w:ascii="Arial" w:cs="Arial" w:eastAsia="Arial" w:hAnsi="Arial"/>
          <w:sz w:val="13"/>
          <w:szCs w:val="13"/>
          <w:color w:val="auto"/>
        </w:rPr>
      </w:pPr>
    </w:p>
    <w:p>
      <w:pPr>
        <w:ind w:left="262" w:hanging="144"/>
        <w:spacing w:after="0"/>
        <w:tabs>
          <w:tab w:leader="none" w:pos="262" w:val="left"/>
        </w:tabs>
        <w:numPr>
          <w:ilvl w:val="2"/>
          <w:numId w:val="7"/>
        </w:numPr>
        <w:rPr>
          <w:rFonts w:ascii="Arial" w:cs="Arial" w:eastAsia="Arial" w:hAnsi="Arial"/>
          <w:sz w:val="13"/>
          <w:szCs w:val="13"/>
          <w:color w:val="auto"/>
        </w:rPr>
      </w:pPr>
      <w:r>
        <w:rPr>
          <w:rFonts w:ascii="Arial" w:cs="Arial" w:eastAsia="Arial" w:hAnsi="Arial"/>
          <w:sz w:val="13"/>
          <w:szCs w:val="13"/>
          <w:color w:val="auto"/>
        </w:rPr>
        <w:t>prevent or slow loss of vision.</w:t>
      </w:r>
    </w:p>
    <w:p>
      <w:pPr>
        <w:spacing w:after="0" w:line="165" w:lineRule="exact"/>
        <w:rPr>
          <w:rFonts w:ascii="Arial" w:cs="Arial" w:eastAsia="Arial" w:hAnsi="Arial"/>
          <w:sz w:val="13"/>
          <w:szCs w:val="13"/>
          <w:color w:val="auto"/>
        </w:rPr>
      </w:pPr>
    </w:p>
    <w:p>
      <w:pPr>
        <w:ind w:left="62" w:right="320" w:hanging="62"/>
        <w:spacing w:after="0" w:line="276" w:lineRule="auto"/>
        <w:tabs>
          <w:tab w:leader="none" w:pos="154"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engraftment and survival of hLEC in a mouse model of liver degeneration</w:t>
      </w:r>
    </w:p>
    <w:p>
      <w:pPr>
        <w:spacing w:after="0" w:line="127" w:lineRule="exact"/>
        <w:rPr>
          <w:rFonts w:ascii="Arial" w:cs="Arial" w:eastAsia="Arial" w:hAnsi="Arial"/>
          <w:sz w:val="13"/>
          <w:szCs w:val="13"/>
          <w:color w:val="auto"/>
        </w:rPr>
      </w:pPr>
    </w:p>
    <w:p>
      <w:pPr>
        <w:ind w:left="62" w:right="360" w:hanging="10"/>
        <w:spacing w:after="0" w:line="258" w:lineRule="auto"/>
        <w:tabs>
          <w:tab w:leader="none" w:pos="206" w:val="left"/>
        </w:tabs>
        <w:numPr>
          <w:ilvl w:val="1"/>
          <w:numId w:val="7"/>
        </w:numPr>
        <w:rPr>
          <w:rFonts w:ascii="Arial" w:cs="Arial" w:eastAsia="Arial" w:hAnsi="Arial"/>
          <w:sz w:val="13"/>
          <w:szCs w:val="13"/>
          <w:color w:val="auto"/>
        </w:rPr>
      </w:pPr>
      <w:r>
        <w:rPr>
          <w:rFonts w:ascii="Arial" w:cs="Arial" w:eastAsia="Arial" w:hAnsi="Arial"/>
          <w:sz w:val="13"/>
          <w:szCs w:val="13"/>
          <w:color w:val="auto"/>
        </w:rPr>
        <w:t>Detected human serum albumin and alpha-1-antitrypsin in serum of transplanted animals.</w:t>
      </w:r>
    </w:p>
    <w:p>
      <w:pPr>
        <w:ind w:left="62" w:right="100" w:hanging="62"/>
        <w:spacing w:after="0" w:line="252" w:lineRule="auto"/>
        <w:tabs>
          <w:tab w:leader="none" w:pos="154" w:val="left"/>
        </w:tabs>
        <w:numPr>
          <w:ilvl w:val="0"/>
          <w:numId w:val="7"/>
        </w:numPr>
        <w:rPr>
          <w:rFonts w:ascii="Arial" w:cs="Arial" w:eastAsia="Arial" w:hAnsi="Arial"/>
          <w:sz w:val="13"/>
          <w:szCs w:val="13"/>
          <w:color w:val="auto"/>
        </w:rPr>
      </w:pPr>
      <w:r>
        <w:rPr>
          <w:rFonts w:ascii="Arial" w:cs="Arial" w:eastAsia="Arial" w:hAnsi="Arial"/>
          <w:sz w:val="13"/>
          <w:szCs w:val="13"/>
          <w:color w:val="auto"/>
        </w:rPr>
        <w:t>Demonstrated the generation of key structural elements of the liver, the bile canaliculi, that are required to bile transport.</w:t>
      </w:r>
    </w:p>
    <w:p>
      <w:pPr>
        <w:ind w:left="62" w:hanging="62"/>
        <w:spacing w:after="0" w:line="273" w:lineRule="auto"/>
        <w:tabs>
          <w:tab w:leader="none" w:pos="154" w:val="left"/>
        </w:tabs>
        <w:numPr>
          <w:ilvl w:val="0"/>
          <w:numId w:val="7"/>
        </w:numPr>
        <w:rPr>
          <w:rFonts w:ascii="Arial" w:cs="Arial" w:eastAsia="Arial" w:hAnsi="Arial"/>
          <w:sz w:val="12"/>
          <w:szCs w:val="12"/>
          <w:color w:val="auto"/>
        </w:rPr>
      </w:pPr>
      <w:r>
        <w:rPr>
          <w:rFonts w:ascii="Arial" w:cs="Arial" w:eastAsia="Arial" w:hAnsi="Arial"/>
          <w:sz w:val="12"/>
          <w:szCs w:val="12"/>
          <w:color w:val="auto"/>
        </w:rPr>
        <w:t>Identified cell surface markers and methods for selection of hLEC from livers of a broad range of age and quality, including livers deemed not suitable for transplantation.</w:t>
      </w:r>
    </w:p>
    <w:p>
      <w:pPr>
        <w:ind w:left="62" w:hanging="62"/>
        <w:spacing w:after="0" w:line="256" w:lineRule="auto"/>
        <w:tabs>
          <w:tab w:leader="none" w:pos="154" w:val="left"/>
        </w:tabs>
        <w:numPr>
          <w:ilvl w:val="0"/>
          <w:numId w:val="7"/>
        </w:numPr>
        <w:rPr>
          <w:rFonts w:ascii="Arial" w:cs="Arial" w:eastAsia="Arial" w:hAnsi="Arial"/>
          <w:sz w:val="13"/>
          <w:szCs w:val="13"/>
          <w:color w:val="auto"/>
        </w:rPr>
      </w:pPr>
      <w:r>
        <w:rPr>
          <w:rFonts w:ascii="Arial" w:cs="Arial" w:eastAsia="Arial" w:hAnsi="Arial"/>
          <w:sz w:val="13"/>
          <w:szCs w:val="13"/>
          <w:color w:val="auto"/>
        </w:rPr>
        <w:t>Received ethics committee approval to initiate a clinical study to evaluate hLEC as a potential cellular therapy for liver-based metabolic disorders. Deferred initiating a clinical study of hLEC, pending additional improvements to our process of isolating and purifying hLEC.</w:t>
      </w:r>
    </w:p>
    <w:p>
      <w:pPr>
        <w:spacing w:after="0" w:line="396" w:lineRule="exact"/>
        <w:rPr>
          <w:sz w:val="20"/>
          <w:szCs w:val="20"/>
          <w:color w:val="auto"/>
        </w:rPr>
      </w:pPr>
    </w:p>
    <w:p>
      <w:pPr>
        <w:sectPr>
          <w:pgSz w:w="11900" w:h="16838" w:orient="portrait"/>
          <w:cols w:equalWidth="0" w:num="2">
            <w:col w:w="5660" w:space="218"/>
            <w:col w:w="4782"/>
          </w:cols>
          <w:pgMar w:left="220" w:top="343" w:right="1019" w:bottom="1440" w:gutter="0" w:footer="0" w:header="0"/>
          <w:type w:val="continuous"/>
        </w:sectPr>
      </w:pPr>
    </w:p>
    <w:p>
      <w:pPr>
        <w:ind w:left="680" w:right="60" w:firstLine="399"/>
        <w:spacing w:after="0" w:line="260" w:lineRule="auto"/>
        <w:rPr>
          <w:sz w:val="20"/>
          <w:szCs w:val="20"/>
          <w:color w:val="auto"/>
        </w:rPr>
      </w:pPr>
      <w:r>
        <w:rPr>
          <w:rFonts w:ascii="Arial" w:cs="Arial" w:eastAsia="Arial" w:hAnsi="Arial"/>
          <w:sz w:val="13"/>
          <w:szCs w:val="13"/>
          <w:color w:val="auto"/>
        </w:rPr>
        <w:t>Many neurodegenerative diseases involve the failure of central nervous system tissue (i.e., the brain, spinal cord and eye) due to the loss of functional cells. Our CNS Program is initially focusing on developing clinical applications in which transplanting HuCNS-SC cells would protect the host cells of the patient before such cells are irreversibly damaged or lost due to disease progression. Our initial target indications are neuronal ceroid lipofuscinosis and certain other lysosomal storage diseases, diseases in which deficient myelination plays a central role, such as Pelizeaus-Merzbacher Disease, cerebral palsy or multiple sclerosis; traumatic brain and spinal cord</w:t>
      </w:r>
    </w:p>
    <w:p>
      <w:pPr>
        <w:spacing w:after="0" w:line="11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injury; and disorders in which retinal degeneration plays a central role, such as age-related macular degeneration or retinitis pigmentosa. These disorders affect a significant number of people in the United States and there currently are no effective long-term therapies for them.</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lead product candidate, HuCNS-SC cells, is a purified and expanded composition of normal human neural stem cells. As such, we believe it is well suited for transplantation and should provide a safe and effective therapy. Alternative therapies based on cells derived from cancer cells, embryonic stem cells, iPS cells, animal-derived cells, or unpurified mixes of cell types have a significantly higher safety hurdle to overcome and while they might provide an effective therapy, technologies to remove potentially harmful cells are still being developed and tested. Furthermore, our HuCNS-SC cells can be directly transplanted, unlike embryonic stem cells or iPS cells, which require one or more prerequisite differentiation steps prior to administration in order to preclude teratoma formation (tumors of multiple differentiated cell types). It is still unclear whether cellular transplants derived from embryonic stem cells or iPS cells can avoid forming teratomas or other abnormal cellular structures due to contaminating cell types in the transplant product.</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Our preclinical research has shown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that HuCNS-SC cells engraft, migrate, differentiate into neurons and glial cells, and survive for as long as one year with </w:t>
      </w:r>
      <w:r>
        <w:rPr>
          <w:rFonts w:ascii="Arial" w:cs="Arial" w:eastAsia="Arial" w:hAnsi="Arial"/>
          <w:sz w:val="13"/>
          <w:szCs w:val="13"/>
          <w:i w:val="1"/>
          <w:iCs w:val="1"/>
          <w:color w:val="auto"/>
        </w:rPr>
        <w:t>no sign</w:t>
      </w:r>
      <w:r>
        <w:rPr>
          <w:rFonts w:ascii="Arial" w:cs="Arial" w:eastAsia="Arial" w:hAnsi="Arial"/>
          <w:sz w:val="13"/>
          <w:szCs w:val="13"/>
          <w:color w:val="auto"/>
        </w:rPr>
        <w:t xml:space="preserve"> of tumor formation or adverse effects. Moreover, the HuCNS-SC cells were still producing progeny cells at the end of the test period. These findings show that our neural stem cells, when transplanted, act like normal neural stem cells, suggesting the possibility of a continual replenishment of normal human neural cells in transplant recipients. In the longer term, then, we believe stem cells have the potential to restore or replace lost cells and cellular function.</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hold a substantial portfolio of issued and allowed patents in the neural stem cell field, which cover the isolation, expansion and use of neural stem and progenitor cells, as well as the compositions of the cells themselves. See “Patents, Proprietary Rights and Licenses,”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Neuronal Ceroid Lipofuscinosis (NCL; also known as Batten disease).</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 xml:space="preserve">Neuronal ceroid lipofuscinosis (NCL), which is often referred to as Batten disease, is a neurodegenerative disease that affects infants and young children. Two forms of NCL — infantile and late infantile — are caused by the deficiency of a lysosomal enzyme. Infantile and late infantile NCL are brought on by inherited genetic mutations in the </w:t>
      </w:r>
      <w:r>
        <w:rPr>
          <w:rFonts w:ascii="Arial" w:cs="Arial" w:eastAsia="Arial" w:hAnsi="Arial"/>
          <w:sz w:val="12"/>
          <w:szCs w:val="12"/>
          <w:i w:val="1"/>
          <w:iCs w:val="1"/>
          <w:color w:val="auto"/>
        </w:rPr>
        <w:t>CLN1</w:t>
      </w:r>
      <w:r>
        <w:rPr>
          <w:rFonts w:ascii="Arial" w:cs="Arial" w:eastAsia="Arial" w:hAnsi="Arial"/>
          <w:sz w:val="12"/>
          <w:szCs w:val="12"/>
          <w:color w:val="auto"/>
        </w:rPr>
        <w:t xml:space="preserve"> gene, which codes for palmitoyl-protein thioesterase 1 (PPT1), and in the </w:t>
      </w:r>
      <w:r>
        <w:rPr>
          <w:rFonts w:ascii="Arial" w:cs="Arial" w:eastAsia="Arial" w:hAnsi="Arial"/>
          <w:sz w:val="12"/>
          <w:szCs w:val="12"/>
          <w:i w:val="1"/>
          <w:iCs w:val="1"/>
          <w:color w:val="auto"/>
        </w:rPr>
        <w:t>CLN2</w:t>
      </w:r>
      <w:r>
        <w:rPr>
          <w:rFonts w:ascii="Arial" w:cs="Arial" w:eastAsia="Arial" w:hAnsi="Arial"/>
          <w:sz w:val="12"/>
          <w:szCs w:val="12"/>
          <w:color w:val="auto"/>
        </w:rPr>
        <w:t xml:space="preserve"> gene, which codes for tripeptidyl peptidase I (TPP-I), respectively. As a result of these mutations, the relevant enzyme is either defective or missing, leading to the accumulation of cellular waste product in various neuronal cell types. This accumulation eventually interferes with normal cellular and tissue function, and leads to seizures and progressive loss of motor skills, sight and mental capacity. Today, NCL is always fatal.</w:t>
      </w:r>
    </w:p>
    <w:p>
      <w:pPr>
        <w:spacing w:after="0" w:line="55"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In January 2009, we completed a six-patient Phase I clinical trial at Oregon Health &amp; Science University Doernbecher Children’s Hospital to evaluate the safety and preliminary efficacy of our HuCNS-SC product candidate as a treatment for infantile and late infantile NCL. We believe that this clinical trial was the first FDA-authorized trial to evaluate purified human neural stem cells as a potential therapeutic agent. This trial was an open label study with two dose levels. Under the trial protocol, patients received immunosuppression for one year following transplantation of the HuCNS-SC cells. Overall, the trial data demonstrated that the HuCNS-SC cells, the transplantation procedure and the immunosuppression regimen were well tolerated by all six patients, and the patients’ medical, neurological and neuropsychological conditions, following transplantation, appeared consistent with the normal course of the disease. In addition to this favorable safety profile, there was evidence of engraftment and long-term survival of the HuCNS-SC cells. In November 2009, we met with the FDA to review the results of this trial and to discuss our proposed clinical development plans. During this meeting, the FDA acknowledged our position that the risk-benefit profile shown by the Phase I data merits further clinical evaluation of HuCNS-SC cells in NCL. We continue to be in discussions with the FDA regarding our plans for a second clinical trial in NCL, although there can be no assurance when or if such a trial will be initiated.</w:t>
      </w:r>
    </w:p>
    <w:p>
      <w:pPr>
        <w:spacing w:after="0" w:line="74"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Our preclinical data demonstrate that HuCNS-SC cells, when transplanted in a mouse model of infantile NCL, engraft, migrate throughout the brain, produce the missing PPT1 enzyme, measurably reduce the toxic storage material in the brain, protect host neurons so that more of them survive, and delay the loss of motor function compared to a control group of non-transplanted mice. A summary of this data was published in September 2009 in</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the peer-reviewed journal </w:t>
      </w:r>
      <w:r>
        <w:rPr>
          <w:rFonts w:ascii="Arial" w:cs="Arial" w:eastAsia="Arial" w:hAnsi="Arial"/>
          <w:sz w:val="13"/>
          <w:szCs w:val="13"/>
          <w:i w:val="1"/>
          <w:iCs w:val="1"/>
          <w:color w:val="auto"/>
        </w:rPr>
        <w:t>Cell Stem Cell.</w:t>
      </w:r>
      <w:r>
        <w:rPr>
          <w:rFonts w:ascii="Arial" w:cs="Arial" w:eastAsia="Arial" w:hAnsi="Arial"/>
          <w:sz w:val="13"/>
          <w:szCs w:val="13"/>
          <w:color w:val="auto"/>
        </w:rPr>
        <w:t xml:space="preserve"> We have also demonstrated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that HuCNS-SC cells produce TPP-I, the enzyme that is deficient in late infantile NCL.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Lysosomal Storage Diseases.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NCL is one of a group of approximately 46 known lysosomal storage diseases (LSDs). All LSDs are caused by a defective or missing gene which codes for an enzyme that processes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cellular waste substances. Cellular waste is stored in a part of cells known as the lysosome, and patients with the defective gene are unable to produce enough of the particular enzyme,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causing the cellular waste to build up in the lysosome. Eventually, the cells cannot function and die. Some LSDs can be treated by enzyme replacement therapies, and examples of enzyme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replacement products already approved are Cerezyme</w:t>
      </w:r>
      <w:r>
        <w:rPr>
          <w:rFonts w:ascii="Arial" w:cs="Arial" w:eastAsia="Arial" w:hAnsi="Arial"/>
          <w:sz w:val="11"/>
          <w:szCs w:val="11"/>
          <w:color w:val="auto"/>
        </w:rPr>
        <w:t>TM</w:t>
      </w:r>
      <w:r>
        <w:rPr>
          <w:rFonts w:ascii="Arial" w:cs="Arial" w:eastAsia="Arial" w:hAnsi="Arial"/>
          <w:sz w:val="13"/>
          <w:szCs w:val="13"/>
          <w:color w:val="auto"/>
        </w:rPr>
        <w:t>for Gaucher disease, Fabryzyme</w:t>
      </w:r>
      <w:r>
        <w:rPr>
          <w:rFonts w:ascii="Arial" w:cs="Arial" w:eastAsia="Arial" w:hAnsi="Arial"/>
          <w:sz w:val="11"/>
          <w:szCs w:val="11"/>
          <w:color w:val="auto"/>
        </w:rPr>
        <w:t>TM</w:t>
      </w:r>
      <w:r>
        <w:rPr>
          <w:rFonts w:ascii="Arial" w:cs="Arial" w:eastAsia="Arial" w:hAnsi="Arial"/>
          <w:sz w:val="13"/>
          <w:szCs w:val="13"/>
          <w:color w:val="auto"/>
        </w:rPr>
        <w:t>for Fabry disease, Myozyme</w:t>
      </w:r>
      <w:r>
        <w:rPr>
          <w:rFonts w:ascii="Arial" w:cs="Arial" w:eastAsia="Arial" w:hAnsi="Arial"/>
          <w:sz w:val="11"/>
          <w:szCs w:val="11"/>
          <w:color w:val="auto"/>
        </w:rPr>
        <w:t>®</w:t>
      </w:r>
      <w:r>
        <w:rPr>
          <w:rFonts w:ascii="Arial" w:cs="Arial" w:eastAsia="Arial" w:hAnsi="Arial"/>
          <w:sz w:val="13"/>
          <w:szCs w:val="13"/>
          <w:color w:val="auto"/>
        </w:rPr>
        <w:t xml:space="preserve"> for Pompe disease, Aldurazyme</w:t>
      </w:r>
      <w:r>
        <w:rPr>
          <w:rFonts w:ascii="Arial" w:cs="Arial" w:eastAsia="Arial" w:hAnsi="Arial"/>
          <w:sz w:val="11"/>
          <w:szCs w:val="11"/>
          <w:color w:val="auto"/>
        </w:rPr>
        <w:t>TM</w:t>
      </w:r>
      <w:r>
        <w:rPr>
          <w:rFonts w:ascii="Arial" w:cs="Arial" w:eastAsia="Arial" w:hAnsi="Arial"/>
          <w:sz w:val="13"/>
          <w:szCs w:val="13"/>
          <w:color w:val="auto"/>
        </w:rPr>
        <w:t>for MPS I, and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Naglazyme</w:t>
      </w:r>
      <w:r>
        <w:rPr>
          <w:rFonts w:ascii="Arial" w:cs="Arial" w:eastAsia="Arial" w:hAnsi="Arial"/>
          <w:sz w:val="10"/>
          <w:szCs w:val="10"/>
          <w:color w:val="auto"/>
        </w:rPr>
        <w:t>TM</w:t>
      </w:r>
      <w:r>
        <w:rPr>
          <w:rFonts w:ascii="Arial" w:cs="Arial" w:eastAsia="Arial" w:hAnsi="Arial"/>
          <w:sz w:val="12"/>
          <w:szCs w:val="12"/>
          <w:color w:val="auto"/>
        </w:rPr>
        <w:t>for MPS VI. All of these approved products, however, address LSDs which primarily affect peripheral organs rather than the central nervous system. Although about half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known LSDs primarily affect the central nervous system, enzyme replacement therapy is not currently a practical treatment option for this subset of LSDs because enzymes are typically too</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large to cross the blood-brain barrier. We believe that transplanting HuCNS-SC cells directly into the central nervous system may have the potential to treat some LSDs that affect the central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nervous system by supplying missing enzymes to the brain. In addition to infantile and late infantile NCL, we have found that HuCNS-SC cells can produce the relevant enzyme in a number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other LSDs that affect the central nervous system.</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Pelizaeus-Merzbacher Disease (PMD).</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Pelizaeus-Merzbacher Disease, a rare, degenerative, central nervous system disorder, is one of a group of genetic disorders known as leukodystrophies. Leukodystrophies involve abnormal growth of the myelin sheath which is the fatty substance that surrounds nerve fibers in the brain and spinal cord. PMD is most commonly caused by a genetic mutation that affects an important protein found in myelin, proteolipid protein. PMD is most frequently diagnosed in early childhood and is associated with abnormal eye movements, abnormal muscle function, and in some cases, seizures. The course of the disease is marked by progressive neurological deterioration resulting in premature death.</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November 2009, we initiated a Phase I clinical trial of our HuCNS-SC product candidate for PMD, and in February 2010, we enrolled and treated the first patient in the trial. A total of four patients with PMD are planned for this trial, and we expect it will take twelve to eighteen months to complete enrollment. In this trial, the patients will be transplanted with HuCNS-SC cells and evaluated regularly over a 12-month period. The periodic evaluations will include magnetic resonance imaging (MRI) of the brain, which may enable the measurement of new myelin formation. The trial is being conducted at the University of California, San Francisco (UCSF) Children’s Hospital.</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our preclinical research, we have shown that HuCNS-SC cells differentiate into oligodendrocytes, the myelin producing cells, and produce myelin. We have transplanted HuCNS-SC cells into the brain of the mutant shiverer mouse, which is deficient in myelin, and shown widespread engraftment of human cells that matured into oligodendrocytes, and that the human oligodendrocytes myelinated the mouse axons.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Myelin Disorders.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Loss of myelin characterizes conditions such as multiple sclerosis, cerebral palsy and certain genetic disorders (for example, Krabbe’s disease and metachromatic leukodystrophy), and also plays a role in certain spinal cord indications. Based on our preclinical data, we believe our HuCNS-SC product candidate may have applicability to a range of myelin disorders. In addition, in collaboration with researchers at Oregon Health &amp; Science University, we are attempting to detect human myelin production by HuCNS-SC cells in the </w:t>
      </w:r>
      <w:r>
        <w:rPr>
          <w:rFonts w:ascii="Arial" w:cs="Arial" w:eastAsia="Arial" w:hAnsi="Arial"/>
          <w:sz w:val="13"/>
          <w:szCs w:val="13"/>
          <w:i w:val="1"/>
          <w:iCs w:val="1"/>
          <w:color w:val="auto"/>
        </w:rPr>
        <w:t>shiverer</w:t>
      </w:r>
      <w:r>
        <w:rPr>
          <w:rFonts w:ascii="Arial" w:cs="Arial" w:eastAsia="Arial" w:hAnsi="Arial"/>
          <w:sz w:val="13"/>
          <w:szCs w:val="13"/>
          <w:color w:val="auto"/>
        </w:rPr>
        <w:t xml:space="preserve"> mouse model using magnetic resonance imaging.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Spinal Cord Injury.</w:t>
      </w:r>
    </w:p>
    <w:p>
      <w:pPr>
        <w:spacing w:after="0" w:line="96"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Stem cells may have the potential to treat various spinal cord indications. Using a mouse model of spinal cord injury, our collaborators at the Reeve-Irvine Research Center at the University of California, Irvine have shown that HuCNS-SC cells have the potential to protect and regenerate damaged nerves and nerve fibers, and that injured mice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transplanted with our human neural stem cells showed improved motor function compared to control animals. Inspection of the spinal cords from the treated mice showed significant levels of human neural cells derived from the transplanted stem cells. Some of these cells were oligodendrocytes, the specialized neural cell that forms the myelin sheath around axons, while others had become neurons and showed evidence of synapse formation, a requirement for proper neuronal function. The researchers then selectively ablated the human cells, and found that the functional improvement was lost, thus demonstrating that the human cells had played a direct role in the functional recovery of the transplanted mice. We are continuing preclinical development on our HuCNS-SC product candidate for various spinal cord indications.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Retinal Disorders.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retina is a thin layer of neural cells that lines the back of the eye and is responsible for converting external light into neural signals, and a loss of function in retinal cells leads to impairment or loss of vision. The most common forms of retinal degeneration are age-related macular degeneration and retinitis pigmentosa.</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January 2008, we entered into a research collaboration with Oregon Health &amp; Science University Casey Eye Institute to evaluate engraftment and potential applicability of our HuCNS-SC cells in retinal disorders. Our preclinical data have shown that our HuCNS-SC cells, when transplanted in a well-established animal model of retinal degeneration, engraft long-term, can protect photoreceptors (the sensory neurons of the retina) from progressive degeneration, and can slow or prevent loss of visual function. In this model, called the Royal College of Surgeons (RCS) rat, a genetic mutation causes dysfunction of the retinal pigmented cells, which leads to progressive loss of the photoreceptors and ultimately, loss of visual function in the rat. Our preclinical data shows that our human neural stem cells protect both rod and cone photoreceptors in the eye from progressive degeneration and preserve visual function long term. The cone photoreceptors are light sensing cells that are highly concentrated within the macula of the human eye, and the ability to protect these cells suggests a promising approach to treating age-related macular degeneration (AMD), the leading cause of vision loss and blindness in people over the age of 55. We are continuing preclinical studies of our HuCNS-SC cells as a potential treatment for retinal disorders.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Neural Collaborations.</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 xml:space="preserve">We have established a number of research collaborations to assess both the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potential of the HuCNS-SC cells and the effects of transplanting HuCNS-SC cells into preclinical animal models, including a collaboration with researchers at the Stanford University School of Medicine to evaluate our human neural stem cells in animal models of stroke. The results of these studies demonstrate the targeted migration of the cells toward the stroke lesion and differentiation toward the neuronal lineage. Another study with researchers at Stanford’s School of Medicine demonstrated that HuCNS-SC cells labeled with magnetic nanoparticles could non-invasively track the survival and migration of human cells within the brain. In addition, we concluded an NIH-funded collaboration with researchers at the McLaughlin Research Institute to investigate the role of Alzheimer’s plaques in neuronal cell death in Alzheimer’s disease. Under the collaboration, our HuCNS-SC cells were transplanted into mouse models of Alzheimer’s disease and the cells showed robust engraftment in an environment riddled with Alzheimer’s plaques.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Liver Program</w:t>
      </w:r>
    </w:p>
    <w:p>
      <w:pPr>
        <w:spacing w:after="0" w:line="96"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According to the American Association for the Study of Liver Diseases, approximately 25 million Americans are afflicted with liver-related disease each year. In many of these diseases, such as hepatitis, liver failure, blood-clotting disorder, cirrhosis, or liver cancer, the liver slowly loses function as liver cells are damaged or destroyed by the disease process. Eventually, an organ transplant is required in order to restore liver function to the patient. Organ transplants, however, are limited by the supply of suitable organs, and the transplant is generally done at the very late stages of the disease, in part because there are many more patients who need a transplant than there are suitable organs available. Moreover, the transplant procedure itself is very invasive.</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Liver stem or progenitor cells have the potential to offer an alternative treatment for some of these liver diseases. A liver cellular therapy or cell-based therapeutic could provide or support liver function in patients with liver disease and would have a number of advantages over whole organ transplants. Such a product could potentially (i) expand the range of patients who would be treatable, (ii) allow for treatment in earlier stages of disease, and (iii) be less invasive and better tolerated.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We have identified and isolated a cell population that we call human liver engrafting cells (hLEC) which can be derived from all types of human livers, including those that would not be suitable for liver transplantation. When tested </w:t>
      </w:r>
      <w:r>
        <w:rPr>
          <w:rFonts w:ascii="Arial" w:cs="Arial" w:eastAsia="Arial" w:hAnsi="Arial"/>
          <w:sz w:val="13"/>
          <w:szCs w:val="13"/>
          <w:i w:val="1"/>
          <w:iCs w:val="1"/>
          <w:color w:val="auto"/>
        </w:rPr>
        <w:t>in vitro</w:t>
      </w:r>
      <w:r>
        <w:rPr>
          <w:rFonts w:ascii="Arial" w:cs="Arial" w:eastAsia="Arial" w:hAnsi="Arial"/>
          <w:sz w:val="13"/>
          <w:szCs w:val="13"/>
          <w:color w:val="auto"/>
        </w:rPr>
        <w:t>, hLEC demonstrate essential liver enzymatic functions, such as detoxification (cytochrome P450) and conversion of toxic ammonia to urea. When transplanted into immunodeficient mice with a metabolic defect, Tyrosinemia Type I, hLEC engraft and show basic function of hepatocytes. Specifically, hLEC produce the human protein deficient in this animal model (fumarylacetoacetate hydrolase, FAH) as well as human albumin and alpha-1-antitrypsin and the engrafted human cells store glycogen and form structural elements for bile and drug excretion from the liver.</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September 2007, we entered into a research collaboration with the Université Catholique de Louvain (UCL) and the UCL-affiliated Cliniques Universitaires Saint Luc, both of Louvain, Belgium, to further the development of hLEC as a potential cell-based liver therapy. In September 2009, we received ethics committee approval at UCL to initiate a clinical study to evaluate hLEC as a potential cellular therapy for liver-based metabolic disorders. However, we have decided to defer initiating a clinical study of hLEC pending additional improvements to our process of isolating and purifying hLEC.</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hold a portfolio of issued and allowed patents in the liver field which cover the isolation and use of hLEC cells, as well as the composition of the cells themselves. See “Patents, Proprietary Rights and Licenses,” below.</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Enabling Technologies Programs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Cells, and stem cells in particular, are an important resource for researchers seeking to understand human diseases, advance medical research and develop more effective therapies. Stem cells provide potentially unlimited sources of different cell types owing to their ability to be expanded and subsequently differentiated into particular cell types. Embryonic stem cells, for example, have the ability to become any one of the more than 200 specialized cell types found in the human body (they are said to be </w:t>
      </w:r>
      <w:r>
        <w:rPr>
          <w:rFonts w:ascii="Arial" w:cs="Arial" w:eastAsia="Arial" w:hAnsi="Arial"/>
          <w:sz w:val="13"/>
          <w:szCs w:val="13"/>
          <w:i w:val="1"/>
          <w:iCs w:val="1"/>
          <w:color w:val="auto"/>
        </w:rPr>
        <w:t>pluripotent</w:t>
      </w:r>
      <w:r>
        <w:rPr>
          <w:rFonts w:ascii="Arial" w:cs="Arial" w:eastAsia="Arial" w:hAnsi="Arial"/>
          <w:sz w:val="13"/>
          <w:szCs w:val="13"/>
          <w:color w:val="auto"/>
        </w:rPr>
        <w:t>); induced pluripotent stem (iPS) cells also possess this ability. Because of this versatility, these cells are valuable tools for examining and researching the fundamental biology of cells and the pathways involved in early development and tissue formation. In recent years, the pharmaceutical industry has become increasingly interested in using stem cell-based assays in its drug discovery and development efforts.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Cell Culture Products</w:t>
      </w:r>
    </w:p>
    <w:p>
      <w:pPr>
        <w:spacing w:after="0" w:line="96"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Stem cell research is a growing and highly specialized field. Because of their nature, stem and progenitor cells are rare and they require specific conditions to survive and thrive. For this reason, researchers require specialized cell culture products that enable the derivation, growth, maintenance, and manipulation of such cells. One of the greatest challenges facing researchers is the limited quality and quantity of stem and progenitor cells available. The challenge is in maintaining the pluripotency or multipotency of stem or progenitor cells in culture, i.e., keeping these cells from differentiating into other cell types, which is their natural tendency. Our cell biology expertise has enabled us to develop and commercialize proprietary cell culture products to optimize the derivation, growth, maintenance, and differentiation of stem cells. In contrast to common industry practice, we have developed media formulations that are free of animal serum and feeder cells (helper cells added to promote cell growth), which are known sources of undesirable agents affecting stem cell performance and safety.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current range of cell culture products, which are sold under the SC Proven brand, includes iSTEM, GS1-R, GS2-M, RHB-A, RHB-Basal, NDiff N2B27, HEScGRO,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ESGROComplete proprietary media. The following table describes each of these in more detail:</w:t>
      </w:r>
    </w:p>
    <w:p>
      <w:pPr>
        <w:sectPr>
          <w:pgSz w:w="11900" w:h="16838" w:orient="portrait"/>
          <w:cols w:equalWidth="0" w:num="1">
            <w:col w:w="10640"/>
          </w:cols>
          <w:pgMar w:left="220" w:top="343" w:right="1039" w:bottom="1440" w:gutter="0" w:footer="0" w:header="0"/>
        </w:sectPr>
      </w:pPr>
    </w:p>
    <w:p>
      <w:pPr>
        <w:spacing w:after="0" w:line="9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iSTEM</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RHB-A</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RHB-Basal</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NDiff N2B27</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HEScGRO</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ESGRO Complete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GS1-R</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GS2-M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 serum-free, feeder-free medium that maintains mouse embryonic stem cells in their pluripotent “ground state” by using selective small molecule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inhibitors to block the pathways which induce differentiation.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 defined, serum-free culture medium for the selective culture of human and mouse neural stem (NS) cells and their maintenance and expansion as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adherent cell populations.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 defined, serum-free basal medium. When supplemented with specific growth factors, this media is specifically formulated for the propagation and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differentiation of adherent NS cells. RHB-Basal can also be tailored to specific-cell type requirements by the addition of customer preferred supplements.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 defined serum-free medium for the differentiation of mouse embryonic stem cells to neural cell types.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 defined, animal component free medium for the culture and propagation of human embryonic stem cells.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 defined, serum-free medium for the culture and propagation of mouse embryonic stem cells.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The first defined, serum-free media formulation shown to enable the derivation and long-term maintenance of true, germline competent rat embryonic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stem cells without the addition of cytokines or growth factors.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 defined, serum- and feeder-free medium for the derivation and long-term maintenance of true, germline competent mouse iPS cells.</w:t>
      </w:r>
    </w:p>
    <w:p>
      <w:pPr>
        <w:spacing w:after="0" w:line="167" w:lineRule="exact"/>
        <w:rPr>
          <w:sz w:val="20"/>
          <w:szCs w:val="20"/>
          <w:color w:val="auto"/>
        </w:rPr>
      </w:pPr>
    </w:p>
    <w:p>
      <w:pPr>
        <w:sectPr>
          <w:pgSz w:w="11900" w:h="16838" w:orient="portrait"/>
          <w:cols w:equalWidth="0" w:num="2">
            <w:col w:w="1860" w:space="720"/>
            <w:col w:w="8060"/>
          </w:cols>
          <w:pgMar w:left="220" w:top="343" w:right="103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i w:val="1"/>
          <w:iCs w:val="1"/>
          <w:color w:val="auto"/>
        </w:rPr>
        <w:t>Cell-based Assays for Drug Discovery and Development</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pharmaceutical industry has recognized that cell-based assays could reduce the time and cost associated with drug discovery and development by providing a more predictive and physiologically relevant platform earlier in the development process. Today, pharmaceutical companies and other research institutions actively use human and animal cells in their drug discovery and development efforts, and they are increasingly interested in using stem cells for those efforts. We believe stem cell-based drug assays will offer a number of advantages over primary cell-based assays. Stem and progenitor cells can be grown more easily and consistently than most tissue-specific primary cells, which is a key advantage for repetitive testing. Moreover, stem cells can be differentiated into a wide range of cell types, thereby enabling testing against specific cell types.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Because of our leading position in the neural stem cell field, we are initially focusing our cell-based assay development efforts on the CNS field. Neural stem cells can differentiate into the three cell types of the nervous system — neurons, astrocytes, and oligodendrocytes — and therefore have utility in the discovery and development of compounds to treat disorders of the central nervous system. For example, neural stem cells could be differentiated into specific neuronal cell types to test for certain indications (eg, dopaminergic neurons for Parkinson’s disease). Moreover, neural stem cells may provide a range of assays to test for neural toxicity. We have tested thousands of compounds on human neural stem cells and have identified a number of compounds that cause proliferation of these cells, and are continuing research and development into additional CNS assay platforms.</w:t>
      </w:r>
    </w:p>
    <w:p>
      <w:pPr>
        <w:spacing w:after="0" w:line="55"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also believe that our hLEC cells may be useful in cell-based assays to test for liver toxicity. Liver toxicity is believed to be the most often cited cause of clinical trial failures and drug product withdrawals. This is a major issue for the pharmaceutical industry, and it is estimated that the industry spends approximately $200 million per year on hepatocyte preparations for use in toxicology screening.</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own or have exclusively licensed a number of patents related to technologies relevant to cell-based research. These include patents related to certain mammalian pluripotent and multipotent stem cells, cellular reprogramming, genetic manipulation of stem cells, the creation of genetically engineered animals used for research, technologies that facilitate the identification and isolation of specific stem cell types, and media formulations for the culture of stem cells. See “Patents, Proprietary Rights and Licenses,” below.</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Manufacturing</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We have made considerable investments in our manufacturing operations. We believe that we have the ability to process cells suitable for use in our ongoing and planned therapeutic products research and development activities and clinical trials. We believe we also have sufficient ability to process our cell culture media and reagent products that we are currently selling commercially, and that we have sufficient resources to add additional media and reagent manufacturing capacity should the business need arise.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Marketing</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Because of the early stage of our stem and progenitor cell-based therapeutic product development programs, we have not yet addressed questions of channels of distribution or marketing of potential future products. We sell and ship our proprietary cell culture products directly from our facility in Cambridge, England. Customers can order these products through our dedicated website (</w:t>
      </w:r>
      <w:r>
        <w:rPr>
          <w:rFonts w:ascii="Arial" w:cs="Arial" w:eastAsia="Arial" w:hAnsi="Arial"/>
          <w:sz w:val="13"/>
          <w:szCs w:val="13"/>
          <w:u w:val="single" w:color="auto"/>
          <w:color w:val="auto"/>
        </w:rPr>
        <w:t>www.scproven.com</w:t>
      </w:r>
      <w:r>
        <w:rPr>
          <w:rFonts w:ascii="Arial" w:cs="Arial" w:eastAsia="Arial" w:hAnsi="Arial"/>
          <w:sz w:val="13"/>
          <w:szCs w:val="13"/>
          <w:color w:val="auto"/>
        </w:rPr>
        <w:t>). In addition, we have a number of co-exclusive distribution agreements with Millipore Corporation for the marketing and sale of certain of our cell culture products, including HEScGRO and ESGRO Complete.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96"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color w:val="auto"/>
        </w:rPr>
        <w:t>As of December 31, 2009, we had 75 full-time employees, 20 of whom have Ph.D., M.D. or D.V.M. degrees. 59 full-time employees work in research and development and laboratory support services. No employees are covered by collective bargaining agreements. We consider our employee relations in general to be good.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Proprietary Rights and Licenses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believe that proprietary protection of our inventions will be critical to our future business. We vigorously seek out intellectual property that we believe might be useful in connection with our products, and have an active program of protecting our intellectual property. We may also from time to time seek to acquire licenses to important externally developed technologies.</w:t>
      </w:r>
    </w:p>
    <w:p>
      <w:pPr>
        <w:spacing w:after="0" w:line="67"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these cells. We also own or have exclusive rights to exploit a number of patents that claim tools and techniques important to cell-based research. A number of these patents were acquired from SCS in April 2009. As of December 31, 2009, our U.S. patent portfolio included approximately 50 issued or allowed U.S. patents from over 40 separate patent families. We also have foreign counterparts to a majority of our U.S. patents and applications; a substantial number of these have issued in various countries, making a total of over 200 granted or allowed non-U.S. patents as of December 31, 2009.</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significant U.S. patents covering stem and progenitor cells are:</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Patent No. 5,968,829, entitled “Human CNS Neural Stem Cells,” which covers our composition of matter for human CNS stem cells;</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Patent No. 7,361,505, entitled “Multipotent neural stem cell compositions,” which covers human neural stem cells derived from any tissue source, including embryonic, fetal, juvenile, or adult tissue;</w:t>
      </w:r>
    </w:p>
    <w:p>
      <w:pPr>
        <w:spacing w:after="0" w:line="49"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Patent No. 7,153,686, entitled “Enriched Central Nervous System Stem Cell and Progenitor Cell Populations, and Methods for Identifying, Isolating and Enriching such Populations,” which claims the composition of matter of various antibody-selected neural stem cell populations;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Patent No. 6,777,233, entitled “Cultures of Human CNS Neural Stem Cells,” which discloses a neural stem cell culture with a doubling rate of 5 to 10 days;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6,497,872, entitled “Neural transplantation using proliferated multipotent neural stem cells and their progeny,” which covers transplanting any neural stem cells or their differentiated progeny, whether the cells have been cultured in suspension or as adherent cells, for the treatment of any disease;</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6,468,794, entitled “Enriched central nervous system stem cell and progenitor cell populations, and methods for identifying, isolating and enriching for such populations,” which covers the identification and purification of the human CNS stem cell;</w:t>
      </w:r>
    </w:p>
    <w:p>
      <w:pPr>
        <w:spacing w:after="0" w:line="49" w:lineRule="exact"/>
        <w:rPr>
          <w:rFonts w:ascii="Arial" w:cs="Arial" w:eastAsia="Arial" w:hAnsi="Arial"/>
          <w:sz w:val="13"/>
          <w:szCs w:val="13"/>
          <w:color w:val="auto"/>
        </w:rPr>
      </w:pPr>
    </w:p>
    <w:p>
      <w:pPr>
        <w:ind w:left="1280" w:right="38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U.S. Patent Nos. 6,238,922 and 7,049,141, both entitled “Use of collagenase in the preparation of neural stem cell cultures,” which describe methods to advance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culture and passage of human CNS stem cells that result in a 100-fold increase in CNS stem and progenitor cell production after 6 passages;</w:t>
      </w:r>
    </w:p>
    <w:p>
      <w:pPr>
        <w:spacing w:after="0" w:line="25" w:lineRule="exact"/>
        <w:rPr>
          <w:rFonts w:ascii="Arial" w:cs="Arial" w:eastAsia="Arial" w:hAnsi="Arial"/>
          <w:sz w:val="12"/>
          <w:szCs w:val="12"/>
          <w:color w:val="auto"/>
        </w:rPr>
      </w:pPr>
    </w:p>
    <w:p>
      <w:pPr>
        <w:ind w:left="128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U.S. Patent No. 5,851,832, entitled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growth and proliferation of multipotent neural stem cells and their progeny,” which covers our methods for selecting the human CNS cell cultures containing central nervous system stem cells, for compositions of human CNS cells expanded by these methods, and for use of cells derived from these cultures in human transplantation;</w:t>
      </w:r>
    </w:p>
    <w:p>
      <w:pPr>
        <w:spacing w:after="0" w:line="57" w:lineRule="exact"/>
        <w:rPr>
          <w:rFonts w:ascii="Arial" w:cs="Arial" w:eastAsia="Arial" w:hAnsi="Arial"/>
          <w:sz w:val="13"/>
          <w:szCs w:val="13"/>
          <w:color w:val="auto"/>
        </w:rPr>
      </w:pPr>
    </w:p>
    <w:p>
      <w:pPr>
        <w:ind w:left="1280" w:right="24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U.S. Patent No. 6,294,346, entitled “Use of multipotent neural stem cells and their progeny for the screening of drugs and other biological agents,” which describes the use of human neural stem cells as a tool for screening the effects of drugs and other biological agents on such cells, such as small molecule toxicology studies;</w:t>
      </w:r>
    </w:p>
    <w:p>
      <w:pPr>
        <w:spacing w:after="0" w:line="25" w:lineRule="exact"/>
        <w:rPr>
          <w:rFonts w:ascii="Arial" w:cs="Arial" w:eastAsia="Arial" w:hAnsi="Arial"/>
          <w:sz w:val="12"/>
          <w:szCs w:val="12"/>
          <w:color w:val="auto"/>
        </w:rPr>
      </w:pPr>
    </w:p>
    <w:p>
      <w:pPr>
        <w:ind w:left="1280" w:right="3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7,211,404, entitled “Liver engrafting cells, assays, and uses thereof,” which covers the isolation and use of an enriched population of hepatic liver engrafting cells; and</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7,381,261, entitled “Enriched central nervous system stem cell and progenitor cell populations, and methods for identifying, isolating and enriching for such populations,” which covers the use of additional monoclonal antibodies for the prospective isolation of rare cells from human neural tissue.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significant U.S. patents covering cell-based research tools and technologies are:</w:t>
      </w:r>
    </w:p>
    <w:p>
      <w:pPr>
        <w:spacing w:after="0" w:line="96" w:lineRule="exact"/>
        <w:rPr>
          <w:sz w:val="20"/>
          <w:szCs w:val="20"/>
          <w:color w:val="auto"/>
        </w:rPr>
      </w:pPr>
    </w:p>
    <w:p>
      <w:pPr>
        <w:ind w:left="1280" w:right="180" w:hanging="190"/>
        <w:spacing w:after="0" w:line="320"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U.S. Patent Nos. 7,005,299 and 6,150,169, both entitled “Expression of heterologous genes according to a targeted expression profile,” which cover the use of a gene sequence called IRES (internal ribosome entry site), a pivotal technology to target exogeneous gene expression in stem cells, thereby facilitating their identification and use;</w:t>
      </w:r>
    </w:p>
    <w:p>
      <w:pPr>
        <w:spacing w:after="0" w:line="25"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6,878,542 and 7,256,041, both entitled “Isolation, selection and propagation of animal transgenic stem cells,” and U.S. Patent No. 6,146,888, entitled “Method of enriching for mammalian stem cells,” which cover the isolation of stem cells using a nucleic acid construct including a selectable marker;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7,371,573, entitled “Propagation and/or derivation of embryonic stem cells,” which covers methods of culturing and deriving embryonic stem cells using LIF and MEK inhibitor.</w:t>
      </w:r>
    </w:p>
    <w:p>
      <w:pPr>
        <w:spacing w:after="0" w:line="59"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Since our acquisition of substantially all of the operating assets and liabilities of SCS in April 2009, we have received notice of either the issuance or the allowance of the following stem cell patents, all of which are either owned by, or exclusively licensed to, us: (i) two patents claiming cell culture media (New Zealand Pat. No. 547105 and U.S. Pat. No. 7,595,193);</w:t>
      </w:r>
    </w:p>
    <w:p>
      <w:pPr>
        <w:ind w:left="680" w:right="60" w:firstLine="7"/>
        <w:spacing w:after="0" w:line="258" w:lineRule="auto"/>
        <w:tabs>
          <w:tab w:leader="none" w:pos="873"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five patents claiming research technologies, including one for the derivation of genetically modified rats using embryonic stem cell technologies (U.S. 7,598,082, J.P. No. 4375759, EPO No. 1115840, U.K. Pat. No. 0716426.2, and U.S. Pat. App. 10/502,972); and (iii) two patents claiming either the proliferation or modification of neural stem cells (J.P. No. 4416837 and Finnish Pat. No. 120455). In January 2010, we also received notice of an hLEC patent allowance in Japan (Pat. App. No. 2003-507235).</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also rely upon trade-secret protection for our proprietary information and know-how, and we take active measures to control access to this information. We believe that our know-how will also provide a significant competitive advantage.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policy is to require our employees, consultants and significant scientific collaborators and sponsored researchers to execute confidentiality agreements upon the commencement of any employment or consulting relationship with us. These agreements generally provide that all confidential information disclosed by us or developed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will be our exclusive property.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Licenses with Research Institutions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have entered into a number of license agreements with academic organizations, including the University of Edinburgh, the California Institute of Technology (Cal Tech), Cambridge University, RIKEN Institute, and Oregon Health &amp; Science University (OHSU). Under these license agreements, we are typically subject to obligations of due diligence and the requirement to pay royalties on products that use patented technology licensed under these agreements. The license agreements with some of these institutions relate largely to stem or progenitor cells or to processes and methods for the isolation, identification, expansion, or culturing of stem or progenitor cells. The license agreement with the University of Edinburgh covers a range of stem cell technologies.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We can terminate these license agreements at any time upon notice.</w:t>
      </w:r>
    </w:p>
    <w:p>
      <w:pPr>
        <w:spacing w:after="0" w:line="7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January 2006, we entered into an exclusive, world-wide license agreement with the University of Edinburgh covering approximately twelve separate patent families in the stem cell field. Since then, the parties added some additional patent families and dropped some patent families which were not considered core to our business activities. Today, the license agreement covers thirteen patent families, including several that cover culture media and research technologies, one that covers purified populations of neural stem cells, some that cover cell reprogramming technologies, and one that covers the manipulation and use of embryonic stem cells for the derivation of research animal models, such as knock-out rats, with one or more missing genes. Under the license agreement, we have the exclusive right to commercialize the technologies in all fields. We have been paying royalties to the University of Edinburgh on the commercial sale of certain SC Proven products, and will pay royalties on all net sales of products covered by any of the intellectual property licensed under this agreement.</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Pursuant to the terms of our license agreement with Cal Tech, we must pay $10,000 upon the issuance of the first patent in each family licensed to us under the relevant agreement and $5,000 on the first anniversary of the issuance of each such patent, payable in cash or common stock at our option. We have paid $70,000 on account of these patents through December 31, 2008; the $10,000 due in 2009 was paid in common stock (5,900 shares). These amounts are creditable against royalties we must pay under the license agreements. The maximum royalties that we will have to pay to Cal Tech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 we have also issued 9,535 shares of our common stock with a market value of approximately $15,000 to Cal Tech on the issuance of two patents covered under this additional license.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Licenses with Commercial Entities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NeuroSpheres, Ltd.</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March 1994, we entered into a contract research and license agreement with NeuroSpheres, Ltd., an Alberta corporation (NeuroSpheres),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1" w:lineRule="auto"/>
        <w:rPr>
          <w:sz w:val="20"/>
          <w:szCs w:val="20"/>
          <w:color w:val="auto"/>
        </w:rPr>
      </w:pPr>
      <w:r>
        <w:rPr>
          <w:rFonts w:ascii="Arial" w:cs="Arial" w:eastAsia="Arial" w:hAnsi="Arial"/>
          <w:sz w:val="12"/>
          <w:szCs w:val="12"/>
          <w:color w:val="auto"/>
        </w:rPr>
        <w:t>an exclusive license in the field of non-transplant uses, such as drug discovery and drug testing and clarified our rights under NeuroSpheres patents for generating cells of the blood and immune system from neural stem cells. Together, our rights under the licenses are exclusive for all uses of the technology. We made up-front payments to NeuroSpheres of 65,000 shares of our common stock in October 2000 and $50,000 in January 2001, and we will make additional cash payments when milestones are achieved under the terms of the October 2000 agreement. In addition, in October 2000 we reimbursed NeuroSpheres for patent costs amounting to $341,000. Milestone payments, payable at various stages in the development of potential products, would total $500,000 for each product that is approved for market. In addition, beginning in 2004, annual payments of $50,000 became due, payable by the last day of the year and fully creditable against royalties due to NeuroSpheres under the October 2000 Agreement. Our agreements with NeuroSpheres will terminate at the expiration of all patents licensed to us, but can terminate earlier if we breach our obligations under the agreement and do not cure the breach, or if we declare bankruptcy.</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July 9, 2008, we amended our 1997 and 2000 license agreements with NeuroSpheres. Six of the patents covered by the license agreements are the basis of our patent infringement suits against Neuralstem. Under the terms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ReNeuron Limited</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in 2006 and 2007, as a result of certain anti-dilution provisions in the agreement, we received approximately 1,261,000 more shares, net of approximately 18,000 shares that were transferred to NeuroSpheres. In February 2007, we sold 5,275,000 shares for net proceeds of approximately $3,077,000, and we recognized a realized gain of approximately $716,000 from this transaction. In February and March of 2009, we sold, in aggregate, approximately 2,900,000 more shares and received net proceeds of approximately $510,000, and we recognized a realized gain of approximately $398,000 from these transactions. As of December 31, 2009, we held approximately 1,922,000 shares of ReNeuron as marketable equity securities with a carrying and fair market value of approximately $197,000. See Note 2 “Financial Instruments — ReNeuron” and “Quantitative and Qualitative Disclosures about Market Risk” in Part I, Item 7A of this Form 10-K for further information.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Stem Cell Therapeutics Corp.</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August 2006, we entered into an agreement with Stem Cell Therapeutics Corp. (SCT), a Canadian corporation listed on the Toronto Stock Exchange, granting it a non-exclusive, royalty-bearing license to use several of our patents for treating specified diseases of the central nervous system; the grant does not include any rights to cell transplantation. SCT granted us a royalty-free non-exclusive license to certain of its patents for research and development and a royalty-bearing non-exclusive license for certain commercial purposes. SCT paid an up-front license fee; the license also provides for other payments including annual maintenance, milestones and royalties.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Commercial Licenses</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have approximately a dozen other license agreements with commercial entities, which we entered into in the ordinary course of business to monetize certain of our patents. A number of these include sublicenses to certain patents exclusively licensed to us from either NeuroSpheres or the University of Edinburgh. Some of these are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license agreements to commercialize cells. A number of these are license agreements to our research tools patents, such as the IRES and selectable marker technologies described above. We have an on-going licensing program at the Company with the goal of identifying likely infringers of our intellectual property rights in order to generate license revenues.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Members of our Scientific Advisory Board provide us with strategic guidance primarily in regard to our therapeutic products research and development programs, as well as assistance in recruiting employees and collaborators. Each Scientific Advisory Board member has entered into a consulting agreement with us. These consulting agreements specify the compensation to be paid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arrangements if we determine that there is such a conflict.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persons are members of our Scientific Advisory Board:</w:t>
      </w:r>
    </w:p>
    <w:p>
      <w:pPr>
        <w:spacing w:after="0" w:line="96" w:lineRule="exact"/>
        <w:rPr>
          <w:sz w:val="20"/>
          <w:szCs w:val="20"/>
          <w:color w:val="auto"/>
        </w:rPr>
      </w:pPr>
    </w:p>
    <w:p>
      <w:pPr>
        <w:ind w:left="1280" w:hanging="190"/>
        <w:spacing w:after="0" w:line="276"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Irving L. Weissman, M.D., Chairman of our Scientific Advisory Board, is the Virginia and Daniel K. Ludwig Professor of Cancer Research, Professor of Pathology and Professor of Developmental Biology at Stanford University, Director of the Stanford University Institute for Stem Cell Biology and Regenerative Medicine, and Director of the Stanford Comprehensive Cancer Center, all in Stanford, California. Dr. Weissman’s lab was responsible for the discovery and isolation of the first ever mammalian tissue stem cell, the hematopoietic (blood-forming) stem cell. Dr. Weissman was responsible for the formation of three stem cell companies, SyStemix, Inc., StemCells, Inc. and Cellerant, Inc.</w:t>
      </w:r>
    </w:p>
    <w:p>
      <w:pPr>
        <w:spacing w:after="0" w:line="1" w:lineRule="exact"/>
        <w:rPr>
          <w:rFonts w:ascii="Arial" w:cs="Arial" w:eastAsia="Arial" w:hAnsi="Arial"/>
          <w:sz w:val="12"/>
          <w:szCs w:val="12"/>
          <w:color w:val="auto"/>
        </w:rPr>
      </w:pPr>
    </w:p>
    <w:p>
      <w:pPr>
        <w:ind w:left="1280" w:right="20"/>
        <w:spacing w:after="0" w:line="276" w:lineRule="auto"/>
        <w:rPr>
          <w:rFonts w:ascii="Arial" w:cs="Arial" w:eastAsia="Arial" w:hAnsi="Arial"/>
          <w:sz w:val="12"/>
          <w:szCs w:val="12"/>
          <w:color w:val="auto"/>
        </w:rPr>
      </w:pPr>
      <w:r>
        <w:rPr>
          <w:rFonts w:ascii="Arial" w:cs="Arial" w:eastAsia="Arial" w:hAnsi="Arial"/>
          <w:sz w:val="12"/>
          <w:szCs w:val="12"/>
          <w:color w:val="auto"/>
        </w:rPr>
        <w:t>Dr. Weissman co-discovered the mammalian and human hematopoietic stem cells and the human neural stem cell. He has extended these stem cell discoveries to cancer and leukemia, discovering the leukemic stem cells in human and mouse acute or blast crisis myeloid leukemias, and has enriched the cancer stem cells in several human brain cancers as well as human head and neck squamous cell carcinoma. Past achievements of Dr. Weissman’s laboratory include identification of the states of development between stem cells and mature blood cells, the discovery and molecular isolation and characterization of lymphocyte and stem cell homing receptors, and identification of the states of thymic lymphocyte development. His laboratory at Stanford has developed accurate mouse models of human leukemias, and has shown the central role of inhibition of programmed cell death in that process. He has also established the evolutionary origins of pre-vertebrate stem cells, and identified and cloned the transplantation genes that prevent their passage from one organism to another. Dr. Weissman has been elected to the National Academy of Science, the Institute of Medicine of the National Academies, the American Academy of Arts and Sciences, the American Society of Microbiology, and several other societies. He has received the Kaiser Award for Excellence in Preclinical Teaching, the Pasarow Foundation Award for Cancer Research, the California Scientist of the Year (2002), the Kovalenko Medal of the National Academy of Sciences, the Elliott Joslin Medal for Diabetes Research, the de Villiers Award for Leukemia Research, the Irvington Award for Immunologist of the Year, the Bass Award of the Society of Neurosurgeons, the New York Academy of Medicine Award for Medical Research, the Alan Cranston Award for Aging Research, the Linus Pauling Award for Biomedical Research, the E. Donnall Thomas Award for Hematology Research, the van Bekkum Award for Stem Cell Research, the Outstanding Investigator Award from the National Institutes of Health, Robert Koch Award for research in the hemopoieteic system, and many other awards.</w:t>
      </w:r>
    </w:p>
    <w:p>
      <w:pPr>
        <w:spacing w:after="0" w:line="52" w:lineRule="exact"/>
        <w:rPr>
          <w:rFonts w:ascii="Arial" w:cs="Arial" w:eastAsia="Arial" w:hAnsi="Arial"/>
          <w:sz w:val="12"/>
          <w:szCs w:val="12"/>
          <w:color w:val="auto"/>
        </w:rPr>
      </w:pPr>
    </w:p>
    <w:p>
      <w:pPr>
        <w:ind w:left="1280" w:right="60" w:hanging="190"/>
        <w:spacing w:after="0" w:line="258"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David J. Anderson, Ph.D., is Roger W. Sperry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oligodendrocytes,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800"/>
        <w:spacing w:after="0" w:line="257" w:lineRule="auto"/>
        <w:rPr>
          <w:sz w:val="20"/>
          <w:szCs w:val="20"/>
          <w:color w:val="auto"/>
        </w:rPr>
      </w:pPr>
      <w:r>
        <w:rPr>
          <w:rFonts w:ascii="Arial" w:cs="Arial" w:eastAsia="Arial" w:hAnsi="Arial"/>
          <w:sz w:val="13"/>
          <w:szCs w:val="13"/>
          <w:color w:val="auto"/>
        </w:rPr>
        <w:t>myelinating glia of the central nervous system, as well as factors for astrocyte differentiation. Dr. Anderson is a co-founder of the Company and was a founding member of the scientific advisory board of the International Society for Stem Cell Research. Dr. Anderson also serves on the scientific advisory board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the 1999 W. Alden Spencer Award in Neurobiology from Columbia University, and the Alexander von Humboldt Foundation Award. Dr. Anderson has been elected to the National Academy of Science and is a member of the American Academy of Arts and Sciences.</w:t>
      </w:r>
    </w:p>
    <w:p>
      <w:pPr>
        <w:spacing w:after="0" w:line="72" w:lineRule="exact"/>
        <w:rPr>
          <w:sz w:val="20"/>
          <w:szCs w:val="20"/>
          <w:color w:val="auto"/>
        </w:rPr>
      </w:pPr>
    </w:p>
    <w:p>
      <w:pPr>
        <w:ind w:left="1280" w:right="840" w:hanging="190"/>
        <w:spacing w:after="0" w:line="281"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Fred H. Gage, Ph.D., is Professor, Laboratory of Genetics, The Salk Institute for Biological Studies, La Jolla, California and Adjunct Professor, Department of Neurosciences, University of California, San Diego, California. Dr. Gage’s lab was the first to discover Neurogenesis in the adult human brain. His research focus is on the development of strategies to induce recovery of function following central nervous system damage. Dr. Gage is a co-founder of StemCells and of BrainCells, Inc., and a member of the scientific advisory board of each. Dr. Gage also serves on the Scientific Advisory Board of Ceregene, Inc, and he is a founding member of the scientific advisory board of the International Society for Stem Cell Research. Dr. Gage has been the recipient of numerous awards, including the 1993 Charles A. Dana Award for Pioneering Achievements in Health and Education, the Christopher Reeves Medal, the Decade of the Brain Medal, the Max-Planck research Prize, and the Pasarow Foundation Award. Professor Gage is a member of the Institute of Medicine, a member of the National Academy of Science, and a Fellow of the American Academy of Arts and Science.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Our research and development activities and the future manufacturing and marketing of our potential therapeutic products are, and will continue to be, subject to regulation for safety and efficacy by numerous governmental authorities in the United States and other countries.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 Regulations</w:t>
      </w:r>
    </w:p>
    <w:p>
      <w:pPr>
        <w:spacing w:after="0" w:line="96" w:lineRule="exact"/>
        <w:rPr>
          <w:sz w:val="20"/>
          <w:szCs w:val="20"/>
          <w:color w:val="auto"/>
        </w:rPr>
      </w:pPr>
    </w:p>
    <w:p>
      <w:pPr>
        <w:ind w:left="680" w:right="920" w:firstLine="399"/>
        <w:spacing w:after="0" w:line="258" w:lineRule="auto"/>
        <w:rPr>
          <w:sz w:val="20"/>
          <w:szCs w:val="20"/>
          <w:color w:val="auto"/>
        </w:rPr>
      </w:pPr>
      <w:r>
        <w:rPr>
          <w:rFonts w:ascii="Arial" w:cs="Arial" w:eastAsia="Arial" w:hAnsi="Arial"/>
          <w:sz w:val="13"/>
          <w:szCs w:val="13"/>
          <w:color w:val="auto"/>
        </w:rPr>
        <w:t>In the United States, pharmaceuticals, biologicals and medical devices are subject to rigorous regulation by the U.S. Food and Drug Administration (FDA). The Federal Food, Drug and Cosmetic Act, the Public Health Service Act, applicable FDA regulations, and other federal and state statutes and regulations govern, among other things, the testing, manufacture,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many jurisdictions, both federal and state, have restrictions on the use of fetal tissue.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Marketing Approval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required before our potential therapeutic products may be marketed in the United States include: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50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tc>
        <w:tc>
          <w:tcPr>
            <w:tcW w:w="6960" w:type="dxa"/>
            <w:vAlign w:val="bottom"/>
          </w:tcPr>
          <w:p>
            <w:pPr>
              <w:ind w:left="374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tc>
      </w:tr>
      <w:tr>
        <w:trPr>
          <w:trHeight w:val="197"/>
        </w:trPr>
        <w:tc>
          <w:tcPr>
            <w:tcW w:w="4500" w:type="dxa"/>
            <w:vAlign w:val="bottom"/>
          </w:tcPr>
          <w:p>
            <w:pPr>
              <w:ind w:left="680"/>
              <w:spacing w:after="0"/>
              <w:rPr>
                <w:sz w:val="20"/>
                <w:szCs w:val="20"/>
                <w:color w:val="auto"/>
              </w:rPr>
            </w:pPr>
            <w:r>
              <w:rPr>
                <w:rFonts w:ascii="Arial" w:cs="Arial" w:eastAsia="Arial" w:hAnsi="Arial"/>
                <w:sz w:val="13"/>
                <w:szCs w:val="13"/>
                <w:color w:val="auto"/>
              </w:rPr>
              <w:t>1. Preclinical laboratory and animal tests</w:t>
            </w:r>
          </w:p>
        </w:tc>
        <w:tc>
          <w:tcPr>
            <w:tcW w:w="6960" w:type="dxa"/>
            <w:vAlign w:val="bottom"/>
          </w:tcPr>
          <w:p>
            <w:pPr>
              <w:ind w:left="1380"/>
              <w:spacing w:after="0"/>
              <w:rPr>
                <w:sz w:val="20"/>
                <w:szCs w:val="20"/>
                <w:color w:val="auto"/>
              </w:rPr>
            </w:pPr>
            <w:r>
              <w:rPr>
                <w:rFonts w:ascii="Arial" w:cs="Arial" w:eastAsia="Arial" w:hAnsi="Arial"/>
                <w:sz w:val="13"/>
                <w:szCs w:val="13"/>
                <w:color w:val="auto"/>
              </w:rPr>
              <w:t>Preclinical tests include laboratory evaluation of the cells and the formulation intended for</w:t>
            </w:r>
          </w:p>
        </w:tc>
      </w:tr>
      <w:tr>
        <w:trPr>
          <w:trHeight w:val="157"/>
        </w:trPr>
        <w:tc>
          <w:tcPr>
            <w:tcW w:w="4500" w:type="dxa"/>
            <w:vAlign w:val="bottom"/>
          </w:tcPr>
          <w:p>
            <w:pPr>
              <w:spacing w:after="0"/>
              <w:rPr>
                <w:sz w:val="13"/>
                <w:szCs w:val="13"/>
                <w:color w:val="auto"/>
              </w:rPr>
            </w:pPr>
          </w:p>
        </w:tc>
        <w:tc>
          <w:tcPr>
            <w:tcW w:w="6960" w:type="dxa"/>
            <w:vAlign w:val="bottom"/>
          </w:tcPr>
          <w:p>
            <w:pPr>
              <w:ind w:left="1380"/>
              <w:spacing w:after="0"/>
              <w:rPr>
                <w:sz w:val="20"/>
                <w:szCs w:val="20"/>
                <w:color w:val="auto"/>
              </w:rPr>
            </w:pPr>
            <w:r>
              <w:rPr>
                <w:rFonts w:ascii="Arial" w:cs="Arial" w:eastAsia="Arial" w:hAnsi="Arial"/>
                <w:sz w:val="13"/>
                <w:szCs w:val="13"/>
                <w:color w:val="auto"/>
              </w:rPr>
              <w:t xml:space="preserve">use in humans for quality and consistency.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studies are performed in normal animals</w:t>
            </w:r>
          </w:p>
        </w:tc>
      </w:tr>
      <w:tr>
        <w:trPr>
          <w:trHeight w:val="157"/>
        </w:trPr>
        <w:tc>
          <w:tcPr>
            <w:tcW w:w="4500" w:type="dxa"/>
            <w:vAlign w:val="bottom"/>
          </w:tcPr>
          <w:p>
            <w:pPr>
              <w:spacing w:after="0"/>
              <w:rPr>
                <w:sz w:val="13"/>
                <w:szCs w:val="13"/>
                <w:color w:val="auto"/>
              </w:rPr>
            </w:pPr>
          </w:p>
        </w:tc>
        <w:tc>
          <w:tcPr>
            <w:tcW w:w="6960" w:type="dxa"/>
            <w:vAlign w:val="bottom"/>
          </w:tcPr>
          <w:p>
            <w:pPr>
              <w:ind w:left="1380"/>
              <w:spacing w:after="0"/>
              <w:rPr>
                <w:sz w:val="20"/>
                <w:szCs w:val="20"/>
                <w:color w:val="auto"/>
              </w:rPr>
            </w:pPr>
            <w:r>
              <w:rPr>
                <w:rFonts w:ascii="Arial" w:cs="Arial" w:eastAsia="Arial" w:hAnsi="Arial"/>
                <w:sz w:val="13"/>
                <w:szCs w:val="13"/>
                <w:color w:val="auto"/>
              </w:rPr>
              <w:t>and specific disease models to assess the potential safety and efficacy of the cell therapy</w:t>
            </w:r>
          </w:p>
        </w:tc>
      </w:tr>
      <w:tr>
        <w:trPr>
          <w:trHeight w:val="165"/>
        </w:trPr>
        <w:tc>
          <w:tcPr>
            <w:tcW w:w="4500" w:type="dxa"/>
            <w:vAlign w:val="bottom"/>
          </w:tcPr>
          <w:p>
            <w:pPr>
              <w:spacing w:after="0"/>
              <w:rPr>
                <w:sz w:val="14"/>
                <w:szCs w:val="14"/>
                <w:color w:val="auto"/>
              </w:rPr>
            </w:pPr>
          </w:p>
        </w:tc>
        <w:tc>
          <w:tcPr>
            <w:tcW w:w="6960" w:type="dxa"/>
            <w:vAlign w:val="bottom"/>
          </w:tcPr>
          <w:p>
            <w:pPr>
              <w:ind w:left="1380"/>
              <w:spacing w:after="0"/>
              <w:rPr>
                <w:sz w:val="20"/>
                <w:szCs w:val="20"/>
                <w:color w:val="auto"/>
              </w:rPr>
            </w:pPr>
            <w:r>
              <w:rPr>
                <w:rFonts w:ascii="Arial" w:cs="Arial" w:eastAsia="Arial" w:hAnsi="Arial"/>
                <w:sz w:val="13"/>
                <w:szCs w:val="13"/>
                <w:color w:val="auto"/>
              </w:rPr>
              <w:t>product.</w:t>
            </w:r>
          </w:p>
        </w:tc>
      </w:tr>
      <w:tr>
        <w:trPr>
          <w:trHeight w:val="452"/>
        </w:trPr>
        <w:tc>
          <w:tcPr>
            <w:tcW w:w="4500" w:type="dxa"/>
            <w:vAlign w:val="bottom"/>
          </w:tcPr>
          <w:p>
            <w:pPr>
              <w:spacing w:after="0"/>
              <w:rPr>
                <w:sz w:val="24"/>
                <w:szCs w:val="24"/>
                <w:color w:val="auto"/>
              </w:rPr>
            </w:pPr>
          </w:p>
        </w:tc>
        <w:tc>
          <w:tcPr>
            <w:tcW w:w="6960" w:type="dxa"/>
            <w:vAlign w:val="bottom"/>
          </w:tcPr>
          <w:p>
            <w:pPr>
              <w:ind w:left="1120"/>
              <w:spacing w:after="0"/>
              <w:rPr>
                <w:sz w:val="20"/>
                <w:szCs w:val="20"/>
                <w:color w:val="auto"/>
              </w:rPr>
            </w:pPr>
            <w:r>
              <w:rPr>
                <w:rFonts w:ascii="Arial" w:cs="Arial" w:eastAsia="Arial" w:hAnsi="Arial"/>
                <w:sz w:val="13"/>
                <w:szCs w:val="13"/>
                <w:color w:val="auto"/>
              </w:rPr>
              <w:t>17</w:t>
            </w:r>
          </w:p>
        </w:tc>
      </w:tr>
      <w:tr>
        <w:trPr>
          <w:trHeight w:val="163"/>
        </w:trPr>
        <w:tc>
          <w:tcPr>
            <w:tcW w:w="4500" w:type="dxa"/>
            <w:vAlign w:val="bottom"/>
            <w:tcBorders>
              <w:bottom w:val="single" w:sz="8" w:color="808080"/>
            </w:tcBorders>
          </w:tcPr>
          <w:p>
            <w:pPr>
              <w:spacing w:after="0"/>
              <w:rPr>
                <w:sz w:val="14"/>
                <w:szCs w:val="14"/>
                <w:color w:val="auto"/>
              </w:rPr>
            </w:pPr>
          </w:p>
        </w:tc>
        <w:tc>
          <w:tcPr>
            <w:tcW w:w="6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tc>
        <w:tc>
          <w:tcPr>
            <w:tcW w:w="6600" w:type="dxa"/>
            <w:vAlign w:val="bottom"/>
          </w:tcPr>
          <w:p>
            <w:pPr>
              <w:ind w:left="338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tc>
      </w:tr>
      <w:tr>
        <w:trPr>
          <w:trHeight w:val="197"/>
        </w:trPr>
        <w:tc>
          <w:tcPr>
            <w:tcW w:w="4860" w:type="dxa"/>
            <w:vAlign w:val="bottom"/>
          </w:tcPr>
          <w:p>
            <w:pPr>
              <w:ind w:left="680"/>
              <w:spacing w:after="0"/>
              <w:rPr>
                <w:sz w:val="20"/>
                <w:szCs w:val="20"/>
                <w:color w:val="auto"/>
              </w:rPr>
            </w:pPr>
            <w:r>
              <w:rPr>
                <w:rFonts w:ascii="Arial" w:cs="Arial" w:eastAsia="Arial" w:hAnsi="Arial"/>
                <w:sz w:val="13"/>
                <w:szCs w:val="13"/>
                <w:color w:val="auto"/>
              </w:rPr>
              <w:t>2. Submission of an Investigational New Drug (IND) application</w:t>
            </w:r>
          </w:p>
        </w:tc>
        <w:tc>
          <w:tcPr>
            <w:tcW w:w="6600" w:type="dxa"/>
            <w:vAlign w:val="bottom"/>
          </w:tcPr>
          <w:p>
            <w:pPr>
              <w:ind w:left="1020"/>
              <w:spacing w:after="0"/>
              <w:rPr>
                <w:sz w:val="20"/>
                <w:szCs w:val="20"/>
                <w:color w:val="auto"/>
              </w:rPr>
            </w:pPr>
            <w:r>
              <w:rPr>
                <w:rFonts w:ascii="Arial" w:cs="Arial" w:eastAsia="Arial" w:hAnsi="Arial"/>
                <w:sz w:val="13"/>
                <w:szCs w:val="13"/>
                <w:color w:val="auto"/>
              </w:rPr>
              <w:t>The IND is a regulatory document submitted to the FDA with preclinical and</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manufacturing data, a proposed development plan and a proposed protocol for a study in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humans. The IND becomes effective 30 days following receipt by the FDA, provided there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are no questions, requests for delay or objections from the FDA. If the FDA has questions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or concerns, it notifies the sponsor, and the IND will then be on clinical hold until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sponsor responds satisfactorily. In general an IND must become effective before U.S.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 clinical trials may commence.</w:t>
            </w:r>
          </w:p>
        </w:tc>
      </w:tr>
      <w:tr>
        <w:trPr>
          <w:trHeight w:val="157"/>
        </w:trPr>
        <w:tc>
          <w:tcPr>
            <w:tcW w:w="4860" w:type="dxa"/>
            <w:vAlign w:val="bottom"/>
          </w:tcPr>
          <w:p>
            <w:pPr>
              <w:ind w:left="680"/>
              <w:spacing w:after="0"/>
              <w:rPr>
                <w:sz w:val="20"/>
                <w:szCs w:val="20"/>
                <w:color w:val="auto"/>
              </w:rPr>
            </w:pPr>
            <w:r>
              <w:rPr>
                <w:rFonts w:ascii="Arial" w:cs="Arial" w:eastAsia="Arial" w:hAnsi="Arial"/>
                <w:sz w:val="13"/>
                <w:szCs w:val="13"/>
                <w:color w:val="auto"/>
              </w:rPr>
              <w:t>3. Human clinical trials</w:t>
            </w:r>
          </w:p>
        </w:tc>
        <w:tc>
          <w:tcPr>
            <w:tcW w:w="6600" w:type="dxa"/>
            <w:vAlign w:val="bottom"/>
          </w:tcPr>
          <w:p>
            <w:pPr>
              <w:ind w:left="1020"/>
              <w:spacing w:after="0"/>
              <w:rPr>
                <w:sz w:val="20"/>
                <w:szCs w:val="20"/>
                <w:color w:val="auto"/>
              </w:rPr>
            </w:pPr>
            <w:r>
              <w:rPr>
                <w:rFonts w:ascii="Arial" w:cs="Arial" w:eastAsia="Arial" w:hAnsi="Arial"/>
                <w:sz w:val="13"/>
                <w:szCs w:val="13"/>
                <w:color w:val="auto"/>
              </w:rPr>
              <w:t>Clinical trials involve the evaluation of a potential product under the supervision of a</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qualified physician, in accordance with a protocol that details the objectives of the study,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the parameters to be used to monitor safety and the efficacy criteria to be evaluated. Each</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protocol is submitted to the FDA as part of the IND. The protocol for each clinical study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must be approved by an independent Institutional Review Board (IRB) of the institution at</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which the study is conducted and the informed consent of all participants must be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obtained. The IRB reviews the existing information on the product, considers ethical</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factors, the safety of human subjects, the potential benefits of the therapy, and the possible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liability of the institution. The IRB is responsible for ongoing safety assessment of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subjects during the clinical investigation.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Clinical development is traditionally conducted in three sequential phases, Phase I, II and</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III.</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Phase I studies for a product are designed to evaluate safety in a small number of subjects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in a selected patient population by assessing adverse effects, and may include multiple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dose levels. This study may also gather preliminary evidence of a beneficial effect on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disease.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Phase II studies typically involve a larger, but still limited, patient population to determine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biological and clinical effects of the investigational product and to identify possible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adverse effects and safety risks of the product in the selected patient population.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Phase III studies are undertaken to demonstrate clinical benefit or effect in a statistically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significant manner and to test further for safety within a broader patient population,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generally at multiple study sites.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The FDA continually reviews the clinical trial plans and results and may suggest changes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or may require discontinuance of any trial at any time if significant safety issues arise.</w:t>
            </w:r>
          </w:p>
        </w:tc>
      </w:tr>
      <w:tr>
        <w:trPr>
          <w:trHeight w:val="157"/>
        </w:trPr>
        <w:tc>
          <w:tcPr>
            <w:tcW w:w="4860" w:type="dxa"/>
            <w:vAlign w:val="bottom"/>
          </w:tcPr>
          <w:p>
            <w:pPr>
              <w:ind w:left="680"/>
              <w:spacing w:after="0"/>
              <w:rPr>
                <w:sz w:val="20"/>
                <w:szCs w:val="20"/>
                <w:color w:val="auto"/>
              </w:rPr>
            </w:pPr>
            <w:r>
              <w:rPr>
                <w:rFonts w:ascii="Arial" w:cs="Arial" w:eastAsia="Arial" w:hAnsi="Arial"/>
                <w:sz w:val="13"/>
                <w:szCs w:val="13"/>
                <w:color w:val="auto"/>
              </w:rPr>
              <w:t>4. Submission of a Biologics Licensing Application (BLA)</w:t>
            </w:r>
          </w:p>
        </w:tc>
        <w:tc>
          <w:tcPr>
            <w:tcW w:w="6600" w:type="dxa"/>
            <w:vAlign w:val="bottom"/>
          </w:tcPr>
          <w:p>
            <w:pPr>
              <w:ind w:left="1020"/>
              <w:spacing w:after="0"/>
              <w:rPr>
                <w:sz w:val="20"/>
                <w:szCs w:val="20"/>
                <w:color w:val="auto"/>
              </w:rPr>
            </w:pPr>
            <w:r>
              <w:rPr>
                <w:rFonts w:ascii="Arial" w:cs="Arial" w:eastAsia="Arial" w:hAnsi="Arial"/>
                <w:sz w:val="13"/>
                <w:szCs w:val="13"/>
                <w:color w:val="auto"/>
              </w:rPr>
              <w:t>The results of the preclinical studies and clinical studies are submitted to the FDA in an</w:t>
            </w:r>
          </w:p>
        </w:tc>
      </w:tr>
      <w:tr>
        <w:trPr>
          <w:trHeight w:val="165"/>
        </w:trPr>
        <w:tc>
          <w:tcPr>
            <w:tcW w:w="4860" w:type="dxa"/>
            <w:vAlign w:val="bottom"/>
          </w:tcPr>
          <w:p>
            <w:pPr>
              <w:spacing w:after="0"/>
              <w:rPr>
                <w:sz w:val="14"/>
                <w:szCs w:val="14"/>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application for marketing approval authorization.</w:t>
            </w:r>
          </w:p>
        </w:tc>
      </w:tr>
      <w:tr>
        <w:trPr>
          <w:trHeight w:val="295"/>
        </w:trPr>
        <w:tc>
          <w:tcPr>
            <w:tcW w:w="4860" w:type="dxa"/>
            <w:vAlign w:val="bottom"/>
          </w:tcPr>
          <w:p>
            <w:pPr>
              <w:spacing w:after="0"/>
              <w:rPr>
                <w:sz w:val="24"/>
                <w:szCs w:val="24"/>
                <w:color w:val="auto"/>
              </w:rPr>
            </w:pPr>
          </w:p>
        </w:tc>
        <w:tc>
          <w:tcPr>
            <w:tcW w:w="6600" w:type="dxa"/>
            <w:vAlign w:val="bottom"/>
          </w:tcPr>
          <w:p>
            <w:pPr>
              <w:ind w:left="760"/>
              <w:spacing w:after="0"/>
              <w:rPr>
                <w:sz w:val="20"/>
                <w:szCs w:val="20"/>
                <w:color w:val="auto"/>
              </w:rPr>
            </w:pPr>
            <w:r>
              <w:rPr>
                <w:rFonts w:ascii="Arial" w:cs="Arial" w:eastAsia="Arial" w:hAnsi="Arial"/>
                <w:sz w:val="13"/>
                <w:szCs w:val="13"/>
                <w:color w:val="auto"/>
              </w:rPr>
              <w:t>18</w:t>
            </w:r>
          </w:p>
        </w:tc>
      </w:tr>
      <w:tr>
        <w:trPr>
          <w:trHeight w:val="163"/>
        </w:trPr>
        <w:tc>
          <w:tcPr>
            <w:tcW w:w="486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9" w:name="page20"/>
    <w:bookmarkEnd w:id="1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8"/>
          <w:szCs w:val="8"/>
          <w:b w:val="1"/>
          <w:bCs w:val="1"/>
          <w:u w:val="single" w:color="auto"/>
          <w:color w:val="auto"/>
        </w:rPr>
        <w:t>S</w:t>
      </w:r>
      <w:r>
        <w:rPr>
          <w:rFonts w:ascii="Arial" w:cs="Arial" w:eastAsia="Arial" w:hAnsi="Arial"/>
          <w:sz w:val="8"/>
          <w:szCs w:val="8"/>
          <w:b w:val="1"/>
          <w:bCs w:val="1"/>
          <w:color w:val="auto"/>
        </w:rPr>
        <w:t>teps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pacing w:after="0" w:line="72" w:lineRule="exact"/>
        <w:rPr>
          <w:sz w:val="20"/>
          <w:szCs w:val="20"/>
          <w:color w:val="auto"/>
        </w:rPr>
      </w:pPr>
    </w:p>
    <w:p>
      <w:pPr>
        <w:sectPr>
          <w:pgSz w:w="11900" w:h="16838" w:orient="portrait"/>
          <w:cols w:equalWidth="0" w:num="2">
            <w:col w:w="7520" w:space="720"/>
            <w:col w:w="242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5.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6. Post-marketing studies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testing and approval process will require substantial time, effort and expense.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time for approval is affected by a number of factors, including relative risks and benefits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demonstrated in clinical trials, the availability of alternative treatments and the severity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disease. Additional animal studies or clinical trials may be requested during the FDA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review period, which might add to that time. FDA approval of the application(s) is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required prior to any commercial sale or shipment of the therapeutic product. Biologic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product manufacturing facilities located in certain states also may be subject to separate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regulatory and licensing requirements.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After receiving FDA marketing approval for a product for an initial indication, further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clinical trials may be required to gain approval for the use of the product for additional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indications. The FDA may also require post-marketing testing and surveillance to monitor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adverse effects, which could involve significant expense, or the FDA may elect to grant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only conditional approvals subject to collection of post-marketing data. In addition,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recently enacted FDA Amendments Act of 2007 provides the FDA with expanded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authority over drug products after approval, including the authority to require post-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approval studies and clinical trials, labeling changes based on new safety information,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compliance with risk evaluation and mitigation strategies approved by the FDA.</w:t>
      </w:r>
    </w:p>
    <w:p>
      <w:pPr>
        <w:spacing w:after="0" w:line="167"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880"/>
        <w:spacing w:after="0"/>
        <w:rPr>
          <w:sz w:val="20"/>
          <w:szCs w:val="20"/>
          <w:color w:val="auto"/>
        </w:rPr>
      </w:pPr>
      <w:r>
        <w:rPr>
          <w:rFonts w:ascii="Arial" w:cs="Arial" w:eastAsia="Arial" w:hAnsi="Arial"/>
          <w:sz w:val="13"/>
          <w:szCs w:val="13"/>
          <w:i w:val="1"/>
          <w:iCs w:val="1"/>
          <w:color w:val="auto"/>
        </w:rPr>
        <w:t>FDA Manufacturing Requirements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Among the conditions for product licensure is the requirement that the prospective manufacturer’s quality control and manufacturing procedures conform to the FDA’s current good manufacturing practice (GMP) requirements. Even after a product’s licensure approval, its manufacturer must comply with GMP on a continuing basis, and what constitutes GMP may change as the state of the art of manufacturing changes. Domestic manufacturing facilities are subject to regular FDA inspections for GMP compliance, which are normally held at least every two years. Foreign manufacturing facilities are subject to periodic FDA inspections or inspections by the foreign regulatory authorities. Domestic manufacturing facilities may also be subject to inspection by foreign authorities.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Orphan Drug Act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compounds or products from being approved for the same use including, in some cases, slight variations on the originally designated orphan product.</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Human Cell and Tissue Regulations</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Our research and development is based on the use of human stem and progenitor cells. The FDA has initiated a risk-based approach to regulating Human Cell, Tissue and Cellular and Tissue-based (HCT/P) products and has published current Good Tissue Practice (GTP) regulations. As part of this approach, the FDA has published final rules for registration of establishments that recover, process, store, label, package, or distribute HCT/P products or that screen or test the donor of HCT/P products, and for the listing of such products. In addition, the FDA has published rules for determining the suitability of donors of cells and tissue, the eligibility of the cells and tissues for clinical use and for current good tissue practice for manufacturers using them, which came into effect in May 2005. We have adopted policies and procedures to comply with these regulations.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Regulations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Law</w:t>
      </w:r>
    </w:p>
    <w:p>
      <w:pPr>
        <w:spacing w:after="0" w:line="96" w:lineRule="exact"/>
        <w:rPr>
          <w:sz w:val="20"/>
          <w:szCs w:val="20"/>
          <w:color w:val="auto"/>
        </w:rPr>
      </w:pPr>
    </w:p>
    <w:p>
      <w:pPr>
        <w:ind w:left="680" w:right="320" w:firstLine="399"/>
        <w:spacing w:after="0" w:line="282" w:lineRule="auto"/>
        <w:rPr>
          <w:sz w:val="20"/>
          <w:szCs w:val="20"/>
          <w:color w:val="auto"/>
        </w:rPr>
      </w:pPr>
      <w:r>
        <w:rPr>
          <w:rFonts w:ascii="Arial" w:cs="Arial" w:eastAsia="Arial" w:hAnsi="Arial"/>
          <w:sz w:val="12"/>
          <w:szCs w:val="12"/>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(EU) is revising its regulatory approach to biotechnology products, and representatives from the United States, Japan and the EU are in the process of harmonizing and making more uniform the regulations for the registration of pharmaceutical products in these three markets. This process increases uncertainty over regulatory requirements in our industry. Furthermore, human stem and progenitor cells may be regulated in the EU and other countries as transplant material or as a somatic cell therapy medicinal product, depending on the processing, indication and country.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made, and will continue to make, expenditures for environmental compliance and protection. Expenditures for compliance with environmental laws have not had, and are not expected to have, a material effect on our capital expenditures, results of operations or competitive position.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and Health Care Cost Control</w:t>
      </w:r>
    </w:p>
    <w:p>
      <w:pPr>
        <w:spacing w:after="0" w:line="100"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revenue and profitability of some health care-related companies have been affected by the continuing efforts of governmental and third party payors to contain or reduce the cost of health care through various means. Payors are increasingly attempting to limit both coverage and the levels of reimbursement for new therapeutic products approved for marketing by the FDA, and are refusing, in some cases, to provide any coverage for uses of approved products for disease indications for which the FDA has not granted marketing approval.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most instances, the targeted indications for our initial products in development have no effective long-term therapies at this time. However, we do expect that our initial products will have to compete with a variety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2" w:lineRule="auto"/>
        <w:rPr>
          <w:sz w:val="20"/>
          <w:szCs w:val="20"/>
          <w:color w:val="auto"/>
        </w:rPr>
      </w:pPr>
      <w:r>
        <w:rPr>
          <w:rFonts w:ascii="Arial" w:cs="Arial" w:eastAsia="Arial" w:hAnsi="Arial"/>
          <w:sz w:val="12"/>
          <w:szCs w:val="12"/>
          <w:color w:val="auto"/>
        </w:rPr>
        <w:t>therapeutic products and procedures. Other pharmaceutical and biotechnology companies currently offer a number of pharmaceutical products to treat lysosomal storage diseases, neurodegenerative and liver diseases,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Many companies have significant products approved or in development that could be competitive with our potential products. We expect competition to increase.</w:t>
      </w:r>
    </w:p>
    <w:p>
      <w:pPr>
        <w:spacing w:after="0" w:line="59"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Competition for any stem and progenitor cell products that we may develop may be in the form of existing and new drugs, other forms of cell transplantation, ablative and simulative procedures, medical devices, and gene therapy. We believe that some of our competitors are also trying to develop stem and progenitor cell-based technologies. 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w:t>
      </w:r>
    </w:p>
    <w:p>
      <w:pPr>
        <w:spacing w:after="0" w:line="3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5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expect that all of these products will compete with our potential stem and progenitor cell-based products based on efficacy, safety, cost, and intellectual property positions. While we believe that these will be the primary competitive factors, other factors include, in certain instances, obtaining marketing exclusivity under the Orphan Drug Act, availability of supply, manufacturing, marketing and sales expertise and capability, and reimbursement coverage.</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research markets served by our enabling technologies are highly competitive, complex and dynamic. Technological advances and scientific discoveries have accelerated the pace of change in biological research, and stem cell technologies have been evolving particularly fast. In these markets we face a wide array of competitors, ranging from specialized companies with strengths in niche segments of the life science markets to large manufacturers offering a broad portfolio of products, tools and services. Many of these competitors have significant financial, operational, sales, and marketing resources, and experience in research and development. In some cases, these and other competitors are also our customers, distributors and suppliers. In addition, many of our products can be “home brewed” by customers following publicly available procedures and methodologies.</w:t>
      </w:r>
    </w:p>
    <w:p>
      <w:pPr>
        <w:spacing w:after="0" w:line="5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Reliable independent information on sales and market share of products produced by our competitors is not generally available. We believe, however, based on our own estimates, that no one company is so dominant that it prevents other companies from competing effectively. We compete mainly by focusing on specialty media products and cell-based assays, which are custom designed for use in stem cell-based research, where we believe our expertise, intellectual property and reputation give us competitive advantage. We believe that, in this particular market niche, our products and technologies offer customers specific advantages over those offered by our competitors. We compete by offering innovative, quality-controlled products, consistently made and designed to produce reproducible results. We continue to make investments in research and development, quality management, quality improvement, and product innovation. We tend to avoid head to head competition against entrenched competitors with commoditized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information can be obtained free of charge through our website at http://www.stemcellsinc.com or by sending an e-mail message to irpr@stemcellsinc.com:</w:t>
      </w:r>
    </w:p>
    <w:p>
      <w:pPr>
        <w:spacing w:after="0" w:line="108" w:lineRule="exact"/>
        <w:rPr>
          <w:sz w:val="20"/>
          <w:szCs w:val="20"/>
          <w:color w:val="auto"/>
        </w:rPr>
      </w:pPr>
    </w:p>
    <w:p>
      <w:pPr>
        <w:ind w:left="1280" w:right="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annual report on Form 10-K, quarterly reports on Form 10-Q, current reports on Form 8-K, and all amendments to these reports as soon as reasonably practicable after such material is electronically filed with the Securities and Exchange Commission;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policies related to corporate governance, including StemCells’ Code of Conduct and Ethics and Procedure for Submission of Complaints;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charters of the Audit Committee, the Compensation &amp; Stock Option Committee and the Corporate Governance &amp; Nominating Committee of our Board of Directors.</w:t>
      </w:r>
    </w:p>
    <w:p>
      <w:pPr>
        <w:spacing w:after="0" w:line="10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public may read and copy any material we file with the SEC at the SEC’s Public Reference Room at 100 F Street, N.E., Washington, DC, 20549. The public may obtain information on the operations of the Public Reference Room by calling the SEC at 1- 800-SEC-0330. The SEC maintains an Internet site, http://www.sec.gov, which contains reports, proxy and information statements, and other information regarding issuers that file electronically with the SEC.</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This annual report on Form 10-K contains forward-looking statements that involve risks and uncertainties. Our business, operating results, financial performance, and share price may be materially adversely affected by a number of factors, </w:t>
      </w:r>
      <w:r>
        <w:rPr>
          <w:rFonts w:ascii="Arial" w:cs="Arial" w:eastAsia="Arial" w:hAnsi="Arial"/>
          <w:sz w:val="12"/>
          <w:szCs w:val="12"/>
          <w:color w:val="auto"/>
        </w:rPr>
        <w:t>including</w:t>
      </w:r>
      <w:r>
        <w:rPr>
          <w:rFonts w:ascii="Arial" w:cs="Arial" w:eastAsia="Arial" w:hAnsi="Arial"/>
          <w:sz w:val="12"/>
          <w:szCs w:val="12"/>
          <w:i w:val="1"/>
          <w:iCs w:val="1"/>
          <w:color w:val="auto"/>
        </w:rPr>
        <w:t xml:space="preserve">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At present our ability to progress as a company is significantly dependent on a single product candidate, our HuCNS-SC cells (purified human neural stem cells), and on early stage clinical trials. Any clinical, regulatory or other development that significantly delays or prevents us from completing any of our trials, any material safety issue or adverse side effect to any study participant in any of these trials, or the failure of these trials to show the results expected would likely depress our stock price significantly and could prevent us from raising the substantial additional capital we will need to further develop our cell technologies. Moreover, any material adverse occurrence in our first clinical trials could substantially impair our ability to initiate clinical trials to test our HuCNS-SC cells in other potential indications. This, in turn, could adversely impact our ability to raise additional capital and pursue our planned research and development efforts.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limited capital resources and we may not obtain the significant additional capital needed to sustain our research and development efforts.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therapeutic products, pursue regulatory approvals, acquire capital equipment, laboratory and office facilities, establish production capabilities, maintain and enforce our intellectual property portfolio, and support our general and administrative expenses and other working capital requirements. In addition, we will require additional capital resources to continue to develop and grow our enabling cell technologies programs.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intend to pursue opportunities for additional fundraising in the future through equity or debt financings,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programs are based on novel technologies and are inherently risky.</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therapeutic product candidates, may be more complex and lengthy than the pathway for conventional drugs. These challenges may prevent us from developing and commercializing products on a timely or profitable basis or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technologies are at early stages of discovery and development, and we may fail to develop any commercially acceptable or profitable products.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have incurred significant operating losses and negative cash flows since inception. We have not achieved profitability and may not be able to realize sufficient revenue to achieve or sustain profitability in the future. We have yet to develop any therapeutic products that have been approved for marketing, and we do not expect to become profitable within the next several years, but rather expect to incur additional and increasing operating losses. Before commercializing any therapeutic product, we will need to obtain regulatory approval from the FDA or from equivalent foreign agencies after conducting extensive preclinical studies and clinical trials that demonstrate that the product candidate is safe and effective. Except for the NCL trial we completed at Oregon Health &amp; Science University (OHSU), and our currently ongoing PMD trial at University of California, San Francisco Childrens Hospital, we have had no experience conducting human clinical trials. We expect that none of our cell-based therapeutic product candidates will be commercially available for several years, if at all.</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FDA has approved our IND to conduct a Phase I clinical trial for PMD and to date, we have enrolled and treated one patient, there can be no assurance that this clinical trial will be completed or result in a successful outcome.</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We may elect to delay or discontinue studies or clinical trials based on unfavorable results. Any product developed from, or based on, cell technologies may fail to:</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survive and persist in the desired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 the intended therapeutic benefit;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engraft into existing tissue in the desired manner;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achieve therapeutic benefits equal to, or better than, the standard of treatment at the time of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our therapeutic products may cause undesirable side effects. Results of preclinical research in animals may not be indicative of future clinical results in humans.</w:t>
      </w:r>
    </w:p>
    <w:p>
      <w:pPr>
        <w:spacing w:after="0" w:line="108"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was used with our therapeutic product candidate in our Phase I clinical trial for NCL, and is included in the protocol for our ongoing Phase I clinical trial for PMD.</w:t>
      </w:r>
    </w:p>
    <w:p>
      <w:pPr>
        <w:spacing w:after="0" w:line="150"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Our success will depend in large part on our ability to develop and commercialize products that treat diseases other than neuronal ceroid lipofuscinosis (Batten disease) and Pelizeaus-Merzbacher Disease (PMD).</w:t>
      </w:r>
    </w:p>
    <w:p>
      <w:pPr>
        <w:spacing w:after="0" w:line="59" w:lineRule="exact"/>
        <w:rPr>
          <w:sz w:val="20"/>
          <w:szCs w:val="20"/>
          <w:color w:val="auto"/>
        </w:rPr>
      </w:pPr>
    </w:p>
    <w:p>
      <w:pPr>
        <w:ind w:left="680" w:right="160" w:firstLine="399"/>
        <w:spacing w:after="0" w:line="334" w:lineRule="auto"/>
        <w:rPr>
          <w:sz w:val="20"/>
          <w:szCs w:val="20"/>
          <w:color w:val="auto"/>
        </w:rPr>
      </w:pPr>
      <w:r>
        <w:rPr>
          <w:rFonts w:ascii="Arial" w:cs="Arial" w:eastAsia="Arial" w:hAnsi="Arial"/>
          <w:sz w:val="11"/>
          <w:szCs w:val="11"/>
          <w:color w:val="auto"/>
        </w:rPr>
        <w:t>Although we have initially focused on evaluating our neural stem cell product for the treatment of infantile and late infantile NCL (Batten disease) and for Pelizeaus-Merzbacher Disease, these diseases are rare and the markets for treating these diseases are small. Accordingly, even if we obtain marketing approval for our HuCNS-SC product candidate for infantile and late infantile NCL or for PMD, in order to achieve profitability, we will likely need to obtain approval to treat additional diseases that present more significant market opportunities.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 of companies, businesses or technologies may substantially dilute our stockholders and increase our operating losses.</w:t>
      </w:r>
    </w:p>
    <w:p>
      <w:pPr>
        <w:spacing w:after="0" w:line="96"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may make acquisitions of businesses, technologies or intellectual property rights or otherwise modify our business model in ways we believe to be necessary, useful or complementary to our current business. For example, on April 1, 2009 we acquired substantially all of the operating assets and liabilities of Stem Cell Sciences Plc (SCS).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other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disruptions from the management of the acquired SCS business may impair our business.</w:t>
      </w:r>
    </w:p>
    <w:p>
      <w:pPr>
        <w:spacing w:after="0" w:line="96"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On April 1, 2009, we acquired substantially all of the operating assets and liabilities of SCS, including its former subsidiaries in England and Australia. To realize the anticipated benefits of this acquisition, we must successfully manage and coordinate business operations in multiple geographies, which is frequently a complex, costly and time-consuming process. Therefore we expect to devote a significant amount of our management’s time and attention to managing our operations outside the United States. As a result, we may have difficulty maintaining employee morale and retaining key employees, consultants and collaborators. We may also encounter incompatible methods, practices or policies or unanticipated difficulties integrating information technology, communications and other systems. Managing our consolidated operations may also entail numerous operational, legal and financial risks and uncertainties, including:</w:t>
      </w:r>
    </w:p>
    <w:p>
      <w:pPr>
        <w:spacing w:after="0" w:line="72"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incurrence or assumption of material liabilities, including unanticipated ones;</w:t>
      </w:r>
    </w:p>
    <w:p>
      <w:pPr>
        <w:spacing w:after="0" w:line="86" w:lineRule="exact"/>
        <w:rPr>
          <w:rFonts w:ascii="Arial" w:cs="Arial" w:eastAsia="Arial" w:hAnsi="Arial"/>
          <w:sz w:val="13"/>
          <w:szCs w:val="13"/>
          <w:b w:val="1"/>
          <w:bCs w:val="1"/>
          <w:color w:val="auto"/>
        </w:rPr>
      </w:pPr>
    </w:p>
    <w:p>
      <w:pPr>
        <w:ind w:left="1280" w:hanging="190"/>
        <w:spacing w:after="0" w:line="276" w:lineRule="auto"/>
        <w:tabs>
          <w:tab w:leader="none" w:pos="128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assumption of pre-existing contractual obligations and obligations owed by the acquired SCS business to customers and research collaborators, which may not be profitable to our business or deemed consistent with our development plans;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diversion of resources and management attention from our existing businesses and technologies;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inability to retain key employees of any acquired businesses or hire enough qualified personnel to staff any new or expanded operations;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impairment or loss of relationships with key customers or collaborators; and</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17"/>
        </w:numPr>
        <w:rPr>
          <w:rFonts w:ascii="Arial" w:cs="Arial" w:eastAsia="Arial" w:hAnsi="Arial"/>
          <w:sz w:val="12"/>
          <w:szCs w:val="12"/>
          <w:b w:val="1"/>
          <w:bCs w:val="1"/>
          <w:color w:val="auto"/>
        </w:rPr>
      </w:pPr>
      <w:r>
        <w:rPr>
          <w:rFonts w:ascii="Arial" w:cs="Arial" w:eastAsia="Arial" w:hAnsi="Arial"/>
          <w:sz w:val="12"/>
          <w:szCs w:val="12"/>
          <w:color w:val="auto"/>
        </w:rPr>
        <w:t>exposure to new and unanticipated federal, state, local, and foreign legal requirements, which may impact our research and development programs on a consolidated basis.</w:t>
      </w:r>
    </w:p>
    <w:p>
      <w:pPr>
        <w:spacing w:after="0" w:line="10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Our failure to address these risks and uncertainties successfully in the future could harm our business and prevent our achievement of anticipated growth, which could have an adverse effect on our financial condition and results of operations.</w:t>
      </w:r>
    </w:p>
    <w:p>
      <w:pPr>
        <w:spacing w:after="0" w:line="13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We have payment obligations resulting from real property owned or leased by us in Rhode Island, which diverts funding from our cell-based therapeutics research and development and enabling cell technologies programs.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$1,752,000 in 2009;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$411,000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2009, the reserve was $4,433,000. For the year 2009, we incurred $1,216,000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obtain partners to support our product development efforts when needed to commercialize our technologies.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Equity and debt financings alone may not be sufficient to fund the cost of developing our cell technologies, and we may need to rely on partnering or other arrangements to provide financial support for our product development efforts. In addition, in order to successfully develop and commercialize our technologies, we may need to enter into various arrangements with corporate sponsors, pharmaceutical companies, universities, research groups, and others. With the exception of our distribution agreements with Millipore Corporation, we have no such agreements. While we have engaged, and expect to continue to engage, in discussions regarding such arrangements, we may fail to obtain any such agreement on terms acceptable to us. Even if we enter into such arrangements, we may not be able to satisfy our obligations under them or renew or replace them after their original terms expire. Furthermore,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patents and proprietary rights, our business, financial condition and results of operations may be materially harmed.</w:t>
      </w:r>
    </w:p>
    <w:p>
      <w:pPr>
        <w:spacing w:after="0" w:line="96"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We either own or exclusively license a number of patents and pending patent applications related to various stem and progenitor cells, including human neural stem cell cultures, as well as methods of deriving and using them. We also own or exclusively license a number of patents and patent applications related to certain mammalian pluripotent and multipotent stem cells, cellular reprogramming, genetic manipulation of stem cells, the creation of genetically engineered animals used for research, technologies that facilitate the identification and isolation of specific stem cell types, and media formulations for the culture of stem cells.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21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necessary licenses to third-party patents and other rights, we may not be able to commercially develop our expected products.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compete with companies that have significant advantages over us.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small molecule, biologics, as well as medical devices. We expect to compete with a host of companies, some of which are privately owned and some of which have resources far greater than ours.</w:t>
      </w:r>
    </w:p>
    <w:p>
      <w:pPr>
        <w:spacing w:after="0" w:line="5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and research markets are each highly competitive. Most of our competitors have greater financial resources than we do, making them better equipped to license technologies and intellectual property from third parties or to fund research and development, manufacturing and marketing efforts. Our competitors can be expected to continue to improve the design and performance of their products and to introduce new products with competitive price and performance characteristics. In order to compete successfully in these markets, we will likely need to continue to invest in research and development, sales and marketing and customer service and support. We cannot assure you that we will have sufficient resources to continue to make such investments.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The research market is heavily dependent on government funding, and changes in government funding can adversely affect revenues for our enabling technologies.</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Our customers include researchers at academic institutions, pharmaceutical and biotechnology companies and government laboratories, all of whom fund much of their stem cell research using government monies, such as grants. A number of these customers, for example, are dependent for their funding upon grants from U.S. government agencies, such as the U.S. National Institutes of Health (“NIH”) and agencies in other countries. The level of government funding of research and development is unpredictable. Research and development spending of our customers can fluctuate based on spending priorities and, as was experienced in 2009, general economic conditions. There have been instances when NIH grants have been frozen or otherwise unavailable for extended periods. The availability of governmental research funding may also continue to be adversely affected by the current economic downturn. Any reduction or delay in governmental funding could cause our customers to delay or forego purchases or reallocate their budgets in a manner adverse to us, in which case our anticipated revenues could be materially lower.</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of our technologies is subject to, and restricted by, extensive government regulation, which could impede our business.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for human therapeutics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3"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GTP, regulations. These regulatory and other constraints could prevent us from obtaining cells and other components of our products in the quantity or quality needed for their development or commercialization of both therapeutic products and certain of our enabling cell technologies.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 product candidates will need to be manufactured in compliance with the FDA’s Good Manufacturing Practices, or GMP. Accordingly, we will need to enter into supply agreements with companies that manufacture these components to GMP standards.</w:t>
      </w:r>
    </w:p>
    <w:p>
      <w:pPr>
        <w:spacing w:after="0" w:line="58"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Noncompliance with applicable requirements both before and after product marketing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dependent on the services of key personnel.</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are highly dependent on the principal members of our management and scientific staff, including our chief executive officer, our vice presidents, and the heads of key departments or functions, and on some of our outside consultants, including the members of our scientific advisory board. Although we have entered into employment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46"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5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Although we believe that our safety procedures for using, handling, storing, and disposing of hazardous and potentially hazardous materials comply with the standards prescribed by applicable state, federal and international law,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Natural disasters and violent acts of public protest may cause damage or disruption to us and our employees, facilities, information systems, vendors, and customers.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operations are concentrated in Northern California. The western United States has experienced a number of earthquakes, wildfires, flooding, landslides and other natural disasters in recent years. These occurrences could damage or destroy our facilities which may result in interruptions to our business and losses that exceed our insurance coverage. In addition, we know that certain individuals are strenuously opposed to certain types of medical research, including embryonic stem cell research engaged in by both us and many of our customers. Acts of both legal and illegal public protest, including picketing and bioterrorism, could affect the markets in which we operate and our business operations. Any of these events could cause a decrease in both our actual and anticipated revenue, earnings and cash flows.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development, manufacturing and commercialization of cell-based therapeutic products expose us to product liability claims, which could lead to substantial liability.</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By developing and, ultimately, commercializing therapeutic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manufacture of cell-based therapeutic products is novel, highly regulated, critical to our business, and dependent upon specialized key materials.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manufacture of cell-based and related products is complicated and difficult, dependent upon substantial know-how and subject to the need for continual process improvements to be competitive. Our manufacturing experience is limited and the technologies are comparatively new. In addition, our ability to scale-up manufacturing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to satisfy the various requirements of our planned clinical trials, such as GTP, GMP and release testing requirements,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and related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134"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59"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In both domestic and foreign markets, sales of potential therapeutic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129"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use of stem cells for research and therapy has been the subject of debate regarding related ethical, legal and social issues. Although these concerns have mainly been directed to the use of embryonic stem cells, which we are not presently pursuing for therapeutic use, the distinction between embryonic and non-embryonic stem cells is frequently overlooked; moreover, our use of human stem or progenitor cells from fetal sources might raise these or similar concerns. In addition, we are continuing the development of embryonic stem cells and iPS cells as potential research tools, and we may in the future explore their applicability as cell-based therapeutic products.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Restrictions on the use of human embryonic stem cells, including public and political opposition to the use of these cells, could harm our business.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Some of our research includes testing cells derived from embryonic tissue. While we are not currently developing human embryonic stem cells as potential therapeutic products, legal restrictions on the use of human embryonic stem cells could impede our ability to develop worthwhile non-therapeutic products for research. Furthermore, we may in the future explore the applicability of embryonic stem cells as cell-based therapeutic products. The use of these cells could give rise to ethical and social commentary adverse to us, which could harm the market price of our common stock. Additional government-imposed restrictions on the use of embryos or human embryonic stem cells in research and development could also cause an adverse effect on us by harming our ability to establish important partnerships or collaborations, delaying or preventing the development of certain non-therapeutic products, and causing a decrease in the price of our stock or by otherwise making it more difficult for us to raise additional capital. These risks could have unanticipated adverse consequences on our business.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corporate documents and Delaware law contain provisions that could make it difficult for us to be acquired in a transaction that might be beneficial to our stockholders.</w:t>
      </w:r>
    </w:p>
    <w:p>
      <w:pPr>
        <w:spacing w:after="0" w:line="11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Securities Market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has been, and will likely continue to be, highly volatile, which may negatively affect our ability to obtain additional financing in the future.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market price per share of our common stock has been and is likely to continue to be highly volatile due to the risks and uncertainties described in this section of this Annual Report on Form 10-K, as well as other factors, including:</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develop and test our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patent or obtain licenses to necessary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conditions and publicity regarding the industry in which we operate, as well as the specific areas our product candidates seek to address;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in our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economic and other external factors or other disasters or crises;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price and volume fluctuations in the stock market at large that are unrelated to our operating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comments by securities analysts, or our failure to meet market expectations.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Over the two-year period ended December 31, 2009, the trading price of our common stock as reported on the Nasdaq Global Market ranged from a high of $3.07 to a low of $0.66 per share. As a result of this volatility, an investment in our stock is subject to substantial risk. Furthermore, the volatility of our stock price could negatively impact our ability to raise capital or acquire businesses or technologies.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contractually obligated to issue shares in the future, diluting the interest of current stockholders.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As of December 31, 2009, there were outstanding warrants to purchase 14,344,828 shares of our common stock, at a weighted average exercise price of $2.08 per share, outstanding options to purchase 9,260,812 shares of our common stock, at a weighted average exercise price of $2.28 per share, and outstanding restricted stock units for 2,437,901 shares of our common stock. We expect to issue additional options and restricted stock units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Effective July 1, 2006, under an agreement that extends the lease through March 31, 2010, we leased the remainder of the building, adding approximately 27,500 square feet to our leased premises. In October 2009, we amended the lease to extend the expiry date of the lease term from March 31, 2010 to August 31, 2011. We have a space-sharing agreement with Stanford University for part of the animal facility not needed for our own use.</w:t>
      </w:r>
    </w:p>
    <w:p>
      <w:pPr>
        <w:spacing w:after="0" w:line="3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continue to lease a facility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own a 21,000 square-foot pilot manufacturing facility and a 3,000 square-foot cell processing facility financed by bonds issued by the Rhode Island Industrial Facilities Corporation. We have subleased small portions of the 62,500 square foot facility, amounting to approximately 26 percent of the total space. We are actively seeking to sublease, assign or sell our remaining interests in these properties.</w:t>
      </w:r>
    </w:p>
    <w:p>
      <w:pPr>
        <w:spacing w:after="0" w:line="71"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On April 1, 2009, as part of our acquisition of the operations of SCS, we acquired operations in Cambridge, U.K. As of April 2009, our wholly-owned subsidiary, Stem Cell Sciences (UK) Ltd, had two lease agreements with Babraham Bioscience Technologies Ltd. (BBT) for in aggregate approximately 3,900 square feet of office and lab space in two buildings of the Babraham Research Campus in Cambridge, U.K. One of these two leases, for approximately 2,000 square feet, expired by its terms on February 28, 2010. The second, for approximately 1,900 square feet, has an initial term until March 2011, with an option, at our election, to extend the term for an additional five years. In February 2010, in order to consolidate our operations into a single building at the research campus, we entered into a new lease agreement with BBT effective March 1, 2010, for approximately 3,240 square feet. The initial term of this new lease will continue until March 2011, with an option, at our election, to extend the term for an additional two years. The two leases cover in aggregate approximately 5,000 square feet. We expect to pay approximately 134,000 U.K. pounds (GBP) as rental payments for 2010. StemCells, Inc. is a guarantor of Stem Cell Sciences (UK) Ltd’s obligations under both leases.</w:t>
      </w:r>
    </w:p>
    <w:p>
      <w:pPr>
        <w:spacing w:after="0" w:line="1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67" w:lineRule="exact"/>
        <w:rPr>
          <w:sz w:val="20"/>
          <w:szCs w:val="20"/>
          <w:color w:val="auto"/>
        </w:rPr>
      </w:pPr>
    </w:p>
    <w:p>
      <w:pPr>
        <w:jc w:val="both"/>
        <w:ind w:left="680" w:right="20" w:firstLine="399"/>
        <w:spacing w:after="0" w:line="277" w:lineRule="auto"/>
        <w:rPr>
          <w:sz w:val="20"/>
          <w:szCs w:val="20"/>
          <w:color w:val="auto"/>
        </w:rPr>
      </w:pPr>
      <w:r>
        <w:rPr>
          <w:rFonts w:ascii="Arial" w:cs="Arial" w:eastAsia="Arial" w:hAnsi="Arial"/>
          <w:sz w:val="12"/>
          <w:szCs w:val="12"/>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w:t>
      </w:r>
    </w:p>
    <w:p>
      <w:pPr>
        <w:spacing w:after="0" w:line="1"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73"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In addition to the actions described above, in April 2008, we filed an opposition to Neuralstem’s European Patent No. 0 915 968 (methods of isolating, propagating and differentiating CNS stem cells), because the claimed invention is believed by us to be unpatentable over prior art, including the patents exclusively licensed by us from NeuroSpheres. Neuralstem has responded to this opposition and the parties are currently awaiting a hearing, expected for 2010. In September 2009, we also filed a request with the PTO to reexamine Neuralstem’s</w:t>
      </w:r>
    </w:p>
    <w:p>
      <w:pPr>
        <w:ind w:left="680" w:right="40"/>
        <w:spacing w:after="0" w:line="264" w:lineRule="auto"/>
        <w:rPr>
          <w:sz w:val="20"/>
          <w:szCs w:val="20"/>
          <w:color w:val="auto"/>
        </w:rPr>
      </w:pPr>
      <w:r>
        <w:rPr>
          <w:rFonts w:ascii="Arial" w:cs="Arial" w:eastAsia="Arial" w:hAnsi="Arial"/>
          <w:sz w:val="13"/>
          <w:szCs w:val="13"/>
          <w:color w:val="auto"/>
        </w:rPr>
        <w:t>U.S. Patent No. 5,753,506 (methods of isolating, propagating and differentiating CNS stem cells), which is the U.S. counterpart of Neuralstem’s ’968 patent in Europe. The PTO granted this reexamination request in October 2009, and in January 2010, the PTO issued an initial office action rejecting all the claims of the patent.</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10"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left="1080" w:hanging="393"/>
        <w:spacing w:after="0"/>
        <w:tabs>
          <w:tab w:leader="none" w:pos="10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Market price and dividend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stock is traded on the Nasdaq Global Market under the symbol STEM. The quarterly ranges of high and low bid prices per share for the last two fiscal years as reported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are shown below:</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10"/>
                <w:szCs w:val="1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Low</w:t>
            </w:r>
          </w:p>
        </w:tc>
      </w:tr>
      <w:tr>
        <w:trPr>
          <w:trHeight w:val="29"/>
        </w:trPr>
        <w:tc>
          <w:tcPr>
            <w:tcW w:w="8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First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1.25</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Third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870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1.11</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r>
      <w:tr>
        <w:trPr>
          <w:trHeight w:val="165"/>
        </w:trPr>
        <w:tc>
          <w:tcPr>
            <w:tcW w:w="8700" w:type="dxa"/>
            <w:vAlign w:val="bottom"/>
          </w:tcPr>
          <w:p>
            <w:pPr>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0.66</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have been declared on our common stock since our inception.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PERFORMANCE GRAPH</w:t>
      </w:r>
    </w:p>
    <w:p>
      <w:pPr>
        <w:spacing w:after="0" w:line="98" w:lineRule="exact"/>
        <w:rPr>
          <w:sz w:val="20"/>
          <w:szCs w:val="20"/>
          <w:color w:val="auto"/>
        </w:rPr>
      </w:pPr>
    </w:p>
    <w:p>
      <w:pPr>
        <w:ind w:left="680" w:right="180" w:firstLine="399"/>
        <w:spacing w:after="0" w:line="280" w:lineRule="auto"/>
        <w:rPr>
          <w:sz w:val="20"/>
          <w:szCs w:val="20"/>
          <w:color w:val="auto"/>
        </w:rPr>
      </w:pPr>
      <w:r>
        <w:rPr>
          <w:rFonts w:ascii="Arial" w:cs="Arial" w:eastAsia="Arial" w:hAnsi="Arial"/>
          <w:sz w:val="13"/>
          <w:szCs w:val="13"/>
          <w:color w:val="auto"/>
        </w:rPr>
        <w:t xml:space="preserve">We show below the cumulative total return to our stockholders during the period from December 31, 2004 through December 31, 2009 </w:t>
      </w:r>
      <w:r>
        <w:rPr>
          <w:rFonts w:ascii="Arial" w:cs="Arial" w:eastAsia="Arial" w:hAnsi="Arial"/>
          <w:sz w:val="11"/>
          <w:szCs w:val="11"/>
          <w:color w:val="auto"/>
        </w:rPr>
        <w:t>3</w:t>
      </w:r>
      <w:r>
        <w:rPr>
          <w:rFonts w:ascii="Arial" w:cs="Arial" w:eastAsia="Arial" w:hAnsi="Arial"/>
          <w:sz w:val="13"/>
          <w:szCs w:val="13"/>
          <w:color w:val="auto"/>
        </w:rPr>
        <w:t xml:space="preserve"> in comparison to the cumulative return on the Standard &amp; Poor’s 500 Index and the Amex Biotechnology Index during that same period.</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stock price performance shown on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66675</wp:posOffset>
            </wp:positionV>
            <wp:extent cx="3644900" cy="1647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44900" cy="164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90" w:type="dxa"/>
        <w:tblCellMar>
          <w:top w:w="0" w:type="dxa"/>
          <w:left w:w="0" w:type="dxa"/>
          <w:bottom w:w="0" w:type="dxa"/>
          <w:right w:w="0" w:type="dxa"/>
        </w:tblCellMar>
      </w:tblPr>
      <w:tr>
        <w:trPr>
          <w:trHeight w:val="101"/>
        </w:trPr>
        <w:tc>
          <w:tcPr>
            <w:tcW w:w="2640" w:type="dxa"/>
            <w:vAlign w:val="bottom"/>
            <w:tcBorders>
              <w:top w:val="single" w:sz="8" w:color="auto"/>
              <w:left w:val="single" w:sz="8" w:color="auto"/>
              <w:right w:val="single" w:sz="8" w:color="auto"/>
            </w:tcBorders>
          </w:tcPr>
          <w:p>
            <w:pPr>
              <w:spacing w:after="0"/>
              <w:rPr>
                <w:sz w:val="8"/>
                <w:szCs w:val="8"/>
                <w:color w:val="auto"/>
              </w:rPr>
            </w:pPr>
          </w:p>
        </w:tc>
        <w:tc>
          <w:tcPr>
            <w:tcW w:w="1220" w:type="dxa"/>
            <w:vAlign w:val="bottom"/>
            <w:tcBorders>
              <w:top w:val="single" w:sz="8" w:color="auto"/>
              <w:right w:val="single" w:sz="8" w:color="auto"/>
            </w:tcBorders>
          </w:tcPr>
          <w:p>
            <w:pPr>
              <w:jc w:val="right"/>
              <w:ind w:right="260"/>
              <w:spacing w:after="0" w:line="101" w:lineRule="exact"/>
              <w:rPr>
                <w:sz w:val="20"/>
                <w:szCs w:val="20"/>
                <w:color w:val="auto"/>
              </w:rPr>
            </w:pPr>
            <w:r>
              <w:rPr>
                <w:rFonts w:ascii="Arial" w:cs="Arial" w:eastAsia="Arial" w:hAnsi="Arial"/>
                <w:sz w:val="10"/>
                <w:szCs w:val="10"/>
                <w:b w:val="1"/>
                <w:bCs w:val="1"/>
                <w:color w:val="auto"/>
              </w:rPr>
              <w:t>December 31,</w:t>
            </w:r>
          </w:p>
        </w:tc>
        <w:tc>
          <w:tcPr>
            <w:tcW w:w="1240" w:type="dxa"/>
            <w:vAlign w:val="bottom"/>
            <w:tcBorders>
              <w:top w:val="single" w:sz="8" w:color="auto"/>
              <w:right w:val="single" w:sz="8" w:color="auto"/>
            </w:tcBorders>
            <w:gridSpan w:val="2"/>
          </w:tcPr>
          <w:p>
            <w:pPr>
              <w:jc w:val="right"/>
              <w:ind w:right="258"/>
              <w:spacing w:after="0" w:line="101" w:lineRule="exact"/>
              <w:rPr>
                <w:sz w:val="20"/>
                <w:szCs w:val="20"/>
                <w:color w:val="auto"/>
              </w:rPr>
            </w:pPr>
            <w:r>
              <w:rPr>
                <w:rFonts w:ascii="Arial" w:cs="Arial" w:eastAsia="Arial" w:hAnsi="Arial"/>
                <w:sz w:val="10"/>
                <w:szCs w:val="10"/>
                <w:b w:val="1"/>
                <w:bCs w:val="1"/>
                <w:color w:val="auto"/>
              </w:rPr>
              <w:t>December 31,</w:t>
            </w:r>
          </w:p>
        </w:tc>
        <w:tc>
          <w:tcPr>
            <w:tcW w:w="1240" w:type="dxa"/>
            <w:vAlign w:val="bottom"/>
            <w:tcBorders>
              <w:top w:val="single" w:sz="8" w:color="auto"/>
              <w:right w:val="single" w:sz="8" w:color="auto"/>
            </w:tcBorders>
            <w:gridSpan w:val="2"/>
          </w:tcPr>
          <w:p>
            <w:pPr>
              <w:jc w:val="right"/>
              <w:ind w:right="258"/>
              <w:spacing w:after="0" w:line="101" w:lineRule="exact"/>
              <w:rPr>
                <w:sz w:val="20"/>
                <w:szCs w:val="20"/>
                <w:color w:val="auto"/>
              </w:rPr>
            </w:pPr>
            <w:r>
              <w:rPr>
                <w:rFonts w:ascii="Arial" w:cs="Arial" w:eastAsia="Arial" w:hAnsi="Arial"/>
                <w:sz w:val="10"/>
                <w:szCs w:val="10"/>
                <w:b w:val="1"/>
                <w:bCs w:val="1"/>
                <w:color w:val="auto"/>
              </w:rPr>
              <w:t>December 31,</w:t>
            </w:r>
          </w:p>
        </w:tc>
        <w:tc>
          <w:tcPr>
            <w:tcW w:w="1240" w:type="dxa"/>
            <w:vAlign w:val="bottom"/>
            <w:tcBorders>
              <w:top w:val="single" w:sz="8" w:color="auto"/>
              <w:right w:val="single" w:sz="8" w:color="auto"/>
            </w:tcBorders>
            <w:gridSpan w:val="2"/>
          </w:tcPr>
          <w:p>
            <w:pPr>
              <w:jc w:val="right"/>
              <w:ind w:right="258"/>
              <w:spacing w:after="0" w:line="101" w:lineRule="exact"/>
              <w:rPr>
                <w:sz w:val="20"/>
                <w:szCs w:val="20"/>
                <w:color w:val="auto"/>
              </w:rPr>
            </w:pPr>
            <w:r>
              <w:rPr>
                <w:rFonts w:ascii="Arial" w:cs="Arial" w:eastAsia="Arial" w:hAnsi="Arial"/>
                <w:sz w:val="10"/>
                <w:szCs w:val="10"/>
                <w:b w:val="1"/>
                <w:bCs w:val="1"/>
                <w:color w:val="auto"/>
              </w:rPr>
              <w:t>December 31,</w:t>
            </w:r>
          </w:p>
        </w:tc>
        <w:tc>
          <w:tcPr>
            <w:tcW w:w="1240" w:type="dxa"/>
            <w:vAlign w:val="bottom"/>
            <w:tcBorders>
              <w:top w:val="single" w:sz="8" w:color="auto"/>
              <w:right w:val="single" w:sz="8" w:color="auto"/>
            </w:tcBorders>
            <w:gridSpan w:val="2"/>
          </w:tcPr>
          <w:p>
            <w:pPr>
              <w:jc w:val="right"/>
              <w:ind w:right="258"/>
              <w:spacing w:after="0" w:line="101" w:lineRule="exact"/>
              <w:rPr>
                <w:sz w:val="20"/>
                <w:szCs w:val="20"/>
                <w:color w:val="auto"/>
              </w:rPr>
            </w:pPr>
            <w:r>
              <w:rPr>
                <w:rFonts w:ascii="Arial" w:cs="Arial" w:eastAsia="Arial" w:hAnsi="Arial"/>
                <w:sz w:val="10"/>
                <w:szCs w:val="10"/>
                <w:b w:val="1"/>
                <w:bCs w:val="1"/>
                <w:color w:val="auto"/>
              </w:rPr>
              <w:t>December 31,</w:t>
            </w:r>
          </w:p>
        </w:tc>
        <w:tc>
          <w:tcPr>
            <w:tcW w:w="1180" w:type="dxa"/>
            <w:vAlign w:val="bottom"/>
            <w:tcBorders>
              <w:top w:val="single" w:sz="8" w:color="auto"/>
              <w:right w:val="single" w:sz="8" w:color="auto"/>
            </w:tcBorders>
            <w:gridSpan w:val="2"/>
          </w:tcPr>
          <w:p>
            <w:pPr>
              <w:jc w:val="right"/>
              <w:ind w:right="218"/>
              <w:spacing w:after="0" w:line="101" w:lineRule="exact"/>
              <w:rPr>
                <w:sz w:val="20"/>
                <w:szCs w:val="20"/>
                <w:color w:val="auto"/>
              </w:rPr>
            </w:pPr>
            <w:r>
              <w:rPr>
                <w:rFonts w:ascii="Arial" w:cs="Arial" w:eastAsia="Arial" w:hAnsi="Arial"/>
                <w:sz w:val="10"/>
                <w:szCs w:val="10"/>
                <w:b w:val="1"/>
                <w:bCs w:val="1"/>
                <w:color w:val="auto"/>
              </w:rPr>
              <w:t>December 31,</w:t>
            </w:r>
          </w:p>
        </w:tc>
      </w:tr>
      <w:tr>
        <w:trPr>
          <w:trHeight w:val="125"/>
        </w:trPr>
        <w:tc>
          <w:tcPr>
            <w:tcW w:w="2640" w:type="dxa"/>
            <w:vAlign w:val="bottom"/>
            <w:tcBorders>
              <w:left w:val="single" w:sz="8" w:color="auto"/>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2004</w:t>
            </w: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2005</w:t>
            </w: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2006</w:t>
            </w: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2007</w:t>
            </w: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2009</w:t>
            </w:r>
          </w:p>
        </w:tc>
      </w:tr>
      <w:tr>
        <w:trPr>
          <w:trHeight w:val="147"/>
        </w:trPr>
        <w:tc>
          <w:tcPr>
            <w:tcW w:w="264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StemCells, Inc.</w:t>
            </w:r>
          </w:p>
        </w:tc>
        <w:tc>
          <w:tcPr>
            <w:tcW w:w="1220" w:type="dxa"/>
            <w:vAlign w:val="bottom"/>
            <w:tcBorders>
              <w:bottom w:val="single" w:sz="8" w:color="auto"/>
              <w:right w:val="single" w:sz="8" w:color="auto"/>
            </w:tcBorders>
          </w:tcPr>
          <w:p>
            <w:pPr>
              <w:jc w:val="right"/>
              <w:ind w:right="380"/>
              <w:spacing w:after="0" w:line="148" w:lineRule="exact"/>
              <w:rPr>
                <w:sz w:val="20"/>
                <w:szCs w:val="20"/>
                <w:color w:val="auto"/>
              </w:rPr>
            </w:pPr>
            <w:r>
              <w:rPr>
                <w:rFonts w:ascii="Arial" w:cs="Arial" w:eastAsia="Arial" w:hAnsi="Arial"/>
                <w:sz w:val="13"/>
                <w:szCs w:val="13"/>
                <w:color w:val="auto"/>
              </w:rPr>
              <w:t>$100.00</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rPr>
              <w:t>81.56</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rPr>
              <w:t>62.65</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rPr>
              <w:t>35.46</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rPr>
              <w:t>32.15</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29.79</w:t>
            </w:r>
          </w:p>
        </w:tc>
      </w:tr>
      <w:tr>
        <w:trPr>
          <w:trHeight w:val="147"/>
        </w:trPr>
        <w:tc>
          <w:tcPr>
            <w:tcW w:w="264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S&amp;P 500 Index</w:t>
            </w:r>
          </w:p>
        </w:tc>
        <w:tc>
          <w:tcPr>
            <w:tcW w:w="1220" w:type="dxa"/>
            <w:vAlign w:val="bottom"/>
            <w:tcBorders>
              <w:bottom w:val="single" w:sz="8" w:color="auto"/>
              <w:right w:val="single" w:sz="8" w:color="auto"/>
            </w:tcBorders>
          </w:tcPr>
          <w:p>
            <w:pPr>
              <w:jc w:val="right"/>
              <w:ind w:right="380"/>
              <w:spacing w:after="0" w:line="148" w:lineRule="exact"/>
              <w:rPr>
                <w:sz w:val="20"/>
                <w:szCs w:val="20"/>
                <w:color w:val="auto"/>
              </w:rPr>
            </w:pPr>
            <w:r>
              <w:rPr>
                <w:rFonts w:ascii="Arial" w:cs="Arial" w:eastAsia="Arial" w:hAnsi="Arial"/>
                <w:sz w:val="13"/>
                <w:szCs w:val="13"/>
                <w:color w:val="auto"/>
              </w:rPr>
              <w:t>$100.00</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103.00</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117.03</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121.16</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rPr>
              <w:t>74.53</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92.01</w:t>
            </w:r>
          </w:p>
        </w:tc>
      </w:tr>
      <w:tr>
        <w:trPr>
          <w:trHeight w:val="147"/>
        </w:trPr>
        <w:tc>
          <w:tcPr>
            <w:tcW w:w="264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Amex Biotechnology Index</w:t>
            </w:r>
          </w:p>
        </w:tc>
        <w:tc>
          <w:tcPr>
            <w:tcW w:w="1220" w:type="dxa"/>
            <w:vAlign w:val="bottom"/>
            <w:tcBorders>
              <w:bottom w:val="single" w:sz="8" w:color="auto"/>
              <w:right w:val="single" w:sz="8" w:color="auto"/>
            </w:tcBorders>
          </w:tcPr>
          <w:p>
            <w:pPr>
              <w:jc w:val="right"/>
              <w:ind w:right="380"/>
              <w:spacing w:after="0" w:line="148" w:lineRule="exact"/>
              <w:rPr>
                <w:sz w:val="20"/>
                <w:szCs w:val="20"/>
                <w:color w:val="auto"/>
              </w:rPr>
            </w:pPr>
            <w:r>
              <w:rPr>
                <w:rFonts w:ascii="Arial" w:cs="Arial" w:eastAsia="Arial" w:hAnsi="Arial"/>
                <w:sz w:val="13"/>
                <w:szCs w:val="13"/>
                <w:color w:val="auto"/>
              </w:rPr>
              <w:t>$100.00</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125.11</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138.59</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144.51</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378"/>
              <w:spacing w:after="0" w:line="148" w:lineRule="exact"/>
              <w:rPr>
                <w:sz w:val="20"/>
                <w:szCs w:val="20"/>
                <w:color w:val="auto"/>
              </w:rPr>
            </w:pPr>
            <w:r>
              <w:rPr>
                <w:rFonts w:ascii="Arial" w:cs="Arial" w:eastAsia="Arial" w:hAnsi="Arial"/>
                <w:sz w:val="13"/>
                <w:szCs w:val="13"/>
                <w:color w:val="auto"/>
                <w:w w:val="85"/>
              </w:rPr>
              <w:t>118.91</w:t>
            </w: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w w:val="85"/>
              </w:rPr>
              <w:t>173.11</w:t>
            </w: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information under “Performance Graph” is not deemed filed with the Securities and Exchange Commission and is not to be incorporated by reference in any filing of StemCells, Inc. under the Securities Act of 1933, as amended, or the Securities Exchange Act of 1934, as amended, whether made before or after the date of this 10-K and irrespective of any general incorporation language in those filings.</w:t>
      </w:r>
    </w:p>
    <w:p>
      <w:pPr>
        <w:spacing w:after="0" w:line="142" w:lineRule="exact"/>
        <w:rPr>
          <w:sz w:val="20"/>
          <w:szCs w:val="20"/>
          <w:color w:val="auto"/>
        </w:rPr>
      </w:pPr>
    </w:p>
    <w:p>
      <w:pPr>
        <w:ind w:left="1080" w:hanging="393"/>
        <w:spacing w:after="0"/>
        <w:tabs>
          <w:tab w:leader="none" w:pos="108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Approximate Number of Holders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March 2, 2010, there were approximately 600 holders of record of our common stock and the closing price of our common stock on the Nasdaq Global Market was $1.20 per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w:t>
      </w:r>
    </w:p>
    <w:p>
      <w:pPr>
        <w:spacing w:after="0" w:line="89"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number of record holders is based upon the actual number of holders registered on the books of our transfer agent at such date and does not include holders of shares in “street names” or persons, partnerships, associations, corporations or other entities identified in security position listings maintained by depository trust companies.</w:t>
      </w:r>
    </w:p>
    <w:p>
      <w:pPr>
        <w:spacing w:after="0" w:line="110" w:lineRule="exact"/>
        <w:rPr>
          <w:sz w:val="20"/>
          <w:szCs w:val="20"/>
          <w:color w:val="auto"/>
        </w:rPr>
      </w:pPr>
    </w:p>
    <w:p>
      <w:pPr>
        <w:ind w:left="1080" w:right="4920" w:hanging="393"/>
        <w:spacing w:after="0" w:line="397" w:lineRule="auto"/>
        <w:tabs>
          <w:tab w:leader="none" w:pos="1084"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Recent Sales of Unregistered Securities (last three years ending December 31, 2009) </w:t>
      </w:r>
      <w:r>
        <w:rPr>
          <w:rFonts w:ascii="Arial" w:cs="Arial" w:eastAsia="Arial" w:hAnsi="Arial"/>
          <w:sz w:val="13"/>
          <w:szCs w:val="13"/>
          <w:color w:val="auto"/>
        </w:rPr>
        <w:t>We issued the following unregistered securities in 2009:</w:t>
      </w:r>
    </w:p>
    <w:p>
      <w:pPr>
        <w:ind w:left="1280" w:right="280" w:hanging="190"/>
        <w:spacing w:after="0" w:line="276" w:lineRule="auto"/>
        <w:tabs>
          <w:tab w:leader="none" w:pos="12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September 2009, we issued 5,900 shares of common stock to the California Institute of Technology (Cal Tech) for payment of annual fees of $5,000 for each of two patent families to which we hold a license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8" w:lineRule="exact"/>
        <w:rPr>
          <w:sz w:val="20"/>
          <w:szCs w:val="20"/>
          <w:color w:val="auto"/>
        </w:rPr>
      </w:pPr>
    </w:p>
    <w:p>
      <w:pPr>
        <w:ind w:left="5620" w:right="4660" w:hanging="4534"/>
        <w:spacing w:after="0" w:line="575" w:lineRule="auto"/>
        <w:tabs>
          <w:tab w:leader="none" w:pos="1183" w:val="left"/>
        </w:tabs>
        <w:numPr>
          <w:ilvl w:val="0"/>
          <w:numId w:val="22"/>
        </w:numPr>
        <w:rPr>
          <w:rFonts w:ascii="Arial" w:cs="Arial" w:eastAsia="Arial" w:hAnsi="Arial"/>
          <w:sz w:val="9"/>
          <w:szCs w:val="9"/>
          <w:color w:val="auto"/>
        </w:rPr>
      </w:pPr>
      <w:r>
        <w:rPr>
          <w:rFonts w:ascii="Arial" w:cs="Arial" w:eastAsia="Arial" w:hAnsi="Arial"/>
          <w:sz w:val="11"/>
          <w:szCs w:val="11"/>
          <w:color w:val="auto"/>
        </w:rPr>
        <w:t>Cumulative total returns assumes a hypothetical investment of $100 on December 31, 2004.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380"/>
        <w:spacing w:after="0" w:line="276" w:lineRule="auto"/>
        <w:rPr>
          <w:sz w:val="20"/>
          <w:szCs w:val="20"/>
          <w:color w:val="auto"/>
        </w:rPr>
      </w:pPr>
      <w:r>
        <w:rPr>
          <w:rFonts w:ascii="Arial" w:cs="Arial" w:eastAsia="Arial" w:hAnsi="Arial"/>
          <w:sz w:val="13"/>
          <w:szCs w:val="13"/>
          <w:color w:val="auto"/>
        </w:rPr>
        <w:t>Cal Tech, payable in cash or stock at our choice. We elected to pay these fees in stock. The shares were issued in a transaction not involving any public offering pursuant to Section 4(2) of the Securities Act of 1933, as amended.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2008:</w:t>
      </w:r>
    </w:p>
    <w:p>
      <w:pPr>
        <w:spacing w:after="0" w:line="96" w:lineRule="exact"/>
        <w:rPr>
          <w:sz w:val="20"/>
          <w:szCs w:val="20"/>
          <w:color w:val="auto"/>
        </w:rPr>
      </w:pPr>
    </w:p>
    <w:p>
      <w:pPr>
        <w:ind w:left="128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September 2008, we issued 6,924 shares of common stock to Cal Tech for payment of annual fees of $5,000 for each of two patent families to which we hold a license from Cal Tech, payable in cash or stock at our choice. We elected to pay these fees in stock. The shares were issued in a transaction not involving any public offering pursuant to Section 4(2) of the Securities Act of 1933, as amended.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2007:</w:t>
      </w:r>
    </w:p>
    <w:p>
      <w:pPr>
        <w:spacing w:after="0" w:line="96" w:lineRule="exact"/>
        <w:rPr>
          <w:sz w:val="20"/>
          <w:szCs w:val="20"/>
          <w:color w:val="auto"/>
        </w:rPr>
      </w:pPr>
    </w:p>
    <w:p>
      <w:pPr>
        <w:ind w:left="128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June 2007, we issued 3,865 shares of common stock to Cal Tech for payment of annual fees of $5,000 for each of two patent families to which we hold a license from Cal Tech, payable in cash or stock at our choice. We elected to pay these fees in stock. The shares were issued in a transaction not involving any public offering pursuant to Section 4(2) of the Securities Act of 1933, as amended.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certain information with respect to all of our equity compensation plans in effect as of December 31,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34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Equity Compensation Plan Information</w:t>
            </w:r>
          </w:p>
        </w:tc>
        <w:tc>
          <w:tcPr>
            <w:tcW w:w="2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20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Number of Securities to</w:t>
            </w:r>
          </w:p>
        </w:tc>
        <w:tc>
          <w:tcPr>
            <w:tcW w:w="260" w:type="dxa"/>
            <w:vAlign w:val="bottom"/>
          </w:tcPr>
          <w:p>
            <w:pPr>
              <w:spacing w:after="0"/>
              <w:rPr>
                <w:sz w:val="7"/>
                <w:szCs w:val="7"/>
                <w:color w:val="auto"/>
              </w:rPr>
            </w:pPr>
          </w:p>
        </w:tc>
        <w:tc>
          <w:tcPr>
            <w:tcW w:w="2140" w:type="dxa"/>
            <w:vAlign w:val="bottom"/>
            <w:gridSpan w:val="3"/>
            <w:vMerge w:val="restart"/>
          </w:tcPr>
          <w:p>
            <w:pPr>
              <w:jc w:val="center"/>
              <w:ind w:right="600"/>
              <w:spacing w:after="0"/>
              <w:rPr>
                <w:sz w:val="20"/>
                <w:szCs w:val="20"/>
                <w:color w:val="auto"/>
              </w:rPr>
            </w:pPr>
            <w:r>
              <w:rPr>
                <w:rFonts w:ascii="Arial" w:cs="Arial" w:eastAsia="Arial" w:hAnsi="Arial"/>
                <w:sz w:val="10"/>
                <w:szCs w:val="10"/>
                <w:b w:val="1"/>
                <w:bCs w:val="1"/>
                <w:color w:val="auto"/>
                <w:w w:val="93"/>
              </w:rPr>
              <w:t>Weighted-Average</w:t>
            </w:r>
          </w:p>
        </w:tc>
        <w:tc>
          <w:tcPr>
            <w:tcW w:w="2180" w:type="dxa"/>
            <w:vAlign w:val="bottom"/>
          </w:tcPr>
          <w:p>
            <w:pPr>
              <w:jc w:val="center"/>
              <w:ind w:right="267"/>
              <w:spacing w:after="0" w:line="81" w:lineRule="exact"/>
              <w:rPr>
                <w:sz w:val="20"/>
                <w:szCs w:val="20"/>
                <w:color w:val="auto"/>
              </w:rPr>
            </w:pPr>
            <w:r>
              <w:rPr>
                <w:rFonts w:ascii="Arial" w:cs="Arial" w:eastAsia="Arial" w:hAnsi="Arial"/>
                <w:sz w:val="9"/>
                <w:szCs w:val="9"/>
                <w:b w:val="1"/>
                <w:bCs w:val="1"/>
                <w:color w:val="auto"/>
              </w:rPr>
              <w:t>Number of Securities</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be Issued upon</w:t>
            </w:r>
          </w:p>
        </w:tc>
        <w:tc>
          <w:tcPr>
            <w:tcW w:w="26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2180" w:type="dxa"/>
            <w:vAlign w:val="bottom"/>
          </w:tcPr>
          <w:p>
            <w:pPr>
              <w:jc w:val="center"/>
              <w:ind w:right="267"/>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Exercise of</w:t>
            </w:r>
          </w:p>
        </w:tc>
        <w:tc>
          <w:tcPr>
            <w:tcW w:w="260" w:type="dxa"/>
            <w:vAlign w:val="bottom"/>
          </w:tcPr>
          <w:p>
            <w:pPr>
              <w:spacing w:after="0"/>
              <w:rPr>
                <w:sz w:val="9"/>
                <w:szCs w:val="9"/>
                <w:color w:val="auto"/>
              </w:rPr>
            </w:pPr>
          </w:p>
        </w:tc>
        <w:tc>
          <w:tcPr>
            <w:tcW w:w="2140" w:type="dxa"/>
            <w:vAlign w:val="bottom"/>
            <w:gridSpan w:val="3"/>
          </w:tcPr>
          <w:p>
            <w:pPr>
              <w:jc w:val="center"/>
              <w:ind w:right="58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2180" w:type="dxa"/>
            <w:vAlign w:val="bottom"/>
          </w:tcPr>
          <w:p>
            <w:pPr>
              <w:jc w:val="center"/>
              <w:ind w:right="287"/>
              <w:spacing w:after="0" w:line="108" w:lineRule="exact"/>
              <w:rPr>
                <w:sz w:val="20"/>
                <w:szCs w:val="20"/>
                <w:color w:val="auto"/>
              </w:rPr>
            </w:pPr>
            <w:r>
              <w:rPr>
                <w:rFonts w:ascii="Arial" w:cs="Arial" w:eastAsia="Arial" w:hAnsi="Arial"/>
                <w:sz w:val="10"/>
                <w:szCs w:val="10"/>
                <w:b w:val="1"/>
                <w:bCs w:val="1"/>
                <w:color w:val="auto"/>
                <w:w w:val="95"/>
              </w:rPr>
              <w:t>Future Issuance Under Equity</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Outstanding Stock</w:t>
            </w:r>
          </w:p>
        </w:tc>
        <w:tc>
          <w:tcPr>
            <w:tcW w:w="260" w:type="dxa"/>
            <w:vAlign w:val="bottom"/>
          </w:tcPr>
          <w:p>
            <w:pPr>
              <w:spacing w:after="0"/>
              <w:rPr>
                <w:sz w:val="9"/>
                <w:szCs w:val="9"/>
                <w:color w:val="auto"/>
              </w:rPr>
            </w:pPr>
          </w:p>
        </w:tc>
        <w:tc>
          <w:tcPr>
            <w:tcW w:w="2140" w:type="dxa"/>
            <w:vAlign w:val="bottom"/>
            <w:gridSpan w:val="3"/>
          </w:tcPr>
          <w:p>
            <w:pPr>
              <w:jc w:val="center"/>
              <w:ind w:right="580"/>
              <w:spacing w:after="0" w:line="108" w:lineRule="exact"/>
              <w:rPr>
                <w:sz w:val="20"/>
                <w:szCs w:val="20"/>
                <w:color w:val="auto"/>
              </w:rPr>
            </w:pPr>
            <w:r>
              <w:rPr>
                <w:rFonts w:ascii="Arial" w:cs="Arial" w:eastAsia="Arial" w:hAnsi="Arial"/>
                <w:sz w:val="10"/>
                <w:szCs w:val="10"/>
                <w:b w:val="1"/>
                <w:bCs w:val="1"/>
                <w:color w:val="auto"/>
                <w:w w:val="94"/>
              </w:rPr>
              <w:t>Outstanding Stock</w:t>
            </w:r>
          </w:p>
        </w:tc>
        <w:tc>
          <w:tcPr>
            <w:tcW w:w="2180" w:type="dxa"/>
            <w:vAlign w:val="bottom"/>
          </w:tcPr>
          <w:p>
            <w:pPr>
              <w:jc w:val="center"/>
              <w:ind w:right="287"/>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Options,</w:t>
            </w:r>
          </w:p>
        </w:tc>
        <w:tc>
          <w:tcPr>
            <w:tcW w:w="260" w:type="dxa"/>
            <w:vAlign w:val="bottom"/>
          </w:tcPr>
          <w:p>
            <w:pPr>
              <w:spacing w:after="0"/>
              <w:rPr>
                <w:sz w:val="9"/>
                <w:szCs w:val="9"/>
                <w:color w:val="auto"/>
              </w:rPr>
            </w:pPr>
          </w:p>
        </w:tc>
        <w:tc>
          <w:tcPr>
            <w:tcW w:w="2140" w:type="dxa"/>
            <w:vAlign w:val="bottom"/>
            <w:gridSpan w:val="3"/>
          </w:tcPr>
          <w:p>
            <w:pPr>
              <w:jc w:val="center"/>
              <w:ind w:right="600"/>
              <w:spacing w:after="0" w:line="108" w:lineRule="exact"/>
              <w:rPr>
                <w:sz w:val="20"/>
                <w:szCs w:val="20"/>
                <w:color w:val="auto"/>
              </w:rPr>
            </w:pPr>
            <w:r>
              <w:rPr>
                <w:rFonts w:ascii="Arial" w:cs="Arial" w:eastAsia="Arial" w:hAnsi="Arial"/>
                <w:sz w:val="10"/>
                <w:szCs w:val="10"/>
                <w:b w:val="1"/>
                <w:bCs w:val="1"/>
                <w:color w:val="auto"/>
                <w:w w:val="93"/>
              </w:rPr>
              <w:t>Options,</w:t>
            </w:r>
          </w:p>
        </w:tc>
        <w:tc>
          <w:tcPr>
            <w:tcW w:w="2180" w:type="dxa"/>
            <w:vAlign w:val="bottom"/>
          </w:tcPr>
          <w:p>
            <w:pPr>
              <w:jc w:val="center"/>
              <w:ind w:right="267"/>
              <w:spacing w:after="0" w:line="108" w:lineRule="exact"/>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060" w:type="dxa"/>
            <w:vAlign w:val="bottom"/>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60" w:type="dxa"/>
            <w:vAlign w:val="bottom"/>
          </w:tcPr>
          <w:p>
            <w:pPr>
              <w:spacing w:after="0"/>
              <w:rPr>
                <w:sz w:val="10"/>
                <w:szCs w:val="10"/>
                <w:color w:val="auto"/>
              </w:rPr>
            </w:pPr>
          </w:p>
        </w:tc>
        <w:tc>
          <w:tcPr>
            <w:tcW w:w="214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96"/>
              </w:rPr>
              <w:t>Warrants and Rights</w:t>
            </w:r>
          </w:p>
        </w:tc>
        <w:tc>
          <w:tcPr>
            <w:tcW w:w="2180" w:type="dxa"/>
            <w:vAlign w:val="bottom"/>
          </w:tcPr>
          <w:p>
            <w:pPr>
              <w:jc w:val="center"/>
              <w:ind w:right="287"/>
              <w:spacing w:after="0"/>
              <w:rPr>
                <w:sz w:val="20"/>
                <w:szCs w:val="20"/>
                <w:color w:val="auto"/>
              </w:rPr>
            </w:pPr>
            <w:r>
              <w:rPr>
                <w:rFonts w:ascii="Arial" w:cs="Arial" w:eastAsia="Arial" w:hAnsi="Arial"/>
                <w:sz w:val="10"/>
                <w:szCs w:val="10"/>
                <w:b w:val="1"/>
                <w:bCs w:val="1"/>
                <w:color w:val="auto"/>
                <w:w w:val="96"/>
              </w:rPr>
              <w:t>Reflected in Column(a))</w:t>
            </w:r>
          </w:p>
        </w:tc>
        <w:tc>
          <w:tcPr>
            <w:tcW w:w="0" w:type="dxa"/>
            <w:vAlign w:val="bottom"/>
          </w:tcPr>
          <w:p>
            <w:pPr>
              <w:spacing w:after="0"/>
              <w:rPr>
                <w:sz w:val="1"/>
                <w:szCs w:val="1"/>
                <w:color w:val="auto"/>
              </w:rPr>
            </w:pPr>
          </w:p>
        </w:tc>
      </w:tr>
      <w:tr>
        <w:trPr>
          <w:trHeight w:val="125"/>
        </w:trPr>
        <w:tc>
          <w:tcPr>
            <w:tcW w:w="3340" w:type="dxa"/>
            <w:vAlign w:val="bottom"/>
            <w:vMerge w:val="continue"/>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26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jc w:val="center"/>
              <w:ind w:right="287"/>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20"/>
                <w:szCs w:val="20"/>
                <w:color w:val="auto"/>
              </w:rPr>
            </w:pPr>
            <w:r>
              <w:rPr>
                <w:rFonts w:ascii="Arial" w:cs="Arial" w:eastAsia="Arial" w:hAnsi="Arial"/>
                <w:sz w:val="13"/>
                <w:szCs w:val="13"/>
                <w:color w:val="auto"/>
                <w:w w:val="97"/>
              </w:rPr>
              <w:t>Equity compensation plans approved by security holders(1)</w:t>
            </w:r>
          </w:p>
        </w:tc>
        <w:tc>
          <w:tcPr>
            <w:tcW w:w="2060" w:type="dxa"/>
            <w:vAlign w:val="bottom"/>
          </w:tcPr>
          <w:p>
            <w:pPr>
              <w:jc w:val="center"/>
              <w:spacing w:after="0"/>
              <w:rPr>
                <w:sz w:val="20"/>
                <w:szCs w:val="20"/>
                <w:color w:val="auto"/>
              </w:rPr>
            </w:pPr>
            <w:r>
              <w:rPr>
                <w:rFonts w:ascii="Arial" w:cs="Arial" w:eastAsia="Arial" w:hAnsi="Arial"/>
                <w:sz w:val="13"/>
                <w:szCs w:val="13"/>
                <w:color w:val="auto"/>
                <w:w w:val="89"/>
              </w:rPr>
              <w:t>11,698,713</w:t>
            </w:r>
          </w:p>
        </w:tc>
        <w:tc>
          <w:tcPr>
            <w:tcW w:w="1820" w:type="dxa"/>
            <w:vAlign w:val="bottom"/>
            <w:gridSpan w:val="2"/>
          </w:tcPr>
          <w:p>
            <w:pPr>
              <w:jc w:val="right"/>
              <w:ind w:right="608"/>
              <w:spacing w:after="0"/>
              <w:rPr>
                <w:sz w:val="20"/>
                <w:szCs w:val="20"/>
                <w:color w:val="auto"/>
              </w:rPr>
            </w:pPr>
            <w:r>
              <w:rPr>
                <w:rFonts w:ascii="Arial" w:cs="Arial" w:eastAsia="Arial" w:hAnsi="Arial"/>
                <w:sz w:val="13"/>
                <w:szCs w:val="13"/>
                <w:color w:val="auto"/>
              </w:rPr>
              <w:t>$1.80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jc w:val="center"/>
              <w:ind w:right="267"/>
              <w:spacing w:after="0"/>
              <w:rPr>
                <w:sz w:val="20"/>
                <w:szCs w:val="20"/>
                <w:color w:val="auto"/>
              </w:rPr>
            </w:pPr>
            <w:r>
              <w:rPr>
                <w:rFonts w:ascii="Arial" w:cs="Arial" w:eastAsia="Arial" w:hAnsi="Arial"/>
                <w:sz w:val="13"/>
                <w:szCs w:val="13"/>
                <w:color w:val="auto"/>
                <w:w w:val="93"/>
              </w:rPr>
              <w:t>5,688,555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-129540</wp:posOffset>
            </wp:positionV>
            <wp:extent cx="1841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259"/>
        <w:spacing w:after="0" w:line="264"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stock options issued to employees and directors, restricted stock units issued to employees and stock options issued as compensation to consultants for consultation services. These stock options and restricted stock units were issued under our 1992 Equity Incentive Plan, Directors’ Stock Option Plan, StemCells, Inc. Stock Option Plan, or our 2001, 2004 and 2006 Equity Incentive Plans.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selected financial and operating data are derived from our audited consolidated financial statements. The selected financial and operating data should be read in conjunction with “Item 7. Management’s Discussion and Analysis of Financial Condition and Results of Operation” and the consolidated financial statements and notes thereto contained elsewhere in this Form 10-K.</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7"/>
          </w:tcPr>
          <w:p>
            <w:pPr>
              <w:jc w:val="right"/>
              <w:spacing w:after="0"/>
              <w:rPr>
                <w:sz w:val="20"/>
                <w:szCs w:val="20"/>
                <w:color w:val="auto"/>
              </w:rPr>
            </w:pPr>
            <w:r>
              <w:rPr>
                <w:rFonts w:ascii="Arial" w:cs="Arial" w:eastAsia="Arial" w:hAnsi="Arial"/>
                <w:sz w:val="10"/>
                <w:szCs w:val="10"/>
                <w:b w:val="1"/>
                <w:bCs w:val="1"/>
                <w:color w:val="auto"/>
                <w:w w:val="99"/>
              </w:rPr>
              <w:t>(In thousands, except per share amounts)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Statements of Operations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Revenue from licensing agreements and grants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608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232</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Revenue from product sales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Research and development expenses(1)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19,930</w:t>
            </w:r>
          </w:p>
        </w:tc>
        <w:tc>
          <w:tcPr>
            <w:tcW w:w="1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17,808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19,937</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13,600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8,226</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9,530</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8,296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5,540</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Wind-down expenses(2)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650</w:t>
            </w:r>
          </w:p>
        </w:tc>
        <w:tc>
          <w:tcPr>
            <w:tcW w:w="1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866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783</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709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2,827</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Write down for other than temporary impairment of marketable securities(3)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2,083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Gain (loss) on change in fair value of warrant liabilities(4)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1,899</w:t>
            </w:r>
          </w:p>
        </w:tc>
        <w:tc>
          <w:tcPr>
            <w:tcW w:w="140" w:type="dxa"/>
            <w:vAlign w:val="bottom"/>
          </w:tcPr>
          <w:p>
            <w:pPr>
              <w:spacing w:after="0"/>
              <w:rPr>
                <w:sz w:val="13"/>
                <w:szCs w:val="13"/>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3"/>
                <w:szCs w:val="13"/>
                <w:color w:val="auto"/>
              </w:rPr>
              <w:t>(937)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License &amp; settlement agreement income, net(5)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3,736</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Gain on sale of marketable securities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407</w:t>
            </w:r>
          </w:p>
        </w:tc>
        <w:tc>
          <w:tcPr>
            <w:tcW w:w="1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716</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(27,026)</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(29,087)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(25,023)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0"/>
              </w:rPr>
              <w:t>(18,948)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(11,738)</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Basic and diluted loss per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(0.25)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88"/>
              <w:spacing w:after="0"/>
              <w:rPr>
                <w:sz w:val="20"/>
                <w:szCs w:val="20"/>
                <w:color w:val="auto"/>
              </w:rPr>
            </w:pPr>
            <w:r>
              <w:rPr>
                <w:rFonts w:ascii="Arial" w:cs="Arial" w:eastAsia="Arial" w:hAnsi="Arial"/>
                <w:sz w:val="13"/>
                <w:szCs w:val="13"/>
                <w:color w:val="auto"/>
              </w:rPr>
              <w:t>(0.35)</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(0.31)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(0.18)</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basic and diluted loss per share amounts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106,046</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82,716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79,772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63,643</w:t>
            </w:r>
          </w:p>
        </w:tc>
      </w:tr>
      <w:tr>
        <w:trPr>
          <w:trHeight w:val="28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Consolidated Balance Sheets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38,618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30,043</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9,759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51,795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34,541</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4,182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29,847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3,721</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51,190</w:t>
            </w:r>
          </w:p>
        </w:tc>
        <w:tc>
          <w:tcPr>
            <w:tcW w:w="1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41,230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48,283</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66,857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44,839</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4,506</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5,513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7,306</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Fair value of warrant liabilities(4)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9,677</w:t>
            </w:r>
          </w:p>
        </w:tc>
        <w:tc>
          <w:tcPr>
            <w:tcW w:w="1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8,440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capital leases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867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1,351</w:t>
            </w:r>
          </w:p>
        </w:tc>
      </w:tr>
      <w:tr>
        <w:trPr>
          <w:trHeight w:val="165"/>
        </w:trPr>
        <w:tc>
          <w:tcPr>
            <w:tcW w:w="52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30,495</w:t>
            </w:r>
          </w:p>
        </w:tc>
        <w:tc>
          <w:tcPr>
            <w:tcW w:w="140" w:type="dxa"/>
            <w:vAlign w:val="bottom"/>
          </w:tcPr>
          <w:p>
            <w:pPr>
              <w:spacing w:after="0"/>
              <w:rPr>
                <w:sz w:val="14"/>
                <w:szCs w:val="14"/>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color w:val="auto"/>
              </w:rPr>
              <w:t>21,809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35,212</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54,376</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18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Effective January 1, 2006, we recognize in operating expenses, the fair value of our stock-based compensation awards. See Note 10 “Stock-Based Compensation” in the Notes to the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14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wind-down and exit expenses in respect of our Rhode Island facility and relocation of our operations in Australia . See Note 11 “Wind-down and exit costs” in the Notes to the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54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the impairment of our marketable equity securities (shares of ReNeuron) determined to be other than temporary. See Note 2 “Financial Instruments” in the Notes to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26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the fair value of warrants issued as part of our financing in November 2008 and November 2009. See Note 13 “Warrant Liability” in the Notes to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52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an agreement with ReNeuron. See Note 2 “Financial Instruments” in the Notes to Consolidated Financial Statements of Part II, Item 8 of this Form 10-K for further information.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HuCNS-SC cells for the treatment of neuronal ceroid lipofuscinosis (NCL, also known as Batten disease), Pelizeaus-Merzbacher disease (PMD), or any other disease; uncertainty as to whether the U.S. Food and Drug Administration (FDA) or other regulatory authorities will permit us to proceed with clinical testing of proposed products despite the novel and unproven nature of our technologies; the risk that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of this Form 10-K.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Company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are engaged in researching, developing, and commercializing stem cell therapeutics and enabling technologies for stem cell-based research and drug discovery and development. Our research and development (R&amp;D) programs are primarily focused on our cellular medicine programs, where we are engaged in identifying and developing potential cell-based therapeutics which can either restore or support organ function. In particular, since we relocated our corporate headquarters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0"/>
          <w:szCs w:val="10"/>
          <w:color w:val="auto"/>
        </w:rPr>
        <w:t>®</w:t>
      </w:r>
      <w:r>
        <w:rPr>
          <w:rFonts w:ascii="Arial" w:cs="Arial" w:eastAsia="Arial" w:hAnsi="Arial"/>
          <w:sz w:val="12"/>
          <w:szCs w:val="12"/>
          <w:color w:val="auto"/>
        </w:rPr>
        <w:t xml:space="preserve"> product candidate (purified human neural stem cells) is currently in clinical development for two indications: neuronal ceroid lipofuscinosis (NCL), a lysomal storage disorder often referred to as Batten disease, and Pelizeaus-Merzbacher Disease (PMD), a myelination disorder in the brain. We have completed a six patient Phase I clinical trial in infantile and late infantile NCL. The data from this trial showed that the HuCNS-SC cells were well tolerated and there was evidence of engraftment and long-term survival of the HuCNS-SC cells. In November 2009, we met with the FDA to review the results our Phase I trial in NCL and to discuss our proposed clinical development plans. During this meeting, the FDA acknowledged our position that the risk-benefit profile shown by the Phase I data merits further clinical evaluation of HuCNS-SC cells in NCL. We continue to be in discussions with the FDA regarding our plans for a second clinical trial in NCL, although there can be no assurance when or if such a trial will be initiated. Also in November 2009, we initiated a Phase I clinical trial to assess the safety and preliminary effectiveness of HuCNS-SC cells as a treatment for PMD. In February 2010, we enrolled and treated the first patient in this trial, and we expect it will take 12-18 months to</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complete enrollment. In addition to these clinical development activities, our HuCNS-SC cells are in preclinical development for spinal cord injury and retinal disorders. In our Liver Program, we are in preclinical development with our human liver engrafting cells. We have decided to defer initiating a clinical study of hLEC pending additional improvements to our process of isolating and purifying hLEC. For a brief description of our significant therapeutic research and development programs see Overview “Research and Development Programs” in the Business Section of Part I, Item 1 of this Form 10-K. We have also conducted research on several other cell types and in other areas, which could lead to other possible product candidates, process improvements or further research activities.</w:t>
      </w:r>
    </w:p>
    <w:p>
      <w:pPr>
        <w:spacing w:after="0" w:line="71" w:lineRule="exact"/>
        <w:rPr>
          <w:sz w:val="20"/>
          <w:szCs w:val="20"/>
          <w:color w:val="auto"/>
        </w:rPr>
      </w:pPr>
    </w:p>
    <w:p>
      <w:pPr>
        <w:ind w:left="680" w:right="140" w:firstLine="399"/>
        <w:spacing w:after="0" w:line="316" w:lineRule="auto"/>
        <w:rPr>
          <w:sz w:val="20"/>
          <w:szCs w:val="20"/>
          <w:color w:val="auto"/>
        </w:rPr>
      </w:pPr>
      <w:r>
        <w:rPr>
          <w:rFonts w:ascii="Arial" w:cs="Arial" w:eastAsia="Arial" w:hAnsi="Arial"/>
          <w:sz w:val="11"/>
          <w:szCs w:val="11"/>
          <w:color w:val="auto"/>
        </w:rPr>
        <w:t>We are also engaged in developing and commercializing applications of our technologies to enable research, which we believe represent nearer-term commercial opportunities. Our portfolio of technologies includes cell technologies relating to embryonic stem cells, induced pluripotent stem (iPS) cells, and tissue-derived (adult) stem cells; expertise and infrastructure for providing cell-based assays for drug discovery; a cell culture products business; and an intellectual property portfolio with claims relevant to cell processing, reprogramming and manipulation, as well as to gene targeting and insertion. Much of our these enabling technologies were acquired in April 2009 as part of our acquisition of the operations of Stem Cell Sciences Plc (SCS). See Note 5, “Acquisition of SCS Operations,” in the Notes to Consolidated Financial Statements in Part II, Item 8 of this Form 10-K for further information.</w:t>
      </w:r>
    </w:p>
    <w:p>
      <w:pPr>
        <w:spacing w:after="0" w:line="42"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We have not derived any revenue or cash flows from the sale or commercialization of any products except for license revenue for certain of our patented cells and sales of cell culture products for use in research.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39"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 xml:space="preserve">Before we can derive revenue or cash inflows from the commercialization of any of our therapeutic product candidates, we will need to: (i) conduct substantial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testing and characterization of our proprietary cell types, (ii) undertake preclinical and clinical testing for specific disease indications; (iii) develop, validate and scale-up manufacturing processes to produce these cell-based therapeutics, and (iv) obtain required regulatory approvals. These steps are risky, expensive and time consuming.</w:t>
      </w:r>
    </w:p>
    <w:p>
      <w:pPr>
        <w:spacing w:after="0" w:line="5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therapeutic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6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Given the early stage of development of our therapeutic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research markets served by our enabling technologies are highly competitive, complex and dynamic. Technological advances and scientific discoveries have accelerated the pace of change in biological research, and stem cell technologies have been evolving particularly fast. We compete mainly by focusing on specialty media products and cell-based assays, which are custom designed for use in stem cell-based research, where we believe our expertise, intellectual property and reputation give us competitive advantage. We believe that, in this particular market niche, our products and technologies offer customers specific advantages over those offered by our competitors. We compete by offering innovative, quality-controlled products, consistently made and designed to produce reproducible results. We continue to make investments in research and development, quality management, quality improvement, and product innovation. We cannot assure you that we will have sufficient resources to continue to make such investments. For the year ended December 31, 2009, we generated revenues from the sale of specialty cell culture products of approximately $385,000. We can give no assurances that we will be able to continue to generate such revenues in the future.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Events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Cellular Medicine: Clinical Development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January 2009, we completed our Phase I clinical trial of HuCNS-SC cells in infantile and late infantile NCL (also often referred to as Batten disease).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June 2009, we announced positive results from our NCL trial. This Phase I trial was designed primarily to assess the safety of HuCNS-SC cells as a potential cell-based therapeutic. Overall, the trial data demonstrated that the HuCNS-SC cells, the transplantation procedure and the immunosuppression regimen were well tolerated by all six patients enrolled in the trial, and that the patients’ medical, neurological and neuropsychological conditions, following transplantation, appeared consistent with the normal course of the disease. In addition to this favorable safety profile, we reported evidence of engraftment and long-term survival of the HuCNS-SC cells.</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November 2009, we met with the FDA to review the results of our NCL trial and to discuss our proposed clinical development plans. During this meeting, the FDA acknowledged our position that the risk-benefit profile shown by the Phase I data merits further clinical evaluation of HuCNS-SC cells in NCL. We continue to be in discussions with the FDA regarding our plans for a second NCL trial.</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November 2009, we initiated a Phase I clinical trial designed to test the safety and preliminary efficacy of our HuCNS-SC cells in PMD. This study, which is the second clinical trial of our HuCNS-SC cells in a neurodegenerative disease, is being conducted at the University of California, San Francisco (UCSF).</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February 2010, we enrolled and treated the first patient in our PMD trial at UCSF, marking the first time that neural stem cells have been transplanted as a potential treatment for a myelination disorder. We expect it will take 12-18 months to complete enrollment in this trial.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Cellular Medicine: Preclinical Development</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 xml:space="preserve">In May 2009, our collaborators at Oregon Health &amp; Science University (OHSU) Casey Eye Institute presented data at the Association for Research in Vision and Ophthalmology </w:t>
      </w:r>
      <w:r>
        <w:rPr>
          <w:rFonts w:ascii="Arial" w:cs="Arial" w:eastAsia="Arial" w:hAnsi="Arial"/>
          <w:sz w:val="13"/>
          <w:szCs w:val="13"/>
          <w:i w:val="1"/>
          <w:iCs w:val="1"/>
          <w:color w:val="auto"/>
        </w:rPr>
        <w:t xml:space="preserve">2009 Annual Meeting </w:t>
      </w:r>
      <w:r>
        <w:rPr>
          <w:rFonts w:ascii="Arial" w:cs="Arial" w:eastAsia="Arial" w:hAnsi="Arial"/>
          <w:sz w:val="13"/>
          <w:szCs w:val="13"/>
          <w:color w:val="auto"/>
        </w:rPr>
        <w:t>showing that our human neural stem cells, when transplanted into an animal model of retinal degeneration, engraft long-term and protect the retina from progressive</w:t>
      </w:r>
      <w:r>
        <w:rPr>
          <w:rFonts w:ascii="Arial" w:cs="Arial" w:eastAsia="Arial" w:hAnsi="Arial"/>
          <w:sz w:val="13"/>
          <w:szCs w:val="13"/>
          <w:i w:val="1"/>
          <w:iCs w:val="1"/>
          <w:color w:val="auto"/>
        </w:rPr>
        <w:t xml:space="preserve"> </w:t>
      </w:r>
      <w:r>
        <w:rPr>
          <w:rFonts w:ascii="Arial" w:cs="Arial" w:eastAsia="Arial" w:hAnsi="Arial"/>
          <w:sz w:val="13"/>
          <w:szCs w:val="13"/>
          <w:color w:val="auto"/>
        </w:rPr>
        <w:t>degeneration. Retinal degeneration leads to loss of vision in diseases such as age-related macular degeneration.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In September 2009, our preclinical data demonstrating proof-of-concept of our HuCNS-SC cells in NCL was published in the peer-reviewed journal </w:t>
      </w:r>
      <w:r>
        <w:rPr>
          <w:rFonts w:ascii="Arial" w:cs="Arial" w:eastAsia="Arial" w:hAnsi="Arial"/>
          <w:sz w:val="13"/>
          <w:szCs w:val="13"/>
          <w:i w:val="1"/>
          <w:iCs w:val="1"/>
          <w:color w:val="auto"/>
        </w:rPr>
        <w:t>Cell Stem Cell</w:t>
      </w:r>
      <w:r>
        <w:rPr>
          <w:rFonts w:ascii="Arial" w:cs="Arial" w:eastAsia="Arial" w:hAnsi="Arial"/>
          <w:sz w:val="13"/>
          <w:szCs w:val="13"/>
          <w:color w:val="auto"/>
        </w:rPr>
        <w:t>. Our human neural stem cells, when transplanted in a mouse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model of infantile NCL, were shown to engraft, migrate throughout the brain and continuously secrete the missing lysosomal enzyme characteristic of NCL. Moreover, mice transplanted with our neural stem cells showed statistically significant reduction in cellular waste build-up, protection of critical host neurons and delayed loss of motor function compared with the control (non-transplanted) group.</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September 2009, we received ethics committee approval at the Université Catholique de Louvain (UCL) in Belgium to initiate a clinical study evaluating hLEC as a potential cellular therapy for liver-based metabolic disorders. However, we have decided to defer initiating a clinical study of our hLEC cells pending additional refinements to our process of isolating and purifying these cells.</w:t>
      </w:r>
    </w:p>
    <w:p>
      <w:pPr>
        <w:spacing w:after="0" w:line="67"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 xml:space="preserve">In October 2009, our collaborators at OHSU Casey Eye Institute presented preclinical data showing that our human neural stem cells, when transplanted into an animal model of retinal degeneration, protect cone photoreceptors (cones) in the eye from progressive degeneration and preserve visual function long term. Cones are light sensing cells that are highly concentrated within the macula of the human eye. The ability to protect these cells suggests a promising approach to treating age-related macular degeneration, the leading cause of vision loss and blindness in people over the age of 55. These findings were presented at the Society for Neuroscience </w:t>
      </w:r>
      <w:r>
        <w:rPr>
          <w:rFonts w:ascii="Arial" w:cs="Arial" w:eastAsia="Arial" w:hAnsi="Arial"/>
          <w:sz w:val="12"/>
          <w:szCs w:val="12"/>
          <w:i w:val="1"/>
          <w:iCs w:val="1"/>
          <w:color w:val="auto"/>
        </w:rPr>
        <w:t>2009 Annual Meeting</w:t>
      </w:r>
      <w:r>
        <w:rPr>
          <w:rFonts w:ascii="Arial" w:cs="Arial" w:eastAsia="Arial" w:hAnsi="Arial"/>
          <w:sz w:val="12"/>
          <w:szCs w:val="12"/>
          <w:color w:val="auto"/>
        </w:rPr>
        <w: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Enabling Technologies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April 2009, we closed the acquisition of the operations of SCS for 2,650,000 shares of our common stock and approximately $700,000 in cash. As a result, we acquired proprietary cell technologies relating to embryonic stem cells, induced pluripotent stem cells, and tissue-derived (adult) stem cells; expertise and infrastructure for providing cell-based assays for drug discovery; the SC Proven cell culture business; an intellectual property portfolio with claims relevant to cell processing, reprogramming and manipulation, as well as to gene targeting and insertion; and a European presence with operations in Cambridge, U.K.</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September 2009, we announced organizational initiatives focused on growing our SC Proven cell culture products business and advancing the development and commercialization of cell-based assay platforms for use in drug discovery and development. These initiatives included new personnel appointments and a realignment of activities within our Cambridge, U.K. and Palo Alto, California locations, as well as the wind-down of our operations in Melbourne, Australia.</w:t>
      </w:r>
    </w:p>
    <w:p>
      <w:pPr>
        <w:spacing w:after="0" w:line="67"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In January 2010, we launched GS1-R, the first commercially available medium to enable the derivation, maintenance and growth of true (germline competent) rat embryonic stem cells. GS1-R is expected to have significant utility in the creation of genetically engineered rat models of human disease for use in academic, medical and pharmaceutical research.</w:t>
      </w:r>
    </w:p>
    <w:p>
      <w:pPr>
        <w:spacing w:after="0" w:line="1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February 2010, we launched GS2-M, a new cell culture medium that enables the derivation and long-term maintenance of true mouse iPS cells. GS2-M has been shown to increase the efficiency of reprogramming ’pre-iPS’ cells to derive fully pluripotent stem cells, and to maintain mouse iPS cells in a pluripotent state in long-term culture.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Intellectual Property and Licensing Activities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April 2009, we announced that a major international pharmaceutical company acquired a non-exclusive license to our Internal Ribosome Entry Site (IRES) technology. The IRES technology enables researchers to genetically modify any mammalian cell and to monitor the activity of a particular gene of interest without blocking the normal function of the gene. The IRES technology is particularly important for evaluating the success of gene knock-outs or knock-ins in stem cells, as well as for the successful creation of transgenic mouse and rat disease models.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May 2009, the U.S. Patent and Trademark Office (PTO) upheld the validity of our two remaining neural stem cell patents that were subjected to reexamination proceedings commenced by Neuralstem, Inc. The decision by the PTO to uphold the two patents is final and cannot be appealed. A total of five patents were reexamined in proceedings requested by Neuralstem, and the validity of all five has been upheld by the PTO. Four of the upheld patents are the subject of litigation initiated by us against Neuralstem. In this case, we allege against Neuralstem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various unfair competition torts and infringement of a total of six patents. These six patents collectively claim the manufacture and use of human neural stem and progenitor cells as tools for drug discovery and as therapeutic agents. In August 2009, the court approved a scheduling order for discovery and trial.</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December 2009, we received a Notice of Allowance and a Notice of Issuance from the PTO for two patents claiming technologies for the establishment and maintenance of cell pluripotency, including the reprogramming of cells to create pluripotent stem cells. These patents strengthen our intellectual property position in both the embryonic stem cell and iPS cell fields.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Financing and Stock-related Activities</w:t>
      </w:r>
    </w:p>
    <w:p>
      <w:pPr>
        <w:spacing w:after="0" w:line="94" w:lineRule="exact"/>
        <w:rPr>
          <w:sz w:val="20"/>
          <w:szCs w:val="20"/>
          <w:color w:val="auto"/>
        </w:rPr>
      </w:pPr>
    </w:p>
    <w:p>
      <w:pPr>
        <w:ind w:left="680" w:right="440" w:firstLine="399"/>
        <w:spacing w:after="0" w:line="323" w:lineRule="auto"/>
        <w:rPr>
          <w:sz w:val="20"/>
          <w:szCs w:val="20"/>
          <w:color w:val="auto"/>
        </w:rPr>
      </w:pPr>
      <w:r>
        <w:rPr>
          <w:rFonts w:ascii="Arial" w:cs="Arial" w:eastAsia="Arial" w:hAnsi="Arial"/>
          <w:sz w:val="12"/>
          <w:szCs w:val="12"/>
          <w:color w:val="auto"/>
        </w:rPr>
        <w:t>In June 2009, we were added to the Russell 3000</w:t>
      </w:r>
      <w:r>
        <w:rPr>
          <w:rFonts w:ascii="Arial" w:cs="Arial" w:eastAsia="Arial" w:hAnsi="Arial"/>
          <w:sz w:val="10"/>
          <w:szCs w:val="10"/>
          <w:color w:val="auto"/>
        </w:rPr>
        <w:t>®</w:t>
      </w:r>
      <w:r>
        <w:rPr>
          <w:rFonts w:ascii="Arial" w:cs="Arial" w:eastAsia="Arial" w:hAnsi="Arial"/>
          <w:sz w:val="12"/>
          <w:szCs w:val="12"/>
          <w:color w:val="auto"/>
        </w:rPr>
        <w:t xml:space="preserve"> Index, a broad market index that measures the performance of the 3000 largest companies in the United States. We are also included in the Russell 2000</w:t>
      </w:r>
      <w:r>
        <w:rPr>
          <w:rFonts w:ascii="Arial" w:cs="Arial" w:eastAsia="Arial" w:hAnsi="Arial"/>
          <w:sz w:val="10"/>
          <w:szCs w:val="10"/>
          <w:color w:val="auto"/>
        </w:rPr>
        <w:t>®</w:t>
      </w:r>
      <w:r>
        <w:rPr>
          <w:rFonts w:ascii="Arial" w:cs="Arial" w:eastAsia="Arial" w:hAnsi="Arial"/>
          <w:sz w:val="12"/>
          <w:szCs w:val="12"/>
          <w:color w:val="auto"/>
        </w:rPr>
        <w:t xml:space="preserve"> Index, which is a subset of the Russell 3000 representing the small capitalization segment of the U.S. equity market.</w:t>
      </w:r>
    </w:p>
    <w:p>
      <w:pPr>
        <w:spacing w:after="0" w:line="34" w:lineRule="exact"/>
        <w:rPr>
          <w:sz w:val="20"/>
          <w:szCs w:val="20"/>
          <w:color w:val="auto"/>
        </w:rPr>
      </w:pPr>
    </w:p>
    <w:p>
      <w:pPr>
        <w:jc w:val="both"/>
        <w:ind w:left="680" w:right="160" w:firstLine="399"/>
        <w:spacing w:after="0" w:line="334" w:lineRule="auto"/>
        <w:rPr>
          <w:sz w:val="20"/>
          <w:szCs w:val="20"/>
          <w:color w:val="auto"/>
        </w:rPr>
      </w:pPr>
      <w:r>
        <w:rPr>
          <w:rFonts w:ascii="Arial" w:cs="Arial" w:eastAsia="Arial" w:hAnsi="Arial"/>
          <w:sz w:val="11"/>
          <w:szCs w:val="11"/>
          <w:color w:val="auto"/>
        </w:rPr>
        <w:t>In November 2009, we raised gross proceeds of $12,500,000 through the sale of 10,000,000 shares of common stock and warrants to purchase 4,000,000 shares of common stock. The common stock and warrants were sold in units, with each unit consisting of (i) one share of common stock and (ii) a warrant to purchase 0.4 of a share of common stock at an exercise price of $1.50 per share, and the purchase price was $1.25 per unit. We received total proceeds, net of offering expenses and placement agency fees, of approximately $11,985,000.</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accompanying discussion and analysis of our financial condition and results of operations are based on our Consolidated Financial Statements and the related disclosures, which have been prepared in accordance with U.S. generally accepted accounting principles (GAAP). The preparation of these Consolidated Financial Statements requires management to make estimates, assumptions, and judgments that affect the reported amounts in our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 Liability</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Authoritative accounting guidance prescribes that warrants issued under contracts that could require net-cash settlement should be classified as liabilities and contracts that only provide for settlement in shares should be classified as equity. In order for a contract to be classified as equity, specific conditions must be met. These conditions are intended to identify situations in which net cash settlement could be forced upon the issuer. As part of both our November 2008 and November 2009 financings, we issued warrants with five year terms to purchase 10,344,828 and 4,000,000 shares of our common stock at $2.30 and $1.50 per share, respectively. As the contracts include the possibility of net-cash settlement, we are required to classify the fair value of the warrants issued as a liability, with subsequent changes in fair value to be recorded as income (loss) on change in fair value of warrant liability. The fair value of the warrants is determined using the Black-Scholes-Merton (Black-Scholes) option pricing model and is affected by changes in inputs to that model including our stock price, expected stock price volatility, the contractual term, and the risk-free interest rate. Our estimate of the expected volatility is based on historical volatility. The expected term of the warrants is based on the time to expiration of the warrants from the date of measurement. Risk-free interest rates are derived from the yield on U.S. Treasury debt securities. We will continue to classify the fair value of the warrants as a liability until the warrants are exercised, expire or are amended in a way that would no longer require these warrants to be classified as a liability. The estimated fair value of our warrant liability, at December 31, 2009, was approximately $9,677,000.</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U.S. GAAP requires us to recognize expense related to the fair value of our stock-based compensation awards, including employee stock options and restricted stock units. Employee stock-based compensation is estimated 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the date of grant based on the award’s fair value using the Black-Scholes option pricing model and is recognized as expense ratably over the requisite service period. The Black-Scholes option pricing model requires the use of certain assumptions, the most significant of which are our estimates of the expected volatility of the market price of our stock, the expected term of the award, and the risk-free interest rate. Our estimate of the expected volatility is based on historical volatility. The expected term represents the period during which our stock-based awards are expected to be outstanding. In 2009 we estimated this amount based on historical experience of similar awards, giving consideration to the contractual terms of the awards, vesting requirements, and expectation of future employee behavior, including post-vesting terminations. Our estimate of the risk-free interest rate is based on U.S. Treasury debt securities with maturities close to the expected term of the option as of the date of grant. We review our valuation assumptions at each grant date and, as a result, our assumptions in future periods may change. For the year ended December 31, 2009, employee stock-based compensation expense was approximately $4,046,000. As of December 31, 2009, total compensation cost related to unvested stock options and restricted stock units not yet recognized was approximately $5,357,000, which is expected to be recognized as expense over a weighted-average period of 2.4 years.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Wind-down expenses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Rhode Island</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connection with our wind-down of our research and manufacturing operations in Lincoln, Rhode Island, and the relocation of our corporate headquarters and remaining research laboratories to California in October 1999, we provided a reserve for our estimate of the exit cost obligation.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determining the facility exit cost reserve amount, we are required to consider our lease payments through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into account changes, if any, in each of the underlying factors. The process is inherently subjective because it involves projections into time — from the date of the estimate through the end of the lease — and it is not possible to determine any of the factors except the lease payments with certainty over that period.</w:t>
      </w:r>
    </w:p>
    <w:p>
      <w:pPr>
        <w:spacing w:after="0" w:line="53"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seven years (2003 through 2009) was approximately 74%, varying from 62% to 89%. As of December 31, 2009, based on current information available to management, the vacancy rate is projected to be approximately 76% for 2010, and approximately 70% from 2011 through the end of the lease. These estimates are based on actual occupancy as of December 31, 2009, predicted lead time for acquiring new subtenants, historical vacancy rates for the area and assessments by our broker/realtor of future real estate market conditions. If the assumed vacancy rate for 2010 to the end of the lease had been five percentage points higher or lower at December 31, 2009, then the reserve would have increased or decreased by approximately $134,000. Similarly, a 5% increase or decrease in the operating expenses for the facility from 2010 on would have increased or decreased the reserve by approximately $95,000, and a 5% increase or decrease in the assumed average rental charge per square foot would have increased or decreased the reserve by approximately $40,000. Management does not wait for specific events to change its estimate, but instead uses its best efforts to anticipate them on a quarterly basis.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For the year ended December 31, 2009, we recorded actual expenses against this reserve, net of subtenant income, of approximately $1,216,000. Based on management’s evaluation of the factors mentioned above, and particularly the projected vacancy rates described above, we adjusted the reserve to $4,433,000 at December 31, 2009 by recording an additional $340,000 as wind-down expenses for the year ended December 31,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Australia</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April 1, 2009, as part of our acquisition of the SCS operations, we acquired certain operations near Melbourne, Australia. In order to reduce operating complexity and expenses, we made the decision to close our site in Australia and consolidate personnel and programs to our Cambridge, U.K. and Palo Alto, California sites. At June 30, 2009, we established a reserve of approximately $310,000 for the estimated costs to close down and exit our Australia operations. The reserve reflects the estimated cost to terminate our facility lease in Australia (which provided for an original termination date of December 31, 2010), employee termination benefits and other liabilities associated with the wind-down and relocation of our operations in Australia. As of December 31, 2009, the facility lease agreement has been terminated and our operations in Australia have been relocated to Cambridge, U.K. and Palo Alto, California. We recorded actual expenses of approximately $236,000 against this reserve. We believe that the estimated remaining balance of approximately $74,000 in our reserve will be sufficient to cover any remaining exit costs.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When accounting for income taxes, we recognize deferred tax assets and liabilities for the expected future tax consequences of temporary differences between the carrying amounts and the tax bases of assets and liabilities. Income tax receivables and liabilities and deferred tax assets and liabilities are recognized based on the amounts that more likely than not will be sustained upon ultimate settlement with taxing authorities.</w:t>
      </w:r>
    </w:p>
    <w:p>
      <w:pPr>
        <w:spacing w:after="0" w:line="67"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35"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We assess the likelihood of realizing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35"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income/losses expected in future years;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reversed in the period in which the more likely than not recognition threshold is no longer satisfied.</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are currently involved in certain legal proceedings. See Note 12, “Commitments and Contingencies,” in the Notes to Consolidated Financial Statements of Part II, Item 8 of this Form 10-K for further information on these matters.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Rhode Island facilities, other than temporary impairment of our financial assets, changes in estimated fair value of our warrant liability, and the increasing costs associated with operating our California and Cambridge, U.K. facilities, and engaging in and expanding our operations.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totaled approximately $993,000 in 2009, $232,000 in 2008, and $57,000 in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Change in</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ind w:left="180"/>
              <w:spacing w:after="0"/>
              <w:rPr>
                <w:sz w:val="20"/>
                <w:szCs w:val="20"/>
                <w:color w:val="auto"/>
              </w:rPr>
            </w:pPr>
            <w:r>
              <w:rPr>
                <w:rFonts w:ascii="Arial" w:cs="Arial" w:eastAsia="Arial" w:hAnsi="Arial"/>
                <w:sz w:val="10"/>
                <w:szCs w:val="10"/>
                <w:b w:val="1"/>
                <w:bCs w:val="1"/>
                <w:color w:val="auto"/>
              </w:rPr>
              <w:t>Change in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37"/>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w w:val="92"/>
              </w:rPr>
              <w:t>Versus 2008</w:t>
            </w: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w w:val="92"/>
              </w:rPr>
              <w:t>Versus 2007</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180"/>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30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ind w:left="140"/>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28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Licensing agreements and grants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center"/>
              <w:ind w:left="57"/>
              <w:spacing w:after="0"/>
              <w:rPr>
                <w:sz w:val="20"/>
                <w:szCs w:val="20"/>
                <w:color w:val="auto"/>
              </w:rPr>
            </w:pPr>
            <w:r>
              <w:rPr>
                <w:rFonts w:ascii="Arial" w:cs="Arial" w:eastAsia="Arial" w:hAnsi="Arial"/>
                <w:sz w:val="13"/>
                <w:szCs w:val="13"/>
                <w:color w:val="auto"/>
                <w:w w:val="89"/>
              </w:rPr>
              <w:t>608,011</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231,730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56,722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376,281</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162%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175,008</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84"/>
              </w:rPr>
              <w:t>309%</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Sales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89"/>
              </w:rPr>
              <w:t>384,859</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384,859</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328%</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3"/>
                <w:szCs w:val="13"/>
                <w:color w:val="auto"/>
                <w:w w:val="84"/>
              </w:rPr>
              <w:t>309%</w:t>
            </w:r>
          </w:p>
        </w:tc>
        <w:tc>
          <w:tcPr>
            <w:tcW w:w="0" w:type="dxa"/>
            <w:vAlign w:val="bottom"/>
          </w:tcPr>
          <w:p>
            <w:pPr>
              <w:spacing w:after="0" w:line="20" w:lineRule="exact"/>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left="57"/>
              <w:spacing w:after="0"/>
              <w:rPr>
                <w:sz w:val="20"/>
                <w:szCs w:val="20"/>
                <w:color w:val="auto"/>
              </w:rPr>
            </w:pPr>
            <w:r>
              <w:rPr>
                <w:rFonts w:ascii="Arial" w:cs="Arial" w:eastAsia="Arial" w:hAnsi="Arial"/>
                <w:sz w:val="13"/>
                <w:szCs w:val="13"/>
                <w:color w:val="auto"/>
                <w:w w:val="89"/>
              </w:rPr>
              <w:t>992,870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231,730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56,722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761,140</w:t>
            </w: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175,008</w:t>
            </w:r>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 of Sales</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3"/>
              </w:rPr>
              <w:t>(261,443)</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(261,443)</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216%</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3"/>
                <w:szCs w:val="13"/>
                <w:color w:val="auto"/>
                <w:w w:val="84"/>
              </w:rPr>
              <w:t>309%</w:t>
            </w:r>
          </w:p>
        </w:tc>
        <w:tc>
          <w:tcPr>
            <w:tcW w:w="0" w:type="dxa"/>
            <w:vAlign w:val="bottom"/>
          </w:tcPr>
          <w:p>
            <w:pPr>
              <w:spacing w:after="0" w:line="20" w:lineRule="exact"/>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center"/>
              <w:ind w:left="57"/>
              <w:spacing w:after="0"/>
              <w:rPr>
                <w:sz w:val="20"/>
                <w:szCs w:val="20"/>
                <w:color w:val="auto"/>
              </w:rPr>
            </w:pPr>
            <w:r>
              <w:rPr>
                <w:rFonts w:ascii="Arial" w:cs="Arial" w:eastAsia="Arial" w:hAnsi="Arial"/>
                <w:sz w:val="13"/>
                <w:szCs w:val="13"/>
                <w:color w:val="auto"/>
                <w:w w:val="89"/>
              </w:rPr>
              <w:t>731,427</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231,730</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56,722</w:t>
            </w:r>
          </w:p>
        </w:tc>
        <w:tc>
          <w:tcPr>
            <w:tcW w:w="2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499,697</w:t>
            </w:r>
          </w:p>
        </w:tc>
        <w:tc>
          <w:tcPr>
            <w:tcW w:w="700" w:type="dxa"/>
            <w:vAlign w:val="bottom"/>
            <w:gridSpan w:val="2"/>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175,008</w:t>
            </w:r>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Total revenue in 2009 was approximately $993,000, which was 328% higher than total revenue in 2008. The increase in 2009 compared to 2008 was primarily attributable to the consolidation, as of April 1, 2009, of revenues from the acquired SCS operations, which were not part of our operations in 2008.</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Licensing and grant revenue for 2009 were approximately $376,000, or 162%, higher as compared to 2008. This increase was primarily attributable to approximately $387,000 in grant and licensing revenue recognized and consolidated as part of our acquisition of the SCS operations, and an increase in grant revenue of approximately $80,000 from an existing grant which we were awarded in October 2008 from the National Institute of Diabetes and Digestive and Kidney Diseases to research and develop a potential cell-based therapeutic for liver disease. Those increases were partially offset by a decrease of approximately $91,000 in licensing revenue from existing licensing agreements. In 2009, we recognized and consolidated approximately $385,000 and $261,000 as revenue from product sales and cost of product sales, respectively, in connection with of our acquisition of the SCS operations, compared to none in the same period of 2008. In 2009, approximately 8% of our product sales were in the US, and the remainder primarily in Europe.</w:t>
      </w:r>
    </w:p>
    <w:p>
      <w:pPr>
        <w:spacing w:after="0" w:line="59"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The increase in licensing and grant revenue in 2008 as compared to 2007 was primarily attributable to the receipt of a $150,000 milestone payment under a license agreement. In addition, in October 2008, we were awarded a $305,000 grant from the National Institute of Diabetes and Digestive and Kidney Diseases to research and develop a potential cell-based therapeutic for liver disease arising from infection by the hepatitis C virus. The award is a Phase I grant under the Small Business Innovation Research (SBIR) Program of the National Institutes of Health. We recognized approximately $26,000 as grant revenue in 2008.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 totaled approximately $30,110,000 in 2009, $26,970,000 in 2008, and $28,648,000 in 2007.</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left="44"/>
              <w:spacing w:after="0"/>
              <w:rPr>
                <w:sz w:val="20"/>
                <w:szCs w:val="20"/>
                <w:color w:val="auto"/>
              </w:rPr>
            </w:pPr>
            <w:r>
              <w:rPr>
                <w:rFonts w:ascii="Arial" w:cs="Arial" w:eastAsia="Arial" w:hAnsi="Arial"/>
                <w:sz w:val="9"/>
                <w:szCs w:val="9"/>
                <w:b w:val="1"/>
                <w:bCs w:val="1"/>
                <w:color w:val="auto"/>
                <w:w w:val="91"/>
              </w:rPr>
              <w:t>Change in</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center"/>
              <w:ind w:left="44"/>
              <w:spacing w:after="0"/>
              <w:rPr>
                <w:sz w:val="20"/>
                <w:szCs w:val="20"/>
                <w:color w:val="auto"/>
              </w:rPr>
            </w:pPr>
            <w:r>
              <w:rPr>
                <w:rFonts w:ascii="Arial" w:cs="Arial" w:eastAsia="Arial" w:hAnsi="Arial"/>
                <w:sz w:val="9"/>
                <w:szCs w:val="9"/>
                <w:b w:val="1"/>
                <w:bCs w:val="1"/>
                <w:color w:val="auto"/>
                <w:w w:val="91"/>
              </w:rPr>
              <w:t>Change in</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center"/>
              <w:ind w:left="344"/>
              <w:spacing w:after="0" w:line="98" w:lineRule="exact"/>
              <w:rPr>
                <w:sz w:val="20"/>
                <w:szCs w:val="20"/>
                <w:color w:val="auto"/>
              </w:rPr>
            </w:pPr>
            <w:r>
              <w:rPr>
                <w:rFonts w:ascii="Arial" w:cs="Arial" w:eastAsia="Arial" w:hAnsi="Arial"/>
                <w:sz w:val="9"/>
                <w:szCs w:val="9"/>
                <w:b w:val="1"/>
                <w:bCs w:val="1"/>
                <w:color w:val="auto"/>
                <w:w w:val="89"/>
              </w:rPr>
              <w:t>2009</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center"/>
              <w:ind w:left="324"/>
              <w:spacing w:after="0" w:line="98" w:lineRule="exact"/>
              <w:rPr>
                <w:sz w:val="20"/>
                <w:szCs w:val="20"/>
                <w:color w:val="auto"/>
              </w:rPr>
            </w:pPr>
            <w:r>
              <w:rPr>
                <w:rFonts w:ascii="Arial" w:cs="Arial" w:eastAsia="Arial" w:hAnsi="Arial"/>
                <w:sz w:val="9"/>
                <w:szCs w:val="9"/>
                <w:b w:val="1"/>
                <w:bCs w:val="1"/>
                <w:color w:val="auto"/>
                <w:w w:val="89"/>
              </w:rPr>
              <w:t>2008</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338"/>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338"/>
              <w:spacing w:after="0"/>
              <w:rPr>
                <w:sz w:val="20"/>
                <w:szCs w:val="20"/>
                <w:color w:val="auto"/>
              </w:rPr>
            </w:pPr>
            <w:r>
              <w:rPr>
                <w:rFonts w:ascii="Arial" w:cs="Arial" w:eastAsia="Arial" w:hAnsi="Arial"/>
                <w:sz w:val="9"/>
                <w:szCs w:val="9"/>
                <w:b w:val="1"/>
                <w:bCs w:val="1"/>
                <w:color w:val="auto"/>
              </w:rPr>
              <w:t>2008</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33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9"/>
                <w:szCs w:val="9"/>
                <w:b w:val="1"/>
                <w:bCs w:val="1"/>
                <w:color w:val="auto"/>
                <w:w w:val="87"/>
              </w:rPr>
              <w:t>Versus 2008</w:t>
            </w: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9"/>
                <w:szCs w:val="9"/>
                <w:b w:val="1"/>
                <w:bCs w:val="1"/>
                <w:color w:val="auto"/>
                <w:w w:val="87"/>
              </w:rPr>
              <w:t>Versus 2007</w:t>
            </w: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24"/>
              <w:spacing w:after="0" w:line="88"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280" w:type="dxa"/>
            <w:vAlign w:val="bottom"/>
            <w:tcBorders>
              <w:bottom w:val="single" w:sz="8" w:color="auto"/>
            </w:tcBorders>
          </w:tcPr>
          <w:p>
            <w:pPr>
              <w:jc w:val="right"/>
              <w:ind w:right="38"/>
              <w:spacing w:after="0" w:line="88" w:lineRule="exact"/>
              <w:rPr>
                <w:sz w:val="20"/>
                <w:szCs w:val="20"/>
                <w:color w:val="auto"/>
              </w:rPr>
            </w:pPr>
            <w:r>
              <w:rPr>
                <w:rFonts w:ascii="Arial" w:cs="Arial" w:eastAsia="Arial" w:hAnsi="Arial"/>
                <w:sz w:val="9"/>
                <w:szCs w:val="9"/>
                <w:b w:val="1"/>
                <w:bCs w:val="1"/>
                <w:color w:val="auto"/>
              </w:rPr>
              <w:t>%</w:t>
            </w:r>
          </w:p>
        </w:tc>
        <w:tc>
          <w:tcPr>
            <w:tcW w:w="4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44"/>
              <w:spacing w:after="0" w:line="88" w:lineRule="exact"/>
              <w:rPr>
                <w:sz w:val="20"/>
                <w:szCs w:val="20"/>
                <w:color w:val="auto"/>
              </w:rPr>
            </w:pPr>
            <w:r>
              <w:rPr>
                <w:rFonts w:ascii="Arial" w:cs="Arial" w:eastAsia="Arial" w:hAnsi="Arial"/>
                <w:sz w:val="9"/>
                <w:szCs w:val="9"/>
                <w:b w:val="1"/>
                <w:bCs w:val="1"/>
                <w:color w:val="auto"/>
              </w:rPr>
              <w:t>$</w:t>
            </w:r>
          </w:p>
        </w:tc>
        <w:tc>
          <w:tcPr>
            <w:tcW w:w="300" w:type="dxa"/>
            <w:vAlign w:val="bottom"/>
          </w:tcPr>
          <w:p>
            <w:pPr>
              <w:spacing w:after="0"/>
              <w:rPr>
                <w:sz w:val="7"/>
                <w:szCs w:val="7"/>
                <w:color w:val="auto"/>
              </w:rPr>
            </w:pPr>
          </w:p>
        </w:tc>
        <w:tc>
          <w:tcPr>
            <w:tcW w:w="260" w:type="dxa"/>
            <w:vAlign w:val="bottom"/>
            <w:tcBorders>
              <w:bottom w:val="single" w:sz="8" w:color="auto"/>
            </w:tcBorders>
          </w:tcPr>
          <w:p>
            <w:pPr>
              <w:jc w:val="right"/>
              <w:ind w:right="18"/>
              <w:spacing w:after="0" w:line="88"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40" w:type="dxa"/>
            <w:vAlign w:val="bottom"/>
          </w:tcPr>
          <w:p>
            <w:pPr>
              <w:ind w:left="140"/>
              <w:spacing w:after="0"/>
              <w:rPr>
                <w:sz w:val="20"/>
                <w:szCs w:val="20"/>
                <w:color w:val="auto"/>
              </w:rPr>
            </w:pPr>
            <w:r>
              <w:rPr>
                <w:rFonts w:ascii="Arial" w:cs="Arial" w:eastAsia="Arial" w:hAnsi="Arial"/>
                <w:sz w:val="13"/>
                <w:szCs w:val="13"/>
                <w:color w:val="auto"/>
              </w:rPr>
              <w:t>Research &amp; development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19,929,592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17,808,009</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19,937,426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2,121,583</w:t>
            </w: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(2,129,417)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&amp; administrative</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9,530,421</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8,295,554</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7,927,443</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1,234,867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368,111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314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649,608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866,199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783,022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(216,591)</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83,177</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30,109,621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26,969,762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28,647,891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3,139,859</w:t>
            </w: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(1,678,129)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R&amp;D expenses consist primarily of salaries and related personnel expenses, costs associated with clinical trials and regulatory submissions; costs associated with preclinical activities such as toxicology studies; costs associated with cell processing and process development; certain patent-related costs such as licensing; facilities-related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2009) were approximately $112 million. Over this period, the majority of these cumulative costs were related to: (i) characterization of our proprietary HuCNS-SC cell, (ii) expenditures for toxicology and other preclinical studies, preparation and submission of applications to regulatory agencies to conduct clinical trials and obtaining regulatory clearance to initiate such trials, all with respect to our HuCNS-SC cells, (iii) preclinical studies and development of our human liver engrafting cells; and (iv) costs associated with cell processing and process development.</w:t>
      </w:r>
    </w:p>
    <w:p>
      <w:pPr>
        <w:spacing w:after="0" w:line="5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R&amp;D expense totaled approximately $19,930,000 in 2009, as compared to $17,808,000 in 2008 and $19,937,000 in 2007. At December 31, 2009, we had 59 full-time employees working in research and development and laboratory support services as compared to 43 at December 31, 2008 and 49 at December 31, 2007.</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2009 versus 2008. </w:t>
      </w:r>
      <w:r>
        <w:rPr>
          <w:rFonts w:ascii="Arial" w:cs="Arial" w:eastAsia="Arial" w:hAnsi="Arial"/>
          <w:sz w:val="12"/>
          <w:szCs w:val="12"/>
          <w:color w:val="auto"/>
        </w:rPr>
        <w:t>The increase in R&amp;D expenses of approximately $2,122,000, or 12%, in 2009 as compared to 2008 was primarily attributable to a (i) increased R&amp;D expenses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$1,842,000 from consolidating the operations acquired from SCS (these additional R&amp;D activities are primarily focused on developing applications of our cell technologies that would enable research, such as cell-based assays for drug discovery), and (ii) an increase in personnel expenses of approximately $890,000, resulting from an increased head count in our California site to support expanded operations in our cell processing and product development programs and an increase in variable performance based compensation expense. At our California site, we had 59 full time employees in research and development and laboratory support services at December 31, 2009, as compared to 43 at December 31, 2008. These increased expenses were partially offset by a decrease of approximately $610,000 in expenses primarily attributable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reduction in our use of external services and supplies related to manufacturing and testing of our cells, and to the completion of our Phase I NCL trial in January 2009.</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2008 versus 2007. </w:t>
      </w:r>
      <w:r>
        <w:rPr>
          <w:rFonts w:ascii="Arial" w:cs="Arial" w:eastAsia="Arial" w:hAnsi="Arial"/>
          <w:sz w:val="12"/>
          <w:szCs w:val="12"/>
          <w:color w:val="auto"/>
        </w:rPr>
        <w:t>The decrease in R&amp;D expenses of approximately $2,129,000, or 11%, in 2008 as compared to 2007 was primarily attributable to a decrease in external services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$2,833,000; these external services were mainly related to manufacturing and testing of our cells and to clinical trial expenses. The decrease in clinical trial expenses was due mainly to the completion of enrollment and treatment in our Phase I NCL trial in January 2008. The decrease in R&amp;D expenses was also attributable to a decrease in business travel expenses of approximately $197,000. These decreased R&amp;D expenses were partially offset by an increase in other operating expenses primarily attributable to (i) an increase in stock-based compensation expense of $263,000, and (ii) an increase in other operating expenses of approximately $638,000, primarily attributable to the purchase of supplies.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6"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Selling, general and administrative (SG&amp;A) expenses are primarily comprised of salaries, benefits and other staff-related costs associated with sales and marketing, finance, legal, human resources, information technology, and other administrative personnel, facilities and overhead costs, external legal and other external general and administrative services.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SG&amp;A expenses totaled approximately $9,530,000 in 2009, compared with $8,296,000 in 2008 and $7,927,000 in 2007.</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i w:val="1"/>
          <w:iCs w:val="1"/>
          <w:color w:val="auto"/>
        </w:rPr>
        <w:t xml:space="preserve">2009 versus 2008. </w:t>
      </w:r>
      <w:r>
        <w:rPr>
          <w:rFonts w:ascii="Arial" w:cs="Arial" w:eastAsia="Arial" w:hAnsi="Arial"/>
          <w:sz w:val="11"/>
          <w:szCs w:val="11"/>
          <w:color w:val="auto"/>
        </w:rPr>
        <w:t>SG&amp;A expenses were approximately $1,235,000 higher in 2009 as compared to 2008, with approximately $693,000 of this increase due to non recurring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related to the acquisition of the SCS operations. Excluding these acquisition expenses, SG&amp;A expenses were approximately $542,000, or 7%, higher in 2009 as compared to 2008. This increase was primarily attributable to (i) increased SG&amp;A expenses of approximately $695,000 related to the consolidation of the operations acquired from SCS, (ii) an increase in personnel expenses of $264,000 primarily due to an increase in variable performance-based compensation expense, and (iii) an increase in other expenses of approximately $79,000, mainly related to investor relations. These increased expenses were partially offset by a decrease in external services of approximately $496,000, primarily attributable to a decrease in patent and legal fees.</w:t>
      </w:r>
    </w:p>
    <w:p>
      <w:pPr>
        <w:spacing w:after="0" w:line="4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2008 versus 2007. </w:t>
      </w:r>
      <w:r>
        <w:rPr>
          <w:rFonts w:ascii="Arial" w:cs="Arial" w:eastAsia="Arial" w:hAnsi="Arial"/>
          <w:sz w:val="13"/>
          <w:szCs w:val="13"/>
          <w:color w:val="auto"/>
        </w:rPr>
        <w:t>The increase in SG&amp;A expenses of approximately $369,000, or 5%, in 2008 as compared to 2007 was primarily attributable to an increase in stock-based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expense of $431,000. In addition, net operating expenses for our vacant pilot manufacturing facility in Rhode Island increased by approximately $524,000 due to the loss of subtenant income. These increased expenses were partially offset by a decrease in external fees of $399,000, including legal and recruiting fees, and a decrease in other operating expenses of approximately $187,000.</w:t>
      </w:r>
    </w:p>
    <w:p>
      <w:pPr>
        <w:spacing w:after="0" w:line="148" w:lineRule="exact"/>
        <w:rPr>
          <w:sz w:val="20"/>
          <w:szCs w:val="20"/>
          <w:color w:val="auto"/>
        </w:rPr>
      </w:pPr>
    </w:p>
    <w:p>
      <w:pPr>
        <w:jc w:val="center"/>
        <w:ind w:right="7740"/>
        <w:spacing w:after="0"/>
        <w:rPr>
          <w:sz w:val="20"/>
          <w:szCs w:val="20"/>
          <w:color w:val="auto"/>
        </w:rPr>
      </w:pPr>
      <w:r>
        <w:rPr>
          <w:rFonts w:ascii="Arial" w:cs="Arial" w:eastAsia="Arial" w:hAnsi="Arial"/>
          <w:sz w:val="13"/>
          <w:szCs w:val="13"/>
          <w:i w:val="1"/>
          <w:iCs w:val="1"/>
          <w:color w:val="auto"/>
        </w:rPr>
        <w:t>Wind-down Expenses</w:t>
      </w:r>
    </w:p>
    <w:p>
      <w:pPr>
        <w:spacing w:after="0" w:line="96" w:lineRule="exact"/>
        <w:rPr>
          <w:sz w:val="20"/>
          <w:szCs w:val="20"/>
          <w:color w:val="auto"/>
        </w:rPr>
      </w:pPr>
    </w:p>
    <w:p>
      <w:pPr>
        <w:jc w:val="center"/>
        <w:ind w:right="7740"/>
        <w:spacing w:after="0"/>
        <w:rPr>
          <w:sz w:val="20"/>
          <w:szCs w:val="20"/>
          <w:color w:val="auto"/>
        </w:rPr>
      </w:pPr>
      <w:r>
        <w:rPr>
          <w:rFonts w:ascii="Arial" w:cs="Arial" w:eastAsia="Arial" w:hAnsi="Arial"/>
          <w:sz w:val="13"/>
          <w:szCs w:val="13"/>
          <w:b w:val="1"/>
          <w:bCs w:val="1"/>
          <w:i w:val="1"/>
          <w:iCs w:val="1"/>
          <w:color w:val="auto"/>
        </w:rPr>
        <w:t>Rhode Island</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inclusive of deferred rent was approximately $4,433,000 at December 31, 2009 and $5,513,000 at December 31, 2008. Payments net of subtenant income were recorded against this reserve of $1,216,000 in 2009, $1,293,000 in 2008, and $1,420,000 in 2007. We re-evaluated the estimate and adjusted the reserve by recording, in aggregate, additional wind-down expenses of $340,000 in 2009, $866,000 in 2008, and $783,000 in 2007.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11 “Wind-down and exit costs,” in the Notes to Consolidated Financial Statements of Part II, Item 8 of this Form 10-K for further information.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Australia</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April 1, 2009, as part of our acquisition of the SCS operations, we acquired certain operations near Melbourne, Australia. In order to reduce operating complexity and expenses, we made the decision to close our site in Australia and consolidate personnel and programs to our Cambridge, U.K. and Palo Alto, California sites. At June 30, 2009, we established a reserve of approximately $310,000 for the estimated costs to close down and exit our Australia operations. The reserve reflects the estimated cost to terminate our facility lease in Australia (which provided for an original termination date of December 31, 2010), employee termination benefits and other liabilities associated with the wind-down and relocation of our operations in Australia. As of December 31, 2009, the facility lease agreement is terminated and our operations in Australia have been relocated to Cambridge, U.K. and Palo Alto, California. We recorded actual expenses of approximately $236,000 against this reserve. We believe that the estimated remaining balance of approximately $74,000 in our reserve will be sufficient to cover any remaining exit costs. See Note 11 “Wind-down and exit costs,” in the Notes to Consolidated Financial Statements of Part II, Item 8 of this Form 10-K for further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 (Expense)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income totaled approximately $2,352,000 in 2009, compared with other expense of approximately $2,349,000 in 2008 and other income of $3,568,000 in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left="63"/>
              <w:spacing w:after="0"/>
              <w:rPr>
                <w:sz w:val="20"/>
                <w:szCs w:val="20"/>
                <w:color w:val="auto"/>
              </w:rPr>
            </w:pPr>
            <w:r>
              <w:rPr>
                <w:rFonts w:ascii="Arial" w:cs="Arial" w:eastAsia="Arial" w:hAnsi="Arial"/>
                <w:sz w:val="10"/>
                <w:szCs w:val="10"/>
                <w:b w:val="1"/>
                <w:bCs w:val="1"/>
                <w:color w:val="auto"/>
                <w:w w:val="95"/>
              </w:rPr>
              <w:t>Change in</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left="83"/>
              <w:spacing w:after="0"/>
              <w:rPr>
                <w:sz w:val="20"/>
                <w:szCs w:val="20"/>
                <w:color w:val="auto"/>
              </w:rPr>
            </w:pPr>
            <w:r>
              <w:rPr>
                <w:rFonts w:ascii="Arial" w:cs="Arial" w:eastAsia="Arial" w:hAnsi="Arial"/>
                <w:sz w:val="10"/>
                <w:szCs w:val="10"/>
                <w:b w:val="1"/>
                <w:bCs w:val="1"/>
                <w:color w:val="auto"/>
                <w:w w:val="95"/>
              </w:rPr>
              <w:t>Change in</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left="63"/>
              <w:spacing w:after="0" w:line="108" w:lineRule="exact"/>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left="83"/>
              <w:spacing w:after="0" w:line="10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0"/>
                <w:szCs w:val="10"/>
                <w:b w:val="1"/>
                <w:bCs w:val="1"/>
                <w:color w:val="auto"/>
                <w:w w:val="92"/>
              </w:rPr>
              <w:t>Versus 2008</w:t>
            </w:r>
          </w:p>
        </w:tc>
        <w:tc>
          <w:tcPr>
            <w:tcW w:w="3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0"/>
                <w:szCs w:val="10"/>
                <w:b w:val="1"/>
                <w:bCs w:val="1"/>
                <w:color w:val="auto"/>
                <w:w w:val="92"/>
              </w:rPr>
              <w:t>Versus 2007</w:t>
            </w: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03"/>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0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03"/>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0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License and settlement agreement, net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550,467</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(550,467)</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7"/>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Realized gain on sale of marketable securities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406,910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715,584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406,910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(715,584)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7"/>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Other than temporary impairment of marketable securities</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(2,082,894)</w:t>
            </w:r>
          </w:p>
        </w:tc>
        <w:tc>
          <w:tcPr>
            <w:tcW w:w="18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2,082,894</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(2,082,894)</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Change in fair value of warrant liability</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1,898,603</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(937,241)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2,835,844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(303)%</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(937,241)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Interest income</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67,345</w:t>
            </w:r>
          </w:p>
        </w:tc>
        <w:tc>
          <w:tcPr>
            <w:tcW w:w="18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color w:val="auto"/>
              </w:rPr>
              <w:t>803,095</w:t>
            </w:r>
          </w:p>
        </w:tc>
        <w:tc>
          <w:tcPr>
            <w:tcW w:w="18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2,459,820</w:t>
            </w:r>
          </w:p>
        </w:tc>
        <w:tc>
          <w:tcPr>
            <w:tcW w:w="18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(735,750)</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(92)%</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(1,656,725)</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7"/>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(110,807)</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(109,762)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(123,606)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(1,045)</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13,844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3400" w:type="dxa"/>
            <w:vAlign w:val="bottom"/>
            <w:gridSpan w:val="2"/>
          </w:tcPr>
          <w:p>
            <w:pPr>
              <w:ind w:left="120"/>
              <w:spacing w:after="0"/>
              <w:rPr>
                <w:sz w:val="20"/>
                <w:szCs w:val="20"/>
                <w:color w:val="auto"/>
              </w:rPr>
            </w:pPr>
            <w:r>
              <w:rPr>
                <w:rFonts w:ascii="Arial" w:cs="Arial" w:eastAsia="Arial" w:hAnsi="Arial"/>
                <w:sz w:val="12"/>
                <w:szCs w:val="12"/>
                <w:color w:val="auto"/>
              </w:rPr>
              <w:t>Other income (expense), net</w:t>
            </w:r>
          </w:p>
        </w:tc>
        <w:tc>
          <w:tcPr>
            <w:tcW w:w="18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89,732</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(21,943)</w:t>
            </w:r>
          </w:p>
        </w:tc>
        <w:tc>
          <w:tcPr>
            <w:tcW w:w="18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(33,899)</w:t>
            </w:r>
          </w:p>
        </w:tc>
        <w:tc>
          <w:tcPr>
            <w:tcW w:w="18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111,675</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(508)%</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11,956</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other income (expense), net</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2,351,783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(2,348,745)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3,568,366</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4,700,528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(5,917,111)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Calculation cannot be performed or is not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 and Settlement Agreement</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Ltd. (NeuroSpheres), an Alberta corporation</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from which we have licensed some of the patent rights that are the subject of the agreement with ReNeuron), and subsequently, in 2006 and 2007, we received approximately 1,261,000 more shares, net of approximately 18,000 shares that were transferred to NeuroSpheres, as a result of certain anti-dilution provisions in the agreement.</w:t>
      </w:r>
    </w:p>
    <w:p>
      <w:pPr>
        <w:spacing w:after="0" w:line="35"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Other income from the license and settlement agreement totaled approximately $550,000 in 2007, which was the fair value of the ReNeuron shares we received under such agreement, net of legal fees and the value of the shares that were transferred to NeuroSpheres. No income from the license and settlement agreement was recognized for the years 2009 and 2008. See Note 2 “Financial Instruments — ReNeuron License Agreement” in the Notes to Consolidated Financial Statements of Part II, Item 8 of this Form 10-K for further information regarding this transaction.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Gain on Sale of Marketable Equity securities</w:t>
      </w:r>
    </w:p>
    <w:p>
      <w:pPr>
        <w:spacing w:after="0" w:line="96"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The gain on sale of marketable equity securities of approximately $407,000 in 2009 and $716,000 in 2007 was primarily attributable to sales of ReNeuron shares. See Note 2 “Financial Instruments,” in the Notes to Consolidated Financial Statements of Part II, Item 8 of this Form 10-K for further information on this transaction.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than temporary Impairment of Marketable Securities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December 31, 2008, we determined that our investment in ReNeuron shares (marketable equity securities) was impaired and that such impairment was other than temporary. We considered various criteria, including the duration of the impairment and our intent to liquidate all or part of this investment within a reasonably short period of time. For the year ended December 31, 2008, we recorded a loss of $2,082,894, which is the difference between the investment’s carrying value and its quoted market price at that date. No other than temporary impairment was recognized during the years ended December 31, 2009 and 2007. See Note 2 “Financial Instruments,” in the Notes to Consolidated Financial Statements of Part II, Item 8 of this Form 10-K for further information on this transaction.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Fair Value of Warrant Liability</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record changes in fair value of outstanding warrants as income or loss in our Consolidated Statement of Operations. The outstanding warrants were issued as part of both our November 2008 and November 2009 financings and were classified as a liability. The fair value of the outstanding warrants is determined using the Black-Scholes-Merton (Black-Scholes) option pricing model and is affected by changes in inputs to that model including our stock price, expected stock price volatility, the contractual term, and the risk-free interest rate. The fair value of the warrant liability will be revalued at the end of each reporting period, with the change in fair value of the warrant liability recorded as a gain or loss in our Consolidated Statement of Operations. See Note 13 “Warrant Liability,” in the Notes to Consolidated Financial Statements of Part II, Item 8 of this Form 10-K for further information on this transaction.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Interest income totaled approximately $67,000 in 2009, $803,000 in 2008, and $2,460,000 in 2007. The decrease in interest income in 2009 as compared to 2008 was primarily attributable to lower average yields. The decrease in interest income in 2008 as compared to 2007 was primarily attributable to lower average yields and a lower average bank balance in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Interest expense was approximately $111,000 in 2009, $110,000 in 2008, and $124,000 in 2007. Interest expense in 2009 as compared to 2008 was relatively flat. The decrease in 2008 as compared to 2007 was attributable to lower outstanding debt and capital lease balances. See Note 12 “Commitment and Contingencies,” in the Notes to Consolidated Financial Statements of Part II, Item 8 of this Form 10-K for further information.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Other income, net in 2009 was approximately $90,000. This was primarily related to R&amp;D tax credits of approximately $152,000 due to our wholly-owned subsidiary Stem Cell Sciences (Australia) Pty Ltd recorded as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other income. Other income for 2009 was partially offset by approximately $59,000 in foreign exchange transaction losses and approximately $3,000 in state franchise taxes. Other expense, net for 2008 and 2007 was approximately $22,000 and $34,000, respectively, primarily related to the payment of state franchise taxes.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left="4"/>
              <w:spacing w:after="0"/>
              <w:rPr>
                <w:sz w:val="20"/>
                <w:szCs w:val="20"/>
                <w:color w:val="auto"/>
              </w:rPr>
            </w:pPr>
            <w:r>
              <w:rPr>
                <w:rFonts w:ascii="Arial" w:cs="Arial" w:eastAsia="Arial" w:hAnsi="Arial"/>
                <w:sz w:val="10"/>
                <w:szCs w:val="10"/>
                <w:b w:val="1"/>
                <w:bCs w:val="1"/>
                <w:color w:val="auto"/>
                <w:w w:val="90"/>
              </w:rPr>
              <w:t>Change in</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w w:val="90"/>
              </w:rPr>
              <w:t>Change in</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center"/>
              <w:ind w:left="204"/>
              <w:spacing w:after="0" w:line="108" w:lineRule="exact"/>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ind w:left="304"/>
              <w:spacing w:after="0" w:line="108" w:lineRule="exact"/>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62"/>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0"/>
                <w:szCs w:val="10"/>
                <w:b w:val="1"/>
                <w:bCs w:val="1"/>
                <w:color w:val="auto"/>
                <w:w w:val="88"/>
              </w:rPr>
              <w:t>Versus 2008</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0"/>
                <w:szCs w:val="10"/>
                <w:b w:val="1"/>
                <w:bCs w:val="1"/>
                <w:color w:val="auto"/>
                <w:w w:val="88"/>
              </w:rPr>
              <w:t>Versus 2007</w:t>
            </w:r>
          </w:p>
        </w:tc>
        <w:tc>
          <w:tcPr>
            <w:tcW w:w="3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4"/>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240" w:type="dxa"/>
            <w:vAlign w:val="bottom"/>
            <w:tcBorders>
              <w:bottom w:val="single" w:sz="8" w:color="auto"/>
            </w:tcBorders>
          </w:tcPr>
          <w:p>
            <w:pPr>
              <w:jc w:val="right"/>
              <w:ind w:right="2"/>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324"/>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30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At December 31: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color w:val="auto"/>
              </w:rPr>
              <w:t>Cash and highly liquid investments(1)</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38,617,977</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34,037,775</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37,645,085</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4,580,202</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13%</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(3,607,310)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(24,682,669)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(22,740,421)</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(20,856,746)</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(1,942,248)</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(1,883,675)</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3,731,991</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24,223,629</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(27,155,656)</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(20,491,638)</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(85)%</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51,379,285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29,786,280</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18,800,609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5,976,042</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10,985,671</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58%</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12,824,567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ind w:left="1000" w:right="40" w:hanging="259"/>
        <w:spacing w:after="0" w:line="289" w:lineRule="auto"/>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Cash and highly liquid investments include unrestricted cash, cash equivalents, and short-term and long-term marketable debt securities. Marketable equity securities, which are comprised of approximately 1,922,000 ordinary shares of ReNeuron with a market value in aggregate of approximately $197,000 and $187,000 as of December 31, 2009 and 2008, respectively, and approximately 4,822,000 ordinary shares of ReNeuron with a market value in aggregate of approximately $1,961,000 as of December 31, 2007, are excluded from the amounts above. See Note 2, “Financial Instruments,” in the Notes to the Consolidated Financial Statements of Part II, Item 8 of this Form 10-K for further information.</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Total cash and highly liquid investments were approximately $38,618,000 at December 31, 2009, compared with approximately $34,038,000 at December 31, 2008, and $37,645,000 at December 31, 2007. The increase in cash and highly liquid investments of approximately $4,580,000, or 13%, in 2009 as compared to 2008 was primarily attributable to cash generated by financing activities and partially offset by cash used in operating activities. The decrease in our cash and highly liquid investments of approximately $3,607,000, or 10%, in 2008 as compared to 2007 was primarily attributable to cash used in operating activities and partially offset by cash generated from financing activities.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Cash used in operating activities consists of net loss for the year, adjusted for non-cash expenses such as depreciation and amortization and stock-based compensation and adjustments for changes in various components of working capital. Cash used in operating activities was approximately $24,683,000 in 2009, $22,740,000 in 2008, and $20,857,000 in 2007. The increase in cash used in operating activities in 2009 compared to 2008 was primarily attributable to the increased operating expenses, which were partially offset by increased revenue from the consolidation of the SCS operations. See Note 5 “Acquisition of SCS Operations” in the Notes to Consolidated Financial Statements of Part II, Item 8 of this Form 10-K for further information. The increase in cash used in operating activities in 2008 compared to 2007 was primarily attributable to the timing of cash payments and receipts for various operating assets and liabilities such as accounts payable, accrued expenses, and accounts receivable. This increased use of working capital in 2008 was partially offset by a decrease in operating loss in 2008 as compared to 2007. The decrease in operating loss from approximately $28,591,000 in 2007 to approximately $26,738,000 in 2008 was primarily attributable to the decrease in R&amp;D expenses in 2008 as compared to 2007.</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decrease of $20,492,000, or 85%, in net cash provided by investing activities in 2009 as compared to 2008 was primarily attributable to a lower amount of investments (marketable debt securities) held to maturity in 2009 than in 2008. In 2009, we received net proceeds of approximately $4,018,000 as marketable debt securities we held reached maturity, and approximately $510,000 from the sale of 2,900,000 ordinary shares of ReNeuron (marketable equity securities). In 2008, we received net proceeds of approximately $23,859,000 as marketable debt securities we held reached maturity. The increase of approximately $51,379,000 in net cash provided by investing activities in 2008 as compared to 2007 was primarily attributable to larger purchases of marketable securities in 2007 as compared to 2008 and larger amounts of marketable debt securities held to maturity in 2008 as compared to 2007. In 2008, we received net proceeds of approximately $23,859,000 as marketable debt securities we held reached maturity, while in 2007, we made net purchases of approximately $27,862,000 of marketable debt securities. In addition, in December 2008, we made a secured loan of 200,000 GBP (approximately $298,000) to SCS in connection with the acquisition transaction.</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increase in net cash provided by financing activities of approximately $10,986,000, or 58%, in 2009 as compared to 2008 was primarily attributable to (i) sales, through our sales agreements with Cantor Fitzgerald &amp; Co.(Cantor), in 2009, of 9,817,400 shares of our common stock at an average price per share of $1.88 for total proceeds net of offering expenses and placement agency fees of approximately $17,618,000 and (ii) the sale, in November 2009, of 10,000,000 units at a price of $1.25 per unit, for total proceeds net of offering expenses and placement agency fees of approximately $11,985,000; each unit consisted of one share of our common stock and a warrant to purchase 0.4 shares of our common stock at an exercise price of $1.50 per share. The increase in net cash provided by financing activities of approximately $12,825,000, or 215%, in 2008 as compared to 2007 was primarily attributable to the sale, in November 2008, of 13,793,104 units at a price of $1.45 per unit; each unit consisted of one share of our common stock and a warrant to purchase 0.75 shares of our common stock at an exercise price of $2.30 per share. We received approximately $18,637,000 net of offering expenses and placement agency fees. See Note 14, “Common Stock,” in the Notes to the Consolidated Financial Statements of Part II, Item 8 of this Form 10-K for further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us in the last three years:</w:t>
      </w:r>
    </w:p>
    <w:p>
      <w:pPr>
        <w:spacing w:after="0" w:line="96" w:lineRule="exact"/>
        <w:rPr>
          <w:sz w:val="20"/>
          <w:szCs w:val="20"/>
          <w:color w:val="auto"/>
        </w:rPr>
      </w:pPr>
    </w:p>
    <w:p>
      <w:pPr>
        <w:ind w:left="1280" w:hanging="190"/>
        <w:spacing w:after="0" w:line="260"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November 2009, we sold 10,000,000 units to institutional investors at a price of $1.25 per unit, for gross proceeds of $12,500,000. The units, each of which consisted of one share of common stock and a warrant to purchase 0.4 shares of common stock at an exercise price of $1.50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$11,985,000.</w:t>
      </w:r>
    </w:p>
    <w:p>
      <w:pPr>
        <w:spacing w:after="0" w:line="59" w:lineRule="exact"/>
        <w:rPr>
          <w:rFonts w:ascii="Arial" w:cs="Arial" w:eastAsia="Arial" w:hAnsi="Arial"/>
          <w:sz w:val="13"/>
          <w:szCs w:val="13"/>
          <w:color w:val="auto"/>
        </w:rPr>
      </w:pPr>
    </w:p>
    <w:p>
      <w:pPr>
        <w:ind w:left="1280" w:right="80" w:hanging="190"/>
        <w:spacing w:after="0" w:line="258"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June 2009, we filed a prospectus supplement that relates to the issuance and sale of up to $30,000,000 of our common stock, from time to time through a sales agreement with our sales agent Cantor. The prospectus is a part of a registration statement that we filed with the SEC on June 25, 2008, using a “shelf” registration process. Under this shelf registration process, we may offer to sell in one or more offerings up to a total dollar amount of $100,000,000. In 2009, we sold a total of 1,830,000 shares of our common stock under this June 2009 sales agreement with Cantor at an average price per share of $1.80 for gross proceeds of approximately $3,291,000. Cantor is paid compensation equal to 3.0% of the gross proceeds pursuant to the terms of the agreement.</w:t>
      </w:r>
    </w:p>
    <w:p>
      <w:pPr>
        <w:spacing w:after="0" w:line="61"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96" w:lineRule="auto"/>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December 2006, we filed a prospectus supplement announcing the entry of a sales agreement with Cantor under which up to 10,000,000 shares may be sold from time to time under a shelf registration statement. In 2007, 2008 and 2009, we sold a total of 10,000,000 shares of our common stock under this agreement at an average price per share of $2.06 for gross proceeds of approximately $20,555,000. Cantor is paid compensation equal to 5.0% of the gross proceeds pursuant to the terms of the agreement.</w:t>
      </w:r>
    </w:p>
    <w:p>
      <w:pPr>
        <w:spacing w:after="0" w:line="5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73"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March 10, 2010, we had approximately $48 million under our universal shelf registration statement available for issuing debt or equity securities; approximately $30 million of this $48 million has been reserved for the potential exercise of the warrants issued in connection with our November 2008 and November 2009 financings. In July 2008, we deregistered the remaining unissued shares (approximately $59 million worth of common stock) available under the shelf registration statement we had filed in October 2005. The 2005 shelf permitted the issuance of up to $100 million of registered shares of common stock. Also in July 2008, we amended our sales agreement with Cantor to allow for sales under our universal shelf registration rather than the 2005 shelf registration.</w:t>
      </w:r>
    </w:p>
    <w:p>
      <w:pPr>
        <w:spacing w:after="0" w:line="6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source, timing and availability of any future financing will depend principally upon market conditions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12, “Commitments and Contingencies” in the Notes to Consolidated Financial Statements of Part II, Item 8 of this Form 10-K for further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lease various real properties under operating leases that generally require us to pay taxes, insurance, maintenance, and minimum lease payments. Some of our leases have options to renew.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 — California</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have leased an approximately 68,000 square foot facility located at the Stanford Research Park in Palo Alto, California. At December 31, 2009, we had a space-sharing agreement covering approximately 10,451 square feet of this facility. We receive base payments plus a proportionate share of the operating expenses based on square footage over the term of the space-sharing agreement. For the year 2010, we expect to receive, in aggregate, approximately $550,000 as part of the space-sharing agreement. As a result of the above transactions, our estimated net cash outlay for the rent and operating expenses of this facility will be approximately $2,999,000 for 2010.</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 — Rhode Island</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2010, we expect to pay approximately $1,172,000 in operating lease payments and estimated operating expenses of approximately $578,000, before receipt of sub-tenant income. For the year 2010, we expect to receive, in aggregate, approximately $314,000 in sub-tenant rent and operating expenses. As a result of the above transactions, our estimated cash outlay net of sub-tenant rent for the SAF will be approximately $1,436,000 for 2010.</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 — United Kingdom</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On April 1, 2009, as part of our acquisition of the operations of SCS, we acquired operations in Cambridge, U.K.. As of April 2009, our wholly-owned subsidiary, Stem Cell Sciences (UK) Ltd, had two lease agreements with Babraham Bioscience Technologies Ltd. (BBT) for approximately 3,900 square feet of office and lab space in aggregate in two buildings of the Babraham Research Campus in Cambridge, U.K. One of these two leases, for approximately 2,000 square feet, expired by its terms on February 28, 2010. The second, for approximately 1,900 square feet, has an initial term until March 2011, with an option, at our election, to extend the term for an additional five years. In February 2010, in order to consolidate our operations into a single building at the research campus, we entered into a new lease agreement with BBT effective March 1, 2010, for approximately 3,240 square feet. The initial term of this new lease will continue until March 2011, with an option, at our election, to extend the term for an additional two years. The two currently effective Cambridge leases cover in aggregate approximately 5,000 square feet. We expect to pay approximately 134,000 GBP as rental payments for 2010 in aggregate for the Cambridge leases. StemCells, Inc. is a guarantor of Stem Cell Sciences (UK) Ltd’s obligations under both leases.</w:t>
      </w:r>
    </w:p>
    <w:p>
      <w:pPr>
        <w:spacing w:after="0" w:line="7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With the exception of the operating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59" w:lineRule="exact"/>
        <w:rPr>
          <w:sz w:val="20"/>
          <w:szCs w:val="20"/>
          <w:color w:val="auto"/>
        </w:rPr>
      </w:pPr>
    </w:p>
    <w:p>
      <w:pPr>
        <w:ind w:left="880" w:right="1160" w:firstLine="200"/>
        <w:spacing w:after="0" w:line="426" w:lineRule="auto"/>
        <w:rPr>
          <w:sz w:val="20"/>
          <w:szCs w:val="20"/>
          <w:color w:val="auto"/>
        </w:rPr>
      </w:pPr>
      <w:r>
        <w:rPr>
          <w:rFonts w:ascii="Arial" w:cs="Arial" w:eastAsia="Arial" w:hAnsi="Arial"/>
          <w:sz w:val="13"/>
          <w:szCs w:val="13"/>
          <w:color w:val="auto"/>
        </w:rPr>
        <w:t xml:space="preserve">See Note 12, “Commitments and Contingencies,” in the Notes to Consolidated Financial Statements of Part II, Item 8 of this Form 10-K for further information. </w:t>
      </w:r>
      <w:r>
        <w:rPr>
          <w:rFonts w:ascii="Arial" w:cs="Arial" w:eastAsia="Arial" w:hAnsi="Arial"/>
          <w:sz w:val="13"/>
          <w:szCs w:val="13"/>
          <w:i w:val="1"/>
          <w:iCs w:val="1"/>
          <w:color w:val="auto"/>
        </w:rPr>
        <w:t>Indemnification Agreement</w:t>
      </w:r>
    </w:p>
    <w:p>
      <w:pPr>
        <w:ind w:left="680" w:firstLine="399"/>
        <w:spacing w:after="0" w:line="308" w:lineRule="auto"/>
        <w:rPr>
          <w:sz w:val="20"/>
          <w:szCs w:val="20"/>
          <w:color w:val="auto"/>
        </w:rPr>
      </w:pPr>
      <w:r>
        <w:rPr>
          <w:rFonts w:ascii="Arial" w:cs="Arial" w:eastAsia="Arial" w:hAnsi="Arial"/>
          <w:sz w:val="11"/>
          <w:szCs w:val="11"/>
          <w:color w:val="auto"/>
        </w:rPr>
        <w:t>In July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The estimated balance for future offsets is included under “Other assets, non-current” on our Consolidated Balance Sheets. We have concluded that the estimated balance of $750,000 as of December 31, 2009 is a fair estimate and realizable against future milestone and royalty payments to NeuroSpheres, and that litigation costs incurred after December 31, 2009 will be expensed as incurred. Management will reevaluate this estimate on a quarterly basis based on actual costs and other relevant factors.</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table below, we set forth our legally binding and enforceable contractual cash obligations at December 31,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Payable in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2"/>
              </w:rPr>
              <w:t>Payable in</w:t>
            </w:r>
          </w:p>
        </w:tc>
        <w:tc>
          <w:tcPr>
            <w:tcW w:w="120" w:type="dxa"/>
            <w:vAlign w:val="bottom"/>
          </w:tcPr>
          <w:p>
            <w:pPr>
              <w:spacing w:after="0"/>
              <w:rPr>
                <w:sz w:val="9"/>
                <w:szCs w:val="9"/>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Payable in</w:t>
            </w:r>
          </w:p>
        </w:tc>
        <w:tc>
          <w:tcPr>
            <w:tcW w:w="100" w:type="dxa"/>
            <w:vAlign w:val="bottom"/>
          </w:tcPr>
          <w:p>
            <w:pPr>
              <w:spacing w:after="0"/>
              <w:rPr>
                <w:sz w:val="9"/>
                <w:szCs w:val="9"/>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2"/>
              </w:rPr>
              <w:t>Payable in</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Payable in</w:t>
            </w:r>
          </w:p>
        </w:tc>
        <w:tc>
          <w:tcPr>
            <w:tcW w:w="80" w:type="dxa"/>
            <w:vAlign w:val="bottom"/>
          </w:tcPr>
          <w:p>
            <w:pPr>
              <w:spacing w:after="0"/>
              <w:rPr>
                <w:sz w:val="9"/>
                <w:szCs w:val="9"/>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6"/>
              </w:rPr>
              <w:t>Payable in</w:t>
            </w:r>
          </w:p>
        </w:tc>
        <w:tc>
          <w:tcPr>
            <w:tcW w:w="100" w:type="dxa"/>
            <w:vAlign w:val="bottom"/>
          </w:tcPr>
          <w:p>
            <w:pPr>
              <w:spacing w:after="0"/>
              <w:rPr>
                <w:sz w:val="9"/>
                <w:szCs w:val="9"/>
                <w:color w:val="auto"/>
              </w:rPr>
            </w:pPr>
          </w:p>
        </w:tc>
        <w:tc>
          <w:tcPr>
            <w:tcW w:w="480" w:type="dxa"/>
            <w:vAlign w:val="bottom"/>
          </w:tcPr>
          <w:p>
            <w:pPr>
              <w:jc w:val="center"/>
              <w:ind w:right="40"/>
              <w:spacing w:after="0" w:line="108" w:lineRule="exact"/>
              <w:rPr>
                <w:sz w:val="20"/>
                <w:szCs w:val="20"/>
                <w:color w:val="auto"/>
              </w:rPr>
            </w:pPr>
            <w:r>
              <w:rPr>
                <w:rFonts w:ascii="Arial" w:cs="Arial" w:eastAsia="Arial" w:hAnsi="Arial"/>
                <w:sz w:val="10"/>
                <w:szCs w:val="10"/>
                <w:b w:val="1"/>
                <w:bCs w:val="1"/>
                <w:color w:val="auto"/>
                <w:w w:val="98"/>
              </w:rPr>
              <w:t>2015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Obligations</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and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at 12/31/09</w:t>
            </w:r>
          </w:p>
        </w:tc>
        <w:tc>
          <w:tcPr>
            <w:tcW w:w="120" w:type="dxa"/>
            <w:vAlign w:val="bottom"/>
          </w:tcPr>
          <w:p>
            <w:pPr>
              <w:spacing w:after="0"/>
              <w:rPr>
                <w:sz w:val="10"/>
                <w:szCs w:val="10"/>
                <w:color w:val="auto"/>
              </w:rPr>
            </w:pPr>
          </w:p>
        </w:tc>
        <w:tc>
          <w:tcPr>
            <w:tcW w:w="680" w:type="dxa"/>
            <w:vAlign w:val="bottom"/>
          </w:tcPr>
          <w:p>
            <w:pPr>
              <w:jc w:val="right"/>
              <w:ind w:right="219"/>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39"/>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19"/>
              <w:spacing w:after="0"/>
              <w:rPr>
                <w:sz w:val="20"/>
                <w:szCs w:val="20"/>
                <w:color w:val="auto"/>
              </w:rPr>
            </w:pPr>
            <w:r>
              <w:rPr>
                <w:rFonts w:ascii="Arial" w:cs="Arial" w:eastAsia="Arial" w:hAnsi="Arial"/>
                <w:sz w:val="10"/>
                <w:szCs w:val="10"/>
                <w:b w:val="1"/>
                <w:bCs w:val="1"/>
                <w:color w:val="auto"/>
              </w:rPr>
              <w:t>2012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2013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Beyond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payments(1)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8,061,147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3,491,887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2,664,963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1,171,875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732,422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3"/>
                <w:szCs w:val="13"/>
                <w:color w:val="auto"/>
              </w:rPr>
              <w:t>Capital lease (equipment)</w:t>
            </w:r>
          </w:p>
        </w:tc>
        <w:tc>
          <w:tcPr>
            <w:tcW w:w="1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171,793</w:t>
            </w: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80,073</w:t>
            </w: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73,391</w:t>
            </w: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18,329</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Bonds Payable (principal &amp; interest)(2)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1,099,991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242,559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242,321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240,666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237,593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136,852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2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9,332,931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3,814,519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2,980,675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1,430,870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970,015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136,852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Operating lease payments exclude space-sharing and sub-lease income. See “Off-Balance Sheet Arrangements — Operating Leases” above for further information.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See Note 12, “Commitments and Contingencies” in the Notes to Consolidated Financial Statements of Part II, Item 8 of this Form 10-K for further information.</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Under license agreements with NeuroSpheres, Ltd., we obtained an exclusive patent license covering all uses of certain neural stem cell technology. We made up-front payments to NeuroSpheres of 65,000 shares of our common stock and $50,000, and will make additional cash payments as stated milestones are achieved. Effective in 2004, we were obligated to pay annual payments of $50,000, creditable against certain royalties. Effective in 2008, as part of the indemnification agreement with NeuroSpheres described above, we offset the annual $50,000 obligation against litigation costs incurred under that agreement.</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do not have any material unconditional purchase obligations or commercial commitments related to capital expenditures, clinical development, clinical manufacturing, or other external services contracts at December 31,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January 2010, the Financial Accounting Standards Board (FASB), issued new standards to update and amend existing standards on “Fair Value Measurements and Disclosures.” These standards require new disclosures on the amount and reason for transfers in and out of Level 1 and Level 2 fair value measurements. The standards also require disclosure of activities in Level 3 fair value measurements that use significant unobservable inputs, including purchases, sales, issuances, and settlements. The standards also clarify existing disclosure requirements on levels of disaggregation, which requires fair value measurement disclosure for each class of assets and liabilities, and disclosures about valuation techniques and inputs used to measure fair value of recurring and non recurring fair value measurements that fall in ether Level 2 or Level 3. The new disclosures and clarifications of existing disclosures are effective for our interim and annual reporting periods beginning January 1, 2010, except for the disclosures about purchases, sales, issuances and settlements in the roll forward activity in Level 3 fair value measurements. Those disclosures are effective for our fiscal year beginning January 1, 2011. We do not expect the adoption of these new standards on January 1, 2011 to have a material effect on our consolidated financial condition and results of operations.</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and Credit Risks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interest-bearing assets, or interest-bearing portfolio, consist of cash, cash equivalents, restricted cash, and marketable debt securities. The balance of our interest-bearing portfolio was approximately $39,396,000, or 76%, of total assets at December 31, 2009 and $34,031,000, or 85%, of total assets at December 31, 2008. Interest income earned on these assets was approximately $67,000 in 2009 and $803,000 in 2008. Our interest income is sensitive to changes in the general level of interest rates, primarily U.S. interest rates. At December 31, 2009, our debt securities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were primarily composed of money market accounts comprised of U.S. Treasury debt securities and repurchase agreements that are backed by U.S. Treasury debt securities. Generally, corporate obligations must have senior credit ratings of A2/A or the equivalent. See Note 1, “Summary of Significant Accounting Policies — Financial Instruments” and Note 2 “Financial Instruments” section in the Notes to Consolidated Financial Statements in Part II, Item 8 of this Form 10-K for further information.</w:t>
      </w:r>
    </w:p>
    <w:p>
      <w:pPr>
        <w:spacing w:after="0" w:line="67"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long-term debt is comprised of industrial revenue bonds issued by the State of Rhode Island to finance the construction of our pilot manufacturing facility in Rhode Island. See Note 12, “Commitments and Contingencies,” section in the Notes to Consolidated Financial Statements in Part II, Item 8 of this Form 10-K for further information.</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Security and Foreign Exchange Risks</w:t>
      </w:r>
    </w:p>
    <w:p>
      <w:pPr>
        <w:spacing w:after="0" w:line="10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$3,077,000. In February and March of 2009, we sold in aggregate, approximately 2,900,000 more shares and received net proceeds of approximately $510,000 for a realized gain of approximately $398,000. As of December 31, 2009, we held approximately 1,922,000 shares of ReNeuron as marketable equity securities with a carrying and fair market value of approximately $197,000.</w:t>
      </w:r>
    </w:p>
    <w:p>
      <w:pPr>
        <w:spacing w:after="0" w:line="6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or an impairment is determined to be other than temporary. At December 31, 2008, after considering various criteria, including, the duration of the impairment and our intent to liquidate all or part of this investment within a reasonably short period of time, we determined that the impairment of our investment in ReNeuron was other than temporary. For the year ended December 31, 2008, we recorded, on our “Consolidated Statements of Operations” under “Other Income (expense), a loss of $2,082,894, which is the difference between the investment’s carrying value and its quoted market price at that date. No other than temporary impairment was recognized during the year ended December 31, 2009.</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7"/>
              </w:rPr>
              <w:t>Share</w:t>
            </w: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9"/>
              </w:rPr>
              <w:t>Exchange</w:t>
            </w:r>
          </w:p>
        </w:tc>
        <w:tc>
          <w:tcPr>
            <w:tcW w:w="80" w:type="dxa"/>
            <w:vAlign w:val="bottom"/>
          </w:tcPr>
          <w:p>
            <w:pPr>
              <w:spacing w:after="0"/>
              <w:rPr>
                <w:sz w:val="8"/>
                <w:szCs w:val="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Market</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3"/>
              </w:rPr>
              <w:t>No. of</w:t>
            </w:r>
          </w:p>
        </w:tc>
        <w:tc>
          <w:tcPr>
            <w:tcW w:w="9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Price at</w:t>
            </w: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3"/>
              </w:rPr>
              <w:t>Rate at</w:t>
            </w:r>
          </w:p>
        </w:tc>
        <w:tc>
          <w:tcPr>
            <w:tcW w:w="80" w:type="dxa"/>
            <w:vAlign w:val="bottom"/>
          </w:tcPr>
          <w:p>
            <w:pPr>
              <w:spacing w:after="0"/>
              <w:rPr>
                <w:sz w:val="8"/>
                <w:szCs w:val="8"/>
                <w:color w:val="auto"/>
              </w:rPr>
            </w:pPr>
          </w:p>
        </w:tc>
        <w:tc>
          <w:tcPr>
            <w:tcW w:w="8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Value</w:t>
            </w:r>
          </w:p>
        </w:tc>
        <w:tc>
          <w:tcPr>
            <w:tcW w:w="420" w:type="dxa"/>
            <w:vAlign w:val="bottom"/>
            <w:gridSpan w:val="2"/>
          </w:tcPr>
          <w:p>
            <w:pPr>
              <w:jc w:val="center"/>
              <w:ind w:right="40"/>
              <w:spacing w:after="0" w:line="98" w:lineRule="exact"/>
              <w:rPr>
                <w:sz w:val="20"/>
                <w:szCs w:val="20"/>
                <w:color w:val="auto"/>
              </w:rPr>
            </w:pPr>
            <w:r>
              <w:rPr>
                <w:rFonts w:ascii="Arial" w:cs="Arial" w:eastAsia="Arial" w:hAnsi="Arial"/>
                <w:sz w:val="9"/>
                <w:szCs w:val="9"/>
                <w:b w:val="1"/>
                <w:bCs w:val="1"/>
                <w:color w:val="auto"/>
                <w:w w:val="94"/>
              </w:rPr>
              <w:t>Expected</w:t>
            </w:r>
          </w:p>
        </w:tc>
      </w:tr>
      <w:tr>
        <w:trPr>
          <w:trHeight w:val="98"/>
        </w:trPr>
        <w:tc>
          <w:tcPr>
            <w:tcW w:w="1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Shares at</w:t>
            </w:r>
          </w:p>
        </w:tc>
        <w:tc>
          <w:tcPr>
            <w:tcW w:w="9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December 31,</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December 31,</w:t>
            </w:r>
          </w:p>
        </w:tc>
        <w:tc>
          <w:tcPr>
            <w:tcW w:w="80" w:type="dxa"/>
            <w:vAlign w:val="bottom"/>
          </w:tcPr>
          <w:p>
            <w:pPr>
              <w:spacing w:after="0"/>
              <w:rPr>
                <w:sz w:val="8"/>
                <w:szCs w:val="8"/>
                <w:color w:val="auto"/>
              </w:rPr>
            </w:pPr>
          </w:p>
        </w:tc>
        <w:tc>
          <w:tcPr>
            <w:tcW w:w="8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in USD at</w:t>
            </w:r>
          </w:p>
        </w:tc>
        <w:tc>
          <w:tcPr>
            <w:tcW w:w="420" w:type="dxa"/>
            <w:vAlign w:val="bottom"/>
            <w:gridSpan w:val="2"/>
          </w:tcPr>
          <w:p>
            <w:pPr>
              <w:jc w:val="center"/>
              <w:ind w:right="40"/>
              <w:spacing w:after="0" w:line="98" w:lineRule="exact"/>
              <w:rPr>
                <w:sz w:val="20"/>
                <w:szCs w:val="20"/>
                <w:color w:val="auto"/>
              </w:rPr>
            </w:pPr>
            <w:r>
              <w:rPr>
                <w:rFonts w:ascii="Arial" w:cs="Arial" w:eastAsia="Arial" w:hAnsi="Arial"/>
                <w:sz w:val="9"/>
                <w:szCs w:val="9"/>
                <w:b w:val="1"/>
                <w:bCs w:val="1"/>
                <w:color w:val="auto"/>
                <w:w w:val="92"/>
              </w:rPr>
              <w:t>Future</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Company/Stock</w:t>
            </w:r>
          </w:p>
        </w:tc>
        <w:tc>
          <w:tcPr>
            <w:tcW w:w="1680" w:type="dxa"/>
            <w:vAlign w:val="bottom"/>
          </w:tcPr>
          <w:p>
            <w:pPr>
              <w:spacing w:after="0"/>
              <w:rPr>
                <w:sz w:val="8"/>
                <w:szCs w:val="8"/>
                <w:color w:val="auto"/>
              </w:rPr>
            </w:pPr>
          </w:p>
        </w:tc>
        <w:tc>
          <w:tcPr>
            <w:tcW w:w="2500" w:type="dxa"/>
            <w:vAlign w:val="bottom"/>
          </w:tcPr>
          <w:p>
            <w:pPr>
              <w:ind w:left="1080"/>
              <w:spacing w:after="0" w:line="98" w:lineRule="exact"/>
              <w:rPr>
                <w:sz w:val="20"/>
                <w:szCs w:val="20"/>
                <w:color w:val="auto"/>
              </w:rPr>
            </w:pPr>
            <w:r>
              <w:rPr>
                <w:rFonts w:ascii="Arial" w:cs="Arial" w:eastAsia="Arial" w:hAnsi="Arial"/>
                <w:sz w:val="9"/>
                <w:szCs w:val="9"/>
                <w:b w:val="1"/>
                <w:bCs w:val="1"/>
                <w:color w:val="auto"/>
              </w:rPr>
              <w:t>Associated</w:t>
            </w:r>
          </w:p>
        </w:tc>
        <w:tc>
          <w:tcPr>
            <w:tcW w:w="8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2"/>
              </w:rPr>
              <w:t>December 31,</w:t>
            </w:r>
          </w:p>
        </w:tc>
        <w:tc>
          <w:tcPr>
            <w:tcW w:w="7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2009</w:t>
            </w:r>
          </w:p>
        </w:tc>
        <w:tc>
          <w:tcPr>
            <w:tcW w:w="20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2009</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2"/>
              </w:rPr>
              <w:t>December 31,</w:t>
            </w:r>
          </w:p>
        </w:tc>
        <w:tc>
          <w:tcPr>
            <w:tcW w:w="420" w:type="dxa"/>
            <w:vAlign w:val="bottom"/>
            <w:gridSpan w:val="2"/>
          </w:tcPr>
          <w:p>
            <w:pPr>
              <w:jc w:val="center"/>
              <w:ind w:right="40"/>
              <w:spacing w:after="0" w:line="98" w:lineRule="exact"/>
              <w:rPr>
                <w:sz w:val="20"/>
                <w:szCs w:val="20"/>
                <w:color w:val="auto"/>
              </w:rPr>
            </w:pPr>
            <w:r>
              <w:rPr>
                <w:rFonts w:ascii="Arial" w:cs="Arial" w:eastAsia="Arial" w:hAnsi="Arial"/>
                <w:sz w:val="9"/>
                <w:szCs w:val="9"/>
                <w:b w:val="1"/>
                <w:bCs w:val="1"/>
                <w:color w:val="auto"/>
                <w:w w:val="81"/>
              </w:rPr>
              <w:t>Cash</w:t>
            </w:r>
          </w:p>
        </w:tc>
      </w:tr>
      <w:tr>
        <w:trPr>
          <w:trHeight w:val="121"/>
        </w:trPr>
        <w:tc>
          <w:tcPr>
            <w:tcW w:w="1660" w:type="dxa"/>
            <w:vAlign w:val="bottom"/>
          </w:tcPr>
          <w:p>
            <w:pPr>
              <w:spacing w:after="0"/>
              <w:rPr>
                <w:sz w:val="20"/>
                <w:szCs w:val="20"/>
                <w:color w:val="auto"/>
              </w:rPr>
            </w:pPr>
            <w:r>
              <w:rPr>
                <w:rFonts w:ascii="Arial" w:cs="Arial" w:eastAsia="Arial" w:hAnsi="Arial"/>
                <w:sz w:val="9"/>
                <w:szCs w:val="9"/>
                <w:b w:val="1"/>
                <w:bCs w:val="1"/>
                <w:color w:val="auto"/>
              </w:rPr>
              <w:t>Symbol</w:t>
            </w:r>
          </w:p>
        </w:tc>
        <w:tc>
          <w:tcPr>
            <w:tcW w:w="1680" w:type="dxa"/>
            <w:vAlign w:val="bottom"/>
          </w:tcPr>
          <w:p>
            <w:pPr>
              <w:ind w:left="1100"/>
              <w:spacing w:after="0"/>
              <w:rPr>
                <w:sz w:val="20"/>
                <w:szCs w:val="20"/>
                <w:color w:val="auto"/>
              </w:rPr>
            </w:pPr>
            <w:r>
              <w:rPr>
                <w:rFonts w:ascii="Arial" w:cs="Arial" w:eastAsia="Arial" w:hAnsi="Arial"/>
                <w:sz w:val="9"/>
                <w:szCs w:val="9"/>
                <w:b w:val="1"/>
                <w:bCs w:val="1"/>
                <w:color w:val="auto"/>
              </w:rPr>
              <w:t>Exchange</w:t>
            </w:r>
          </w:p>
        </w:tc>
        <w:tc>
          <w:tcPr>
            <w:tcW w:w="2500" w:type="dxa"/>
            <w:vAlign w:val="bottom"/>
          </w:tcPr>
          <w:p>
            <w:pPr>
              <w:ind w:left="1280"/>
              <w:spacing w:after="0"/>
              <w:rPr>
                <w:sz w:val="20"/>
                <w:szCs w:val="20"/>
                <w:color w:val="auto"/>
              </w:rPr>
            </w:pPr>
            <w:r>
              <w:rPr>
                <w:rFonts w:ascii="Arial" w:cs="Arial" w:eastAsia="Arial" w:hAnsi="Arial"/>
                <w:sz w:val="9"/>
                <w:szCs w:val="9"/>
                <w:b w:val="1"/>
                <w:bCs w:val="1"/>
                <w:color w:val="auto"/>
              </w:rPr>
              <w:t>Risks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2009</w:t>
            </w:r>
          </w:p>
        </w:tc>
        <w:tc>
          <w:tcPr>
            <w:tcW w:w="18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in GBP(£)</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 GBP = USD</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9"/>
                <w:szCs w:val="9"/>
                <w:b w:val="1"/>
                <w:bCs w:val="1"/>
                <w:color w:val="auto"/>
                <w:w w:val="89"/>
              </w:rPr>
              <w:t>2009</w:t>
            </w:r>
          </w:p>
        </w:tc>
        <w:tc>
          <w:tcPr>
            <w:tcW w:w="20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Flows</w:t>
            </w:r>
          </w:p>
        </w:tc>
        <w:tc>
          <w:tcPr>
            <w:tcW w:w="40" w:type="dxa"/>
            <w:vAlign w:val="bottom"/>
          </w:tcPr>
          <w:p>
            <w:pPr>
              <w:spacing w:after="0"/>
              <w:rPr>
                <w:sz w:val="10"/>
                <w:szCs w:val="10"/>
                <w:color w:val="auto"/>
              </w:rPr>
            </w:pPr>
          </w:p>
        </w:tc>
      </w:tr>
      <w:tr>
        <w:trPr>
          <w:trHeight w:val="124"/>
        </w:trPr>
        <w:tc>
          <w:tcPr>
            <w:tcW w:w="1660" w:type="dxa"/>
            <w:vAlign w:val="bottom"/>
          </w:tcPr>
          <w:p>
            <w:pPr>
              <w:spacing w:after="0"/>
              <w:rPr>
                <w:sz w:val="20"/>
                <w:szCs w:val="20"/>
                <w:color w:val="auto"/>
              </w:rPr>
            </w:pPr>
            <w:r>
              <w:rPr>
                <w:rFonts w:ascii="Arial" w:cs="Arial" w:eastAsia="Arial" w:hAnsi="Arial"/>
                <w:sz w:val="10"/>
                <w:szCs w:val="10"/>
                <w:color w:val="auto"/>
              </w:rPr>
              <w:t>ReNeuron Group plc/RENE</w:t>
            </w:r>
          </w:p>
        </w:tc>
        <w:tc>
          <w:tcPr>
            <w:tcW w:w="1680" w:type="dxa"/>
            <w:vAlign w:val="bottom"/>
          </w:tcPr>
          <w:p>
            <w:pPr>
              <w:ind w:left="460"/>
              <w:spacing w:after="0"/>
              <w:rPr>
                <w:sz w:val="20"/>
                <w:szCs w:val="20"/>
                <w:color w:val="auto"/>
              </w:rPr>
            </w:pPr>
            <w:r>
              <w:rPr>
                <w:rFonts w:ascii="Arial" w:cs="Arial" w:eastAsia="Arial" w:hAnsi="Arial"/>
                <w:sz w:val="10"/>
                <w:szCs w:val="10"/>
                <w:color w:val="auto"/>
              </w:rPr>
              <w:t>AIM (AIM is the</w:t>
            </w:r>
          </w:p>
        </w:tc>
        <w:tc>
          <w:tcPr>
            <w:tcW w:w="2500" w:type="dxa"/>
            <w:vAlign w:val="bottom"/>
          </w:tcPr>
          <w:p>
            <w:pPr>
              <w:ind w:left="180"/>
              <w:spacing w:after="0"/>
              <w:rPr>
                <w:sz w:val="20"/>
                <w:szCs w:val="20"/>
                <w:color w:val="auto"/>
              </w:rPr>
            </w:pPr>
            <w:r>
              <w:rPr>
                <w:rFonts w:ascii="Arial" w:cs="Arial" w:eastAsia="Arial" w:hAnsi="Arial"/>
                <w:sz w:val="10"/>
                <w:szCs w:val="10"/>
                <w:color w:val="auto"/>
              </w:rPr>
              <w:t>— Lower share price</w:t>
            </w: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1,921,924</w:t>
            </w: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0.0634</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1.6167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0"/>
                <w:szCs w:val="10"/>
                <w:color w:val="auto"/>
              </w:rPr>
              <w:t>196,995</w:t>
            </w:r>
          </w:p>
        </w:tc>
        <w:tc>
          <w:tcPr>
            <w:tcW w:w="420" w:type="dxa"/>
            <w:vAlign w:val="bottom"/>
            <w:gridSpan w:val="2"/>
          </w:tcPr>
          <w:p>
            <w:pPr>
              <w:jc w:val="right"/>
              <w:spacing w:after="0"/>
              <w:rPr>
                <w:sz w:val="20"/>
                <w:szCs w:val="20"/>
                <w:color w:val="auto"/>
              </w:rPr>
            </w:pPr>
            <w:r>
              <w:rPr>
                <w:rFonts w:ascii="Arial" w:cs="Arial" w:eastAsia="Arial" w:hAnsi="Arial"/>
                <w:sz w:val="10"/>
                <w:szCs w:val="10"/>
                <w:color w:val="auto"/>
              </w:rPr>
              <w:t>(1)</w:t>
            </w:r>
          </w:p>
        </w:tc>
      </w:tr>
      <w:tr>
        <w:trPr>
          <w:trHeight w:val="108"/>
        </w:trPr>
        <w:tc>
          <w:tcPr>
            <w:tcW w:w="1660" w:type="dxa"/>
            <w:vAlign w:val="bottom"/>
          </w:tcPr>
          <w:p>
            <w:pPr>
              <w:spacing w:after="0"/>
              <w:rPr>
                <w:sz w:val="9"/>
                <w:szCs w:val="9"/>
                <w:color w:val="auto"/>
              </w:rPr>
            </w:pPr>
          </w:p>
        </w:tc>
        <w:tc>
          <w:tcPr>
            <w:tcW w:w="1680" w:type="dxa"/>
            <w:vAlign w:val="bottom"/>
          </w:tcPr>
          <w:p>
            <w:pPr>
              <w:ind w:left="460"/>
              <w:spacing w:after="0" w:line="108" w:lineRule="exact"/>
              <w:rPr>
                <w:sz w:val="20"/>
                <w:szCs w:val="20"/>
                <w:color w:val="auto"/>
              </w:rPr>
            </w:pPr>
            <w:r>
              <w:rPr>
                <w:rFonts w:ascii="Arial" w:cs="Arial" w:eastAsia="Arial" w:hAnsi="Arial"/>
                <w:sz w:val="10"/>
                <w:szCs w:val="10"/>
                <w:color w:val="auto"/>
              </w:rPr>
              <w:t>London Stock</w:t>
            </w:r>
          </w:p>
        </w:tc>
        <w:tc>
          <w:tcPr>
            <w:tcW w:w="2500" w:type="dxa"/>
            <w:vAlign w:val="bottom"/>
          </w:tcPr>
          <w:p>
            <w:pPr>
              <w:ind w:left="180"/>
              <w:spacing w:after="0" w:line="108" w:lineRule="exact"/>
              <w:rPr>
                <w:sz w:val="20"/>
                <w:szCs w:val="20"/>
                <w:color w:val="auto"/>
              </w:rPr>
            </w:pPr>
            <w:r>
              <w:rPr>
                <w:rFonts w:ascii="Arial" w:cs="Arial" w:eastAsia="Arial" w:hAnsi="Arial"/>
                <w:sz w:val="10"/>
                <w:szCs w:val="10"/>
                <w:color w:val="auto"/>
              </w:rPr>
              <w:t>— Foreign currency translation</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660" w:type="dxa"/>
            <w:vAlign w:val="bottom"/>
          </w:tcPr>
          <w:p>
            <w:pPr>
              <w:spacing w:after="0"/>
              <w:rPr>
                <w:sz w:val="9"/>
                <w:szCs w:val="9"/>
                <w:color w:val="auto"/>
              </w:rPr>
            </w:pPr>
          </w:p>
        </w:tc>
        <w:tc>
          <w:tcPr>
            <w:tcW w:w="1680" w:type="dxa"/>
            <w:vAlign w:val="bottom"/>
          </w:tcPr>
          <w:p>
            <w:pPr>
              <w:ind w:left="460"/>
              <w:spacing w:after="0" w:line="108" w:lineRule="exact"/>
              <w:rPr>
                <w:sz w:val="20"/>
                <w:szCs w:val="20"/>
                <w:color w:val="auto"/>
              </w:rPr>
            </w:pPr>
            <w:r>
              <w:rPr>
                <w:rFonts w:ascii="Arial" w:cs="Arial" w:eastAsia="Arial" w:hAnsi="Arial"/>
                <w:sz w:val="10"/>
                <w:szCs w:val="10"/>
                <w:color w:val="auto"/>
              </w:rPr>
              <w:t>Exchange’s</w:t>
            </w:r>
          </w:p>
        </w:tc>
        <w:tc>
          <w:tcPr>
            <w:tcW w:w="2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660" w:type="dxa"/>
            <w:vAlign w:val="bottom"/>
          </w:tcPr>
          <w:p>
            <w:pPr>
              <w:spacing w:after="0"/>
              <w:rPr>
                <w:sz w:val="9"/>
                <w:szCs w:val="9"/>
                <w:color w:val="auto"/>
              </w:rPr>
            </w:pPr>
          </w:p>
        </w:tc>
        <w:tc>
          <w:tcPr>
            <w:tcW w:w="1680" w:type="dxa"/>
            <w:vAlign w:val="bottom"/>
          </w:tcPr>
          <w:p>
            <w:pPr>
              <w:ind w:left="460"/>
              <w:spacing w:after="0" w:line="108" w:lineRule="exact"/>
              <w:rPr>
                <w:sz w:val="20"/>
                <w:szCs w:val="20"/>
                <w:color w:val="auto"/>
              </w:rPr>
            </w:pPr>
            <w:r>
              <w:rPr>
                <w:rFonts w:ascii="Arial" w:cs="Arial" w:eastAsia="Arial" w:hAnsi="Arial"/>
                <w:sz w:val="10"/>
                <w:szCs w:val="10"/>
                <w:color w:val="auto"/>
              </w:rPr>
              <w:t>Alternative</w:t>
            </w:r>
          </w:p>
        </w:tc>
        <w:tc>
          <w:tcPr>
            <w:tcW w:w="2500" w:type="dxa"/>
            <w:vAlign w:val="bottom"/>
          </w:tcPr>
          <w:p>
            <w:pPr>
              <w:ind w:left="180"/>
              <w:spacing w:after="0" w:line="108" w:lineRule="exact"/>
              <w:rPr>
                <w:sz w:val="20"/>
                <w:szCs w:val="20"/>
                <w:color w:val="auto"/>
              </w:rPr>
            </w:pPr>
            <w:r>
              <w:rPr>
                <w:rFonts w:ascii="Arial" w:cs="Arial" w:eastAsia="Arial" w:hAnsi="Arial"/>
                <w:sz w:val="10"/>
                <w:szCs w:val="10"/>
                <w:color w:val="auto"/>
              </w:rPr>
              <w:t>— Liquidity</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660" w:type="dxa"/>
            <w:vAlign w:val="bottom"/>
          </w:tcPr>
          <w:p>
            <w:pPr>
              <w:spacing w:after="0"/>
              <w:rPr>
                <w:sz w:val="11"/>
                <w:szCs w:val="11"/>
                <w:color w:val="auto"/>
              </w:rPr>
            </w:pPr>
          </w:p>
        </w:tc>
        <w:tc>
          <w:tcPr>
            <w:tcW w:w="1680" w:type="dxa"/>
            <w:vAlign w:val="bottom"/>
          </w:tcPr>
          <w:p>
            <w:pPr>
              <w:ind w:left="460"/>
              <w:spacing w:after="0"/>
              <w:rPr>
                <w:sz w:val="20"/>
                <w:szCs w:val="20"/>
                <w:color w:val="auto"/>
              </w:rPr>
            </w:pPr>
            <w:r>
              <w:rPr>
                <w:rFonts w:ascii="Arial" w:cs="Arial" w:eastAsia="Arial" w:hAnsi="Arial"/>
                <w:sz w:val="10"/>
                <w:szCs w:val="10"/>
                <w:color w:val="auto"/>
              </w:rPr>
              <w:t>Investment Market)</w:t>
            </w:r>
          </w:p>
        </w:tc>
        <w:tc>
          <w:tcPr>
            <w:tcW w:w="2500" w:type="dxa"/>
            <w:vAlign w:val="bottom"/>
          </w:tcPr>
          <w:p>
            <w:pPr>
              <w:ind w:left="180"/>
              <w:spacing w:after="0"/>
              <w:rPr>
                <w:sz w:val="20"/>
                <w:szCs w:val="20"/>
                <w:color w:val="auto"/>
              </w:rPr>
            </w:pPr>
            <w:r>
              <w:rPr>
                <w:rFonts w:ascii="Arial" w:cs="Arial" w:eastAsia="Arial" w:hAnsi="Arial"/>
                <w:sz w:val="10"/>
                <w:szCs w:val="10"/>
                <w:color w:val="auto"/>
              </w:rPr>
              <w:t>— Bankruptcy</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-380365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-380365</wp:posOffset>
            </wp:positionV>
            <wp:extent cx="63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-380365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1000" w:right="20" w:hanging="259"/>
        <w:spacing w:after="0" w:line="26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Another foreign exchange risk is our exposure to foreign currency exchange rates on the earnings, cash flows and financial position of our foreign subsidiaries in the United Kingdom and Australia. Financial statements of our foreign subsidiaries are translated into U.S. dollars from U.K. pounds (GBP), using period-end exchange rates for assets and liabilities and average exchange rates for revenues and expenses. Adjustments resulting from translating net assets are reported as a separate component of accumulated other comprehensive loss within shareholders’ equity under the caption “Unrealized loss on foreign currency translation”. A hypothetical 10% weakening of the U.S. dollar in relation to the GBP would have resulted in an approximate $200,000 increase in our net loss reported for the year ended December 31, 2009. Because we are currently not subject to material foreign currency exchange risk with respect to revenue transactions and cash balances, we have not to date entered into any hedging contracts.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10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tcPr>
          <w:p>
            <w:pPr>
              <w:jc w:val="center"/>
              <w:ind w:right="2734"/>
              <w:spacing w:after="0"/>
              <w:rPr>
                <w:sz w:val="20"/>
                <w:szCs w:val="20"/>
                <w:color w:val="auto"/>
              </w:rPr>
            </w:pPr>
            <w:r>
              <w:rPr>
                <w:rFonts w:ascii="Arial" w:cs="Arial" w:eastAsia="Arial" w:hAnsi="Arial"/>
                <w:sz w:val="13"/>
                <w:szCs w:val="13"/>
                <w:b w:val="1"/>
                <w:bCs w:val="1"/>
                <w:color w:val="auto"/>
              </w:rPr>
              <w:t>STEMCELLS, INC.</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20" w:type="dxa"/>
            <w:vAlign w:val="bottom"/>
          </w:tcPr>
          <w:p>
            <w:pPr>
              <w:jc w:val="center"/>
              <w:ind w:right="2714"/>
              <w:spacing w:after="0"/>
              <w:rPr>
                <w:sz w:val="20"/>
                <w:szCs w:val="20"/>
                <w:color w:val="auto"/>
              </w:rPr>
            </w:pPr>
            <w:r>
              <w:rPr>
                <w:rFonts w:ascii="Arial" w:cs="Arial" w:eastAsia="Arial" w:hAnsi="Arial"/>
                <w:sz w:val="13"/>
                <w:szCs w:val="13"/>
                <w:b w:val="1"/>
                <w:bCs w:val="1"/>
                <w:color w:val="auto"/>
              </w:rPr>
              <w:t>INDEX TO CONSOLIDATED FINANCIAL STATEMENTS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7"/>
          </w:tcPr>
          <w:p>
            <w:pPr>
              <w:spacing w:after="0"/>
              <w:rPr>
                <w:rFonts w:ascii="Arial" w:cs="Arial" w:eastAsia="Arial" w:hAnsi="Arial"/>
                <w:sz w:val="13"/>
                <w:szCs w:val="13"/>
                <w:color w:val="0000EE"/>
                <w:w w:val="92"/>
              </w:rPr>
            </w:pPr>
            <w:hyperlink w:anchor="page58">
              <w:r>
                <w:rPr>
                  <w:rFonts w:ascii="Arial" w:cs="Arial" w:eastAsia="Arial" w:hAnsi="Arial"/>
                  <w:sz w:val="13"/>
                  <w:szCs w:val="13"/>
                  <w:color w:val="0000EE"/>
                  <w:w w:val="92"/>
                </w:rPr>
                <w:t>Report of Independent Registered Public Accounting Firm</w:t>
              </w:r>
            </w:hyperlink>
          </w:p>
        </w:tc>
        <w:tc>
          <w:tcPr>
            <w:tcW w:w="66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Consolidated Balance Sheets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60">
              <w:r>
                <w:rPr>
                  <w:rFonts w:ascii="Arial" w:cs="Arial" w:eastAsia="Arial" w:hAnsi="Arial"/>
                  <w:sz w:val="13"/>
                  <w:szCs w:val="13"/>
                  <w:color w:val="0000EE"/>
                  <w:w w:val="89"/>
                </w:rPr>
                <w:t>Consolidated Statements of Operations</w:t>
              </w:r>
            </w:hyperlink>
          </w:p>
        </w:tc>
        <w:tc>
          <w:tcPr>
            <w:tcW w:w="764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Consolidated Statements of Stockholders’ Equity</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Cash Flows</w:t>
              </w:r>
            </w:hyperlink>
          </w:p>
        </w:tc>
        <w:tc>
          <w:tcPr>
            <w:tcW w:w="480" w:type="dxa"/>
            <w:vAlign w:val="bottom"/>
            <w:tcBorders>
              <w:top w:val="single" w:sz="8" w:color="0000EE"/>
            </w:tcBorders>
            <w:gridSpan w:val="2"/>
          </w:tcPr>
          <w:p>
            <w:pPr>
              <w:spacing w:after="0"/>
              <w:rPr>
                <w:sz w:val="11"/>
                <w:szCs w:val="11"/>
                <w:color w:val="auto"/>
              </w:rPr>
            </w:pPr>
          </w:p>
        </w:tc>
        <w:tc>
          <w:tcPr>
            <w:tcW w:w="71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Notes to Consolidated Financial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gridSpan w:val="4"/>
          </w:tcPr>
          <w:p>
            <w:pPr>
              <w:spacing w:after="0"/>
              <w:rPr>
                <w:sz w:val="24"/>
                <w:szCs w:val="24"/>
                <w:color w:val="auto"/>
              </w:rPr>
            </w:pPr>
          </w:p>
        </w:tc>
        <w:tc>
          <w:tcPr>
            <w:tcW w:w="7400" w:type="dxa"/>
            <w:vAlign w:val="bottom"/>
            <w:gridSpan w:val="3"/>
          </w:tcPr>
          <w:p>
            <w:pPr>
              <w:jc w:val="center"/>
              <w:ind w:right="1934"/>
              <w:spacing w:after="0"/>
              <w:rPr>
                <w:sz w:val="20"/>
                <w:szCs w:val="20"/>
                <w:color w:val="auto"/>
              </w:rPr>
            </w:pPr>
            <w:r>
              <w:rPr>
                <w:rFonts w:ascii="Arial" w:cs="Arial" w:eastAsia="Arial" w:hAnsi="Arial"/>
                <w:sz w:val="13"/>
                <w:szCs w:val="13"/>
                <w:color w:val="auto"/>
                <w:w w:val="82"/>
              </w:rPr>
              <w:t>56</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StemCells, Inc. (a Delaware corporation) and subsidiaries (collectively, the “Company”) as of December 31, 2009 and 2008, and the related consolidated statements of operations, changes in stockholders’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StemCells, Inc. and subsidiaries as of December 31, 2009 and 2008, and the results of their operations and their cash flows for each of the three years in the period ended December 31, 2009, in conformity with accounting principles generally accepted in the United States of America.</w:t>
      </w:r>
    </w:p>
    <w:p>
      <w:pPr>
        <w:spacing w:after="0" w:line="67"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 xml:space="preserve">We also have audited, in accordance with standards of the Public Company Accounting Oversight Board (United States), StemCells, Inc. and subsidiaries’ internal control over financial reporting as of December 31, 2009,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and our report dated March 10, 2010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10,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38,617,977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30,042,986</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Marketable securities, current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196,995</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4,181,592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 receivables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87,019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Other receivables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679,034</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164,204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Note receivable</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298,032</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Prepaid assets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560,144</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645,242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40,141,169</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35,332,056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2,856,695</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3,173,468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assets, non-current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2,525,185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2,079,278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2,019,679</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3,647,596</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645,538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51,190,324</w:t>
            </w:r>
          </w:p>
        </w:tc>
        <w:tc>
          <w:tcPr>
            <w:tcW w:w="400" w:type="dxa"/>
            <w:vAlign w:val="bottom"/>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41,230,340</w:t>
            </w:r>
          </w:p>
        </w:tc>
        <w:tc>
          <w:tcPr>
            <w:tcW w:w="0" w:type="dxa"/>
            <w:vAlign w:val="bottom"/>
          </w:tcPr>
          <w:p>
            <w:pPr>
              <w:spacing w:after="0"/>
              <w:rPr>
                <w:sz w:val="1"/>
                <w:szCs w:val="1"/>
                <w:color w:val="auto"/>
              </w:rPr>
            </w:pPr>
          </w:p>
        </w:tc>
      </w:tr>
      <w:tr>
        <w:trPr>
          <w:trHeight w:val="128"/>
        </w:trPr>
        <w:tc>
          <w:tcPr>
            <w:tcW w:w="7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890,582</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1,078,123</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3,760,438</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2,261,245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wind-down expenses, current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1,449,810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1,420,378</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Deferred revenue, current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119,542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43,909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 obligation,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18,739</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Deferred rent,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80,392</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346,930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Bonds payable, current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161,250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149,167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6,530,014</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5,318,491</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85,826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Bonds payable, non-current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698,750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860,000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warrant liability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9,676,968</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8,439,931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Deposits and other long-term liabilities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466,211</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466,211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 non-current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3,056,675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4,092,939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Deferred rent,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50,600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90,215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non-current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130,213</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147,039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20,695,257</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19,421,355</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12)</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Common stock, $0.01 par value; 250,000,000 shares authorized; issued and outstanding 118,349,587 at December 31, 2009 and</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94,945,603 at December 31, 2008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1,183,495</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949,455</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314,944,784</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279,868,802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(286,027,935)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(259,001,524)</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394,723</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(7,748)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30,495,067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21,808,985</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51,190,324</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41,230,340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95"/>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Revenue from licensing agreements and grants</w:t>
            </w:r>
          </w:p>
        </w:tc>
        <w:tc>
          <w:tcPr>
            <w:tcW w:w="2900" w:type="dxa"/>
            <w:vAlign w:val="bottom"/>
            <w:gridSpan w:val="2"/>
          </w:tcPr>
          <w:p>
            <w:pPr>
              <w:jc w:val="right"/>
              <w:ind w:right="251"/>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608,011</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231,730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from product sales</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384,859</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992,870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231,730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sales</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(261,443)</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731,427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231,730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19,929,592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17,808,009</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19,937,426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9,530,421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8,295,554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7,927,443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649,608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866,199</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783,022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30,109,621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26,969,762</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28,647,891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Operating loss</w:t>
            </w: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(29,378,194)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(26,738,032)</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(28,591,169)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License and settlement agreement, net</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550,467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 on sale of marketable securities</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406,910</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715,584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w w:val="99"/>
              </w:rPr>
              <w:t>Other than temporary impairment of marketable securities</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(2,082,894)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 liability</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1,898,603</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(937,241)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67,345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803,095</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2,459,820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(110,807)</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(109,762)</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(123,606)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Other income (expense), net</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89,732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(21,943)</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(33,898)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Total other income (expense), net</w:t>
            </w:r>
          </w:p>
        </w:tc>
        <w:tc>
          <w:tcPr>
            <w:tcW w:w="2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2,351,783</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(2,348,745)</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3,568,367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(27,026,411)</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(29,086,777)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(25,022,802)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5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Shares used to compute basic and diluted loss per share</w:t>
            </w:r>
          </w:p>
        </w:tc>
        <w:tc>
          <w:tcPr>
            <w:tcW w:w="2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106,045,961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82,716,455</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79,772,351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900" w:type="dxa"/>
            <w:vAlign w:val="bottom"/>
            <w:gridSpan w:val="2"/>
          </w:tcPr>
          <w:p>
            <w:pPr>
              <w:jc w:val="center"/>
              <w:ind w:left="114"/>
              <w:spacing w:after="0"/>
              <w:rPr>
                <w:sz w:val="20"/>
                <w:szCs w:val="20"/>
                <w:color w:val="auto"/>
              </w:rPr>
            </w:pPr>
            <w:r>
              <w:rPr>
                <w:rFonts w:ascii="Arial" w:cs="Arial" w:eastAsia="Arial" w:hAnsi="Arial"/>
                <w:sz w:val="13"/>
                <w:szCs w:val="13"/>
                <w:color w:val="auto"/>
                <w:w w:val="90"/>
              </w:rPr>
              <w:t>See Notes to Consolidated Financial Statements.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40" w:type="dxa"/>
            <w:vAlign w:val="bottom"/>
          </w:tcPr>
          <w:p>
            <w:pPr>
              <w:jc w:val="right"/>
              <w:ind w:right="874"/>
              <w:spacing w:after="0"/>
              <w:rPr>
                <w:sz w:val="20"/>
                <w:szCs w:val="20"/>
                <w:color w:val="auto"/>
              </w:rPr>
            </w:pPr>
            <w:r>
              <w:rPr>
                <w:rFonts w:ascii="Arial" w:cs="Arial" w:eastAsia="Arial" w:hAnsi="Arial"/>
                <w:sz w:val="13"/>
                <w:szCs w:val="13"/>
                <w:color w:val="auto"/>
              </w:rPr>
              <w:t>59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65"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700" w:type="dxa"/>
            <w:vAlign w:val="bottom"/>
            <w:gridSpan w:val="6"/>
            <w:vMerge w:val="restart"/>
          </w:tcPr>
          <w:p>
            <w:pPr>
              <w:ind w:left="440"/>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9"/>
                <w:szCs w:val="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17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440"/>
              <w:spacing w:after="0" w:line="102"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8"/>
                <w:szCs w:val="8"/>
                <w:color w:val="auto"/>
              </w:rPr>
            </w:pPr>
          </w:p>
        </w:tc>
        <w:tc>
          <w:tcPr>
            <w:tcW w:w="9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88"/>
        </w:trPr>
        <w:tc>
          <w:tcPr>
            <w:tcW w:w="4320" w:type="dxa"/>
            <w:vAlign w:val="bottom"/>
          </w:tcPr>
          <w:p>
            <w:pPr>
              <w:spacing w:after="0"/>
              <w:rPr>
                <w:sz w:val="7"/>
                <w:szCs w:val="7"/>
                <w:color w:val="auto"/>
              </w:rPr>
            </w:pPr>
          </w:p>
        </w:tc>
        <w:tc>
          <w:tcPr>
            <w:tcW w:w="900" w:type="dxa"/>
            <w:vAlign w:val="bottom"/>
            <w:tcBorders>
              <w:top w:val="single" w:sz="8" w:color="auto"/>
            </w:tcBorders>
            <w:gridSpan w:val="3"/>
          </w:tcPr>
          <w:p>
            <w:pPr>
              <w:ind w:left="220"/>
              <w:spacing w:after="0" w:line="88" w:lineRule="exact"/>
              <w:rPr>
                <w:sz w:val="20"/>
                <w:szCs w:val="20"/>
                <w:color w:val="auto"/>
              </w:rPr>
            </w:pPr>
            <w:r>
              <w:rPr>
                <w:rFonts w:ascii="Arial" w:cs="Arial" w:eastAsia="Arial" w:hAnsi="Arial"/>
                <w:sz w:val="9"/>
                <w:szCs w:val="9"/>
                <w:b w:val="1"/>
                <w:bCs w:val="1"/>
                <w:color w:val="auto"/>
              </w:rPr>
              <w:t>Shares</w:t>
            </w: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94"/>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440"/>
              <w:spacing w:after="0" w:line="88" w:lineRule="exact"/>
              <w:rPr>
                <w:sz w:val="20"/>
                <w:szCs w:val="20"/>
                <w:color w:val="auto"/>
              </w:rPr>
            </w:pPr>
            <w:r>
              <w:rPr>
                <w:rFonts w:ascii="Arial" w:cs="Arial" w:eastAsia="Arial" w:hAnsi="Arial"/>
                <w:sz w:val="9"/>
                <w:szCs w:val="9"/>
                <w:b w:val="1"/>
                <w:bCs w:val="1"/>
                <w:color w:val="auto"/>
              </w:rPr>
              <w:t>Capital</w:t>
            </w:r>
          </w:p>
        </w:tc>
        <w:tc>
          <w:tcPr>
            <w:tcW w:w="100" w:type="dxa"/>
            <w:vAlign w:val="bottom"/>
          </w:tcPr>
          <w:p>
            <w:pPr>
              <w:spacing w:after="0"/>
              <w:rPr>
                <w:sz w:val="7"/>
                <w:szCs w:val="7"/>
                <w:color w:val="auto"/>
              </w:rPr>
            </w:pPr>
          </w:p>
        </w:tc>
        <w:tc>
          <w:tcPr>
            <w:tcW w:w="900" w:type="dxa"/>
            <w:vAlign w:val="bottom"/>
            <w:gridSpan w:val="2"/>
          </w:tcPr>
          <w:p>
            <w:pPr>
              <w:jc w:val="right"/>
              <w:ind w:right="460"/>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98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7"/>
                <w:szCs w:val="7"/>
                <w:color w:val="auto"/>
              </w:rPr>
            </w:pPr>
          </w:p>
        </w:tc>
        <w:tc>
          <w:tcPr>
            <w:tcW w:w="80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Balances, December 31, 2006</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78,046,304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780,462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255,299,508</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(204,891,945)</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3,187,978</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54,376,003</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loss</w:t>
            </w:r>
          </w:p>
        </w:tc>
        <w:tc>
          <w:tcPr>
            <w:tcW w:w="9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(25,022,802)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(25,022,802)</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Change in unrealized loss on securities available-for-sale</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(3,471,852)</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(3,471,852)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(28,494,654)</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Issuance of common stock, net of issuance cost of $297,465</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1,807,000</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18,070</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4,816,983</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4,835,053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for licensing agreements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3,865</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9,961</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10,000</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73,074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731</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172,429</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173,160</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Compensation expense from grant of options and stock (fair value)</w:t>
            </w:r>
          </w:p>
        </w:tc>
        <w:tc>
          <w:tcPr>
            <w:tcW w:w="9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3,008,315</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3,008,315</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Exercise of employee stock options</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175,186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1,752</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208,521</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210,273</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575,658</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5,756</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1,087,994</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1,093,750</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b w:val="1"/>
                <w:bCs w:val="1"/>
                <w:color w:val="auto"/>
              </w:rPr>
              <w:t>Balances, December 31, 2007</w:t>
            </w: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80,681,087</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806,810</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264,603,711</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(229,914,747)</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(283,874)</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35,211,900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Net loss</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(29,086,777)</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(29,086,777)</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 in unrealized loss on securities available-for-sale</w:t>
            </w:r>
          </w:p>
        </w:tc>
        <w:tc>
          <w:tcPr>
            <w:tcW w:w="9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276,126</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276,126</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(28,810,651)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and warrants, net of issuance cost of $1,432,539</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13,998,704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139,987</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11,184,188</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11,324,175</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Common stock issued for licensing agreements</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6,924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69</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9,931</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10,000</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144,188</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1,442</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189,724</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191,166</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Compensation expense from grant of options, restricted stock units and stock (fair value)</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3,754,871</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3,754,871</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employee and director stock options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114,700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1,147</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126,377</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127,524</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b w:val="1"/>
                <w:bCs w:val="1"/>
                <w:color w:val="auto"/>
              </w:rPr>
              <w:t>Balances, December 31, 2008</w:t>
            </w: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94,945,603</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949,455</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279,868,802</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(259,001,524)</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(7,748)</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21,808,985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Net loss</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(27,026,411)</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(27,026,411)</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 on foreign currency translation</w:t>
            </w:r>
          </w:p>
        </w:tc>
        <w:tc>
          <w:tcPr>
            <w:tcW w:w="9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272,184</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272,184</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Change in unrealized loss on securities available-for-sale</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130,287</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130,287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7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(26,623,940)</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Issuance of common stock and warrants, net of issuance cost of $1,351,487</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19,817,400</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198,174</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26,269,140</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26,467,314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for acquisition of SCS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2,650,000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26,500</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4,399,000</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4,425,500</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Common stock issued for licensing agreements</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5,900</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9,941</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10,000</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98,475</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985</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155,947</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156,932</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Compensation expense from grant of options, restricted stock units and stock (fair value)</w:t>
            </w:r>
          </w:p>
        </w:tc>
        <w:tc>
          <w:tcPr>
            <w:tcW w:w="9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4,046,339</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4,046,339</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employee and director stock options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315,277</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3,152</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249,832</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252,984</w:t>
            </w:r>
          </w:p>
        </w:tc>
        <w:tc>
          <w:tcPr>
            <w:tcW w:w="0" w:type="dxa"/>
            <w:vAlign w:val="bottom"/>
          </w:tcPr>
          <w:p>
            <w:pPr>
              <w:spacing w:after="0"/>
              <w:rPr>
                <w:sz w:val="1"/>
                <w:szCs w:val="1"/>
                <w:color w:val="auto"/>
              </w:rPr>
            </w:pPr>
          </w:p>
        </w:tc>
      </w:tr>
      <w:tr>
        <w:trPr>
          <w:trHeight w:val="98"/>
        </w:trPr>
        <w:tc>
          <w:tcPr>
            <w:tcW w:w="4320" w:type="dxa"/>
            <w:vAlign w:val="bottom"/>
          </w:tcPr>
          <w:p>
            <w:pPr>
              <w:spacing w:after="0" w:line="98" w:lineRule="exact"/>
              <w:rPr>
                <w:sz w:val="20"/>
                <w:szCs w:val="20"/>
                <w:color w:val="auto"/>
              </w:rPr>
            </w:pPr>
            <w:r>
              <w:rPr>
                <w:rFonts w:ascii="Arial" w:cs="Arial" w:eastAsia="Arial" w:hAnsi="Arial"/>
                <w:sz w:val="9"/>
                <w:szCs w:val="9"/>
                <w:color w:val="auto"/>
              </w:rPr>
              <w:t>Exercise and net settlement of restricted stock units</w:t>
            </w:r>
          </w:p>
        </w:tc>
        <w:tc>
          <w:tcPr>
            <w:tcW w:w="7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342,458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3,425</w:t>
            </w:r>
          </w:p>
        </w:tc>
        <w:tc>
          <w:tcPr>
            <w:tcW w:w="120" w:type="dxa"/>
            <w:vAlign w:val="bottom"/>
          </w:tcPr>
          <w:p>
            <w:pPr>
              <w:spacing w:after="0"/>
              <w:rPr>
                <w:sz w:val="8"/>
                <w:szCs w:val="8"/>
                <w:color w:val="auto"/>
              </w:rPr>
            </w:pPr>
          </w:p>
        </w:tc>
        <w:tc>
          <w:tcPr>
            <w:tcW w:w="8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(383,973)</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(380,548)</w:t>
            </w: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7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174,474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1,745</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329,756</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331,501</w:t>
            </w:r>
          </w:p>
        </w:tc>
        <w:tc>
          <w:tcPr>
            <w:tcW w:w="0" w:type="dxa"/>
            <w:vAlign w:val="bottom"/>
          </w:tcPr>
          <w:p>
            <w:pPr>
              <w:spacing w:after="0"/>
              <w:rPr>
                <w:sz w:val="1"/>
                <w:szCs w:val="1"/>
                <w:color w:val="auto"/>
              </w:rPr>
            </w:pPr>
          </w:p>
        </w:tc>
      </w:tr>
      <w:tr>
        <w:trPr>
          <w:trHeight w:val="107"/>
        </w:trPr>
        <w:tc>
          <w:tcPr>
            <w:tcW w:w="4320" w:type="dxa"/>
            <w:vAlign w:val="bottom"/>
          </w:tcPr>
          <w:p>
            <w:pPr>
              <w:spacing w:after="0" w:line="98" w:lineRule="exact"/>
              <w:rPr>
                <w:sz w:val="20"/>
                <w:szCs w:val="20"/>
                <w:color w:val="auto"/>
              </w:rPr>
            </w:pPr>
            <w:r>
              <w:rPr>
                <w:rFonts w:ascii="Arial" w:cs="Arial" w:eastAsia="Arial" w:hAnsi="Arial"/>
                <w:sz w:val="9"/>
                <w:szCs w:val="9"/>
                <w:b w:val="1"/>
                <w:bCs w:val="1"/>
                <w:color w:val="auto"/>
              </w:rPr>
              <w:t>Balances, December 31, 2009</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118,349,587</w:t>
            </w: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1,183,495</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314,944,784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(286,027,935)</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394,723</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30,495,067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8"/>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operating activities:</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(27,026,411)</w:t>
            </w:r>
          </w:p>
        </w:tc>
        <w:tc>
          <w:tcPr>
            <w:tcW w:w="4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(29,086,777)</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(25,022,802)</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1,694,490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1,186,428</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1,174,510</w:t>
            </w:r>
          </w:p>
        </w:tc>
      </w:tr>
      <w:tr>
        <w:trPr>
          <w:trHeight w:val="10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4,203,270</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3,946,037</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3,181,475</w:t>
            </w:r>
          </w:p>
        </w:tc>
      </w:tr>
      <w:tr>
        <w:trPr>
          <w:trHeight w:val="108"/>
        </w:trPr>
        <w:tc>
          <w:tcPr>
            <w:tcW w:w="6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Gain on disposal of fixed assets</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(1,500)</w:t>
            </w:r>
          </w:p>
        </w:tc>
      </w:tr>
      <w:tr>
        <w:trPr>
          <w:trHeight w:val="10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Non-cash income from license and settlement agreement, net</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(550,467)</w:t>
            </w:r>
          </w:p>
        </w:tc>
      </w:tr>
      <w:tr>
        <w:trPr>
          <w:trHeight w:val="108"/>
        </w:trPr>
        <w:tc>
          <w:tcPr>
            <w:tcW w:w="6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Gain on sale of marketable securities</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(406,910)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(715,584)</w:t>
            </w:r>
          </w:p>
        </w:tc>
      </w:tr>
      <w:tr>
        <w:trPr>
          <w:trHeight w:val="10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than temporary impairment of marketable securities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2,082,894</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9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Change in fair value of warrant liability</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(1,898,603)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937,241</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90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Other receivables</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275,726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100,427</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218,219</w:t>
            </w:r>
          </w:p>
        </w:tc>
      </w:tr>
      <w:tr>
        <w:trPr>
          <w:trHeight w:val="108"/>
        </w:trPr>
        <w:tc>
          <w:tcPr>
            <w:tcW w:w="690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Prepaid assets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129,747</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387,240</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86,985</w:t>
            </w:r>
          </w:p>
        </w:tc>
      </w:tr>
      <w:tr>
        <w:trPr>
          <w:trHeight w:val="108"/>
        </w:trPr>
        <w:tc>
          <w:tcPr>
            <w:tcW w:w="690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Other assets</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(436,424)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(358,449)</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19,532</w:t>
            </w:r>
          </w:p>
        </w:tc>
      </w:tr>
      <w:tr>
        <w:trPr>
          <w:trHeight w:val="108"/>
        </w:trPr>
        <w:tc>
          <w:tcPr>
            <w:tcW w:w="690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Accounts payable and accrued expenses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477,170</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(936,479)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1,601,180</w:t>
            </w:r>
          </w:p>
        </w:tc>
      </w:tr>
      <w:tr>
        <w:trPr>
          <w:trHeight w:val="108"/>
        </w:trPr>
        <w:tc>
          <w:tcPr>
            <w:tcW w:w="690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Accrued wind-down expenses</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(1,027,242)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(630,174)</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(606,766)</w:t>
            </w:r>
          </w:p>
        </w:tc>
      </w:tr>
      <w:tr>
        <w:trPr>
          <w:trHeight w:val="108"/>
        </w:trPr>
        <w:tc>
          <w:tcPr>
            <w:tcW w:w="690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Deferred revenue</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(361,329)</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(16,826)</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10,257</w:t>
            </w:r>
          </w:p>
        </w:tc>
      </w:tr>
      <w:tr>
        <w:trPr>
          <w:trHeight w:val="108"/>
        </w:trPr>
        <w:tc>
          <w:tcPr>
            <w:tcW w:w="690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Deferred rent</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(306,153)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(290,390)</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(232,198)</w:t>
            </w:r>
          </w:p>
        </w:tc>
      </w:tr>
      <w:tr>
        <w:trPr>
          <w:trHeight w:val="108"/>
        </w:trPr>
        <w:tc>
          <w:tcPr>
            <w:tcW w:w="690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Deposits and other long-term liabilities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(61,593)</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(19,587)</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(24,682,669)</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(22,740,421)</w:t>
            </w:r>
          </w:p>
        </w:tc>
        <w:tc>
          <w:tcPr>
            <w:tcW w:w="28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(20,856,746)</w:t>
            </w:r>
          </w:p>
        </w:tc>
        <w:tc>
          <w:tcPr>
            <w:tcW w:w="100" w:type="dxa"/>
            <w:vAlign w:val="bottom"/>
          </w:tcPr>
          <w:p>
            <w:pPr>
              <w:spacing w:after="0"/>
              <w:rPr>
                <w:sz w:val="9"/>
                <w:szCs w:val="9"/>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Purchases of marketable debt securities</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(4,976,959)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(4,822,684)</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(37,029,744)</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Sales or maturities of marketable debt securities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8,994,806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28,681,708</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9,168,183</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Proceeds from sales of marketable equity securities</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510,213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3,074,654</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Repayment received under note receivable</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1,000,000</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Advance made under note receivable</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(79,829)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(298,032)</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(1,000,000)</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Purchases of property, plant and equipment</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(701,240)</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(312,988)</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(1,319,374)</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Purchase of intangibles and other assets</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(15,000)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(24,375)</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(49,375)</w:t>
            </w: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3,731,991</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24,223,629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(27,155,656)</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common stock, net</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29,602,953</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18,826,865</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4,835,053</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Proceeds from the exercise of stock options</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252,984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127,524</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210,273</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Payments related to net share issuance of stock based awards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(380,548)</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Proceeds from the exercise of warrants</w:t>
            </w:r>
          </w:p>
        </w:tc>
        <w:tc>
          <w:tcPr>
            <w:tcW w:w="18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331,501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1,093,750</w:t>
            </w: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Proceeds (repayments) of capital lease obligations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128,557</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(17,531)</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42,799</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Repayments of bonds payable</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(149,167)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(136,249)</w:t>
            </w:r>
          </w:p>
        </w:tc>
        <w:tc>
          <w:tcPr>
            <w:tcW w:w="180" w:type="dxa"/>
            <w:vAlign w:val="bottom"/>
          </w:tcPr>
          <w:p>
            <w:pPr>
              <w:spacing w:after="0"/>
              <w:rPr>
                <w:sz w:val="9"/>
                <w:szCs w:val="9"/>
                <w:color w:val="auto"/>
              </w:rPr>
            </w:pP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(205,833)</w:t>
            </w: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financing activities</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29,786,280</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18,800,609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5,976,042</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Increase (decrease) in cash and cash equivalents</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8,835,602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20,283,817</w:t>
            </w: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(42,036,360)</w:t>
            </w:r>
          </w:p>
        </w:tc>
        <w:tc>
          <w:tcPr>
            <w:tcW w:w="100" w:type="dxa"/>
            <w:vAlign w:val="bottom"/>
          </w:tcPr>
          <w:p>
            <w:pPr>
              <w:spacing w:after="0"/>
              <w:rPr>
                <w:sz w:val="9"/>
                <w:szCs w:val="9"/>
                <w:color w:val="auto"/>
              </w:rPr>
            </w:pPr>
          </w:p>
        </w:tc>
      </w:tr>
      <w:tr>
        <w:trPr>
          <w:trHeight w:val="108"/>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beginning of year</w:t>
            </w: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30,042,986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9,759,169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51,795,529</w:t>
            </w:r>
          </w:p>
        </w:tc>
      </w:tr>
      <w:tr>
        <w:trPr>
          <w:trHeight w:val="108"/>
        </w:trPr>
        <w:tc>
          <w:tcPr>
            <w:tcW w:w="6900" w:type="dxa"/>
            <w:vAlign w:val="bottom"/>
            <w:gridSpan w:val="2"/>
          </w:tcPr>
          <w:p>
            <w:pPr>
              <w:spacing w:after="0" w:line="108" w:lineRule="exact"/>
              <w:rPr>
                <w:sz w:val="20"/>
                <w:szCs w:val="20"/>
                <w:color w:val="auto"/>
              </w:rPr>
            </w:pPr>
            <w:r>
              <w:rPr>
                <w:rFonts w:ascii="Arial" w:cs="Arial" w:eastAsia="Arial" w:hAnsi="Arial"/>
                <w:sz w:val="10"/>
                <w:szCs w:val="10"/>
                <w:color w:val="auto"/>
              </w:rPr>
              <w:t>Effects of foreign currency rate changes on cash</w:t>
            </w: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(260,611)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9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the year</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38,617,977</w:t>
            </w:r>
          </w:p>
        </w:tc>
        <w:tc>
          <w:tcPr>
            <w:tcW w:w="4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30,042,986</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9,759,169</w:t>
            </w:r>
          </w:p>
        </w:tc>
      </w:tr>
      <w:tr>
        <w:trPr>
          <w:trHeight w:val="118"/>
        </w:trPr>
        <w:tc>
          <w:tcPr>
            <w:tcW w:w="6900" w:type="dxa"/>
            <w:vAlign w:val="bottom"/>
            <w:gridSpan w:val="2"/>
          </w:tcPr>
          <w:p>
            <w:pPr>
              <w:spacing w:after="0"/>
              <w:rPr>
                <w:sz w:val="20"/>
                <w:szCs w:val="20"/>
                <w:color w:val="auto"/>
              </w:rPr>
            </w:pPr>
            <w:r>
              <w:rPr>
                <w:rFonts w:ascii="Arial" w:cs="Arial" w:eastAsia="Arial" w:hAnsi="Arial"/>
                <w:sz w:val="10"/>
                <w:szCs w:val="10"/>
                <w:color w:val="auto"/>
              </w:rPr>
              <w:t>Supplemental disclosure of cash flow information:</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paid</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110,807</w:t>
            </w:r>
          </w:p>
        </w:tc>
        <w:tc>
          <w:tcPr>
            <w:tcW w:w="4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109,762</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123,606</w:t>
            </w:r>
          </w:p>
        </w:tc>
      </w:tr>
      <w:tr>
        <w:trPr>
          <w:trHeight w:val="118"/>
        </w:trPr>
        <w:tc>
          <w:tcPr>
            <w:tcW w:w="6900" w:type="dxa"/>
            <w:vAlign w:val="bottom"/>
            <w:gridSpan w:val="2"/>
          </w:tcPr>
          <w:p>
            <w:pPr>
              <w:spacing w:after="0"/>
              <w:rPr>
                <w:sz w:val="20"/>
                <w:szCs w:val="20"/>
                <w:color w:val="auto"/>
              </w:rPr>
            </w:pPr>
            <w:r>
              <w:rPr>
                <w:rFonts w:ascii="Arial" w:cs="Arial" w:eastAsia="Arial" w:hAnsi="Arial"/>
                <w:sz w:val="10"/>
                <w:szCs w:val="10"/>
                <w:color w:val="auto"/>
              </w:rPr>
              <w:t>Supplemental schedule of non-cash investing and financing activities:</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9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issued as part of our acquisition of the operations of SCS Plc(1)</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4,425,500</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32"/>
        </w:trPr>
        <w:tc>
          <w:tcPr>
            <w:tcW w:w="6900" w:type="dxa"/>
            <w:vAlign w:val="bottom"/>
            <w:gridSpan w:val="2"/>
          </w:tcPr>
          <w:p>
            <w:pPr>
              <w:ind w:left="120"/>
              <w:spacing w:after="0"/>
              <w:rPr>
                <w:sz w:val="20"/>
                <w:szCs w:val="20"/>
                <w:color w:val="auto"/>
              </w:rPr>
            </w:pPr>
            <w:r>
              <w:rPr>
                <w:rFonts w:ascii="Arial" w:cs="Arial" w:eastAsia="Arial" w:hAnsi="Arial"/>
                <w:sz w:val="10"/>
                <w:szCs w:val="10"/>
                <w:color w:val="auto"/>
              </w:rPr>
              <w:t>Forgiveness of principal and accrued interest on notes receivable(1)</w:t>
            </w: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709,076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r>
      <w:tr>
        <w:trPr>
          <w:trHeight w:val="123"/>
        </w:trPr>
        <w:tc>
          <w:tcPr>
            <w:tcW w:w="6900" w:type="dxa"/>
            <w:vAlign w:val="bottom"/>
            <w:gridSpan w:val="2"/>
            <w:shd w:val="clear" w:color="auto" w:fill="CCEEFF"/>
          </w:tcPr>
          <w:p>
            <w:pPr>
              <w:ind w:left="120"/>
              <w:spacing w:after="0" w:line="113" w:lineRule="exact"/>
              <w:rPr>
                <w:sz w:val="20"/>
                <w:szCs w:val="20"/>
                <w:color w:val="auto"/>
              </w:rPr>
            </w:pPr>
            <w:r>
              <w:rPr>
                <w:rFonts w:ascii="Arial" w:cs="Arial" w:eastAsia="Arial" w:hAnsi="Arial"/>
                <w:sz w:val="10"/>
                <w:szCs w:val="10"/>
                <w:color w:val="auto"/>
              </w:rPr>
              <w:t>Stock issued for licensing agreements(2)</w:t>
            </w:r>
          </w:p>
        </w:tc>
        <w:tc>
          <w:tcPr>
            <w:tcW w:w="180" w:type="dxa"/>
            <w:vAlign w:val="bottom"/>
            <w:shd w:val="clear" w:color="auto" w:fill="CCEEFF"/>
          </w:tcPr>
          <w:p>
            <w:pPr>
              <w:jc w:val="right"/>
              <w:ind w:right="68"/>
              <w:spacing w:after="0" w:line="113"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0"/>
                <w:szCs w:val="10"/>
                <w:color w:val="auto"/>
              </w:rPr>
              <w:t>10,000</w:t>
            </w:r>
          </w:p>
        </w:tc>
        <w:tc>
          <w:tcPr>
            <w:tcW w:w="40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10,000</w:t>
            </w:r>
          </w:p>
        </w:tc>
        <w:tc>
          <w:tcPr>
            <w:tcW w:w="180" w:type="dxa"/>
            <w:vAlign w:val="bottom"/>
            <w:shd w:val="clear" w:color="auto" w:fill="CCEEFF"/>
          </w:tcPr>
          <w:p>
            <w:pPr>
              <w:jc w:val="right"/>
              <w:ind w:right="68"/>
              <w:spacing w:after="0" w:line="11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10,000</w:t>
            </w: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40" w:hanging="259"/>
        <w:spacing w:after="0" w:line="276"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On April 1, 2009, we acquired the operations of Stem Cell Sciences Plc (SCS). As consideration, we issued to SCS 2,650,000 shares of common stock with a closing price of $1.67 per share and waived certain commitments of SCS to repay approximately $709,000 in principal and accrued interest owed to us.</w:t>
      </w:r>
    </w:p>
    <w:p>
      <w:pPr>
        <w:spacing w:after="0" w:line="10" w:lineRule="exact"/>
        <w:rPr>
          <w:rFonts w:ascii="Arial" w:cs="Arial" w:eastAsia="Arial" w:hAnsi="Arial"/>
          <w:sz w:val="13"/>
          <w:szCs w:val="13"/>
          <w:color w:val="auto"/>
        </w:rPr>
      </w:pPr>
    </w:p>
    <w:p>
      <w:pPr>
        <w:ind w:left="1000" w:right="160" w:hanging="259"/>
        <w:spacing w:after="0" w:line="345" w:lineRule="auto"/>
        <w:tabs>
          <w:tab w:leader="none" w:pos="10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Under terms of a license agreement with the California Institute of Technology (Cal Tech), annual fees of $5,000 were due on each of two patents to which StemCells holds a license from Cal Tech, payable in cash or stock at our choice. We elected to pay the fees in common stock and issued shares of 5,900 in 2009, 6,924 in 2008 and 3,865 in 2007 to Cal Tech.</w:t>
      </w: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December 31, 2009</w:t>
      </w:r>
    </w:p>
    <w:p>
      <w:pPr>
        <w:spacing w:after="0" w:line="16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Nature of Business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StemCells, Inc., a Delaware corporation, is a biopharmaceutical company that operates in one segment, the research, development, and commercialization of stem cell therapeutics and related technologies.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accompanying consolidated financial statements have been prepared on the basis that we will continue as a going concern. Since inception, we have incurred annual losses and negative cash flows from operations and have an accumulated deficit of approximately $286 million at December 31, 2009. We have not derived significant revenue from the sale of products, and do not expect to receive significant revenue from product sales for at least several years. We may never be able to realize sufficient revenue to achieve or sustain profitability in the future.</w:t>
      </w:r>
    </w:p>
    <w:p>
      <w:pPr>
        <w:spacing w:after="0" w:line="70"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We expect to incur additional operating losses over the foreseeable future. We have limited liquidity and capital resources and must obtain significant additional capital and other resources in order to sustain our product development efforts, to provide funding for the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The consolidated financial statements include the accounts of StemCells, Inc., and our wholly-owned subsidiaries, StemCells California, Inc., StemCells Property Holding LLC, Stem Cell Sciences Holdings Ltd., Stem Cell Sciences (UK) Ltd., and Stem Cell Sciences (Australia) Pty Ltd. All significant intercompany accounts and transactions have been eliminated.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generally accepted accounting principles requires management to make judgments, assumptions and estimates that affect the amounts reported in our consolidated financial statements and accompanying notes. Actual results could differ materially from those estimates.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estimates include the following:</w:t>
      </w:r>
    </w:p>
    <w:p>
      <w:pPr>
        <w:spacing w:after="0" w:line="96"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accrued wind-down expenses (see Note 11, “Wind-Down and Exit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value of share-based awards recognized as compensation (see Note 10, “Stock-Based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valuation allowance against net deferred tax assets (see Note 17, “Income 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value of warrants recorded as a liability (see Note 13, “Warrant Liability”);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value of intangible assets acquired (see Note 5, “Acquisition of SCS Operations”).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 and Marketable Securities</w:t>
      </w:r>
    </w:p>
    <w:p>
      <w:pPr>
        <w:spacing w:after="0" w:line="96"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color w:val="auto"/>
        </w:rPr>
        <w:t>All money market and highly liquid investments with a maturity of 90 days or less at the date of purchase are classified as cash equivalents. Highly liquid investments with maturities of 365 days or less not previously classified as cash equivalents are classified as marketable securities, current. Investments with maturities greater than 365 days are classified as marketable securities, non-current. Our marketable debt and equity securities have been classified and accounted for as available-for-sale. Management determines the appropriate classification of its investments in marketable debt and equity securities at the time of purchase and reevaluates the available-for-sale designations as of each balance sheet date. These securities are carried at fair value (see Note 2, “Financial Instruments,” below), with the unrealized gains and losses reported as a component of stockholders’ equity. The cost of securities sold is based upon the specific identification method.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the estimated fair value of a security is below its carrying value, we evaluate whether we have the intent and ability to retain our investment for a period of time sufficient to allow</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any anticipated recovery to the cost of the investment, and whether evidence indicating that the cost of the investment is recoverable within a reasonable period of time outweighs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evidence to the contrary. Other-than-temporary declines in estimated fair value of all marketable securities are charged to “Other income (expense), net.” At December 31, 2008, after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considering various criteria, including the duration of the impairment and our intent to liquidate all or part of our investment within a reasonably short period of time, we determined that the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impairment of our investment in ordinary shares of ReNeuron (marketable equity securities) was other than temporary (see Note 2, “Financial Instruments”). For the year ended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2008, we recorded on our Consolidated Statements of Operations under “Other income (expense), net” a loss of $2,082,894, which is the difference between the investment’s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carrying value and its quoted market price at that date. No other than temporary impairment was recognized during the years ended December 31, 2009 and 2007.</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Receivables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receivables generally consist of interest income on our financial instruments, revenue from licensing agreements, and rent from our sub-lease tenants.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Estimated Fair Value of Financial Instruments</w:t>
      </w:r>
    </w:p>
    <w:p>
      <w:pPr>
        <w:spacing w:after="0" w:line="96" w:lineRule="exact"/>
        <w:rPr>
          <w:sz w:val="20"/>
          <w:szCs w:val="20"/>
          <w:color w:val="auto"/>
        </w:rPr>
      </w:pPr>
    </w:p>
    <w:p>
      <w:pPr>
        <w:ind w:left="680" w:right="920" w:firstLine="399"/>
        <w:spacing w:after="0" w:line="296" w:lineRule="auto"/>
        <w:rPr>
          <w:sz w:val="20"/>
          <w:szCs w:val="20"/>
          <w:color w:val="auto"/>
        </w:rPr>
      </w:pPr>
      <w:r>
        <w:rPr>
          <w:rFonts w:ascii="Arial" w:cs="Arial" w:eastAsia="Arial" w:hAnsi="Arial"/>
          <w:sz w:val="12"/>
          <w:szCs w:val="12"/>
          <w:color w:val="auto"/>
        </w:rPr>
        <w:t>The estimated fair value of cash and cash equivalents, other receivables, accounts payable and the current portion of the bonds payable approximates their carrying values due to the short maturities of these instruments. The estimated fair value of our marketable debt securities approximates its carrying value based on current rates available to us for similar debt securities. The long-term portion of the bonds payable approximates its carrying value as the interest rate for the bond series approximates our current borrowing rate.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Property, plant, and equipment, including those held under capital lease, are stated at cost. Depreciation is computed by use of the straight-line method over the estimated useful lives of the assets, or the lease term if shorter,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58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3 - 20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5820" w:type="dxa"/>
            <w:vAlign w:val="bottom"/>
          </w:tcPr>
          <w:p>
            <w:pPr>
              <w:ind w:left="4740"/>
              <w:spacing w:after="0"/>
              <w:rPr>
                <w:sz w:val="20"/>
                <w:szCs w:val="20"/>
                <w:color w:val="auto"/>
              </w:rPr>
            </w:pPr>
            <w:r>
              <w:rPr>
                <w:rFonts w:ascii="Arial" w:cs="Arial" w:eastAsia="Arial" w:hAnsi="Arial"/>
                <w:sz w:val="13"/>
                <w:szCs w:val="13"/>
                <w:color w:val="auto"/>
              </w:rPr>
              <w:t>3 - 10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5820" w:type="dxa"/>
            <w:vAlign w:val="bottom"/>
            <w:shd w:val="clear" w:color="auto" w:fill="CCEEFF"/>
          </w:tcPr>
          <w:p>
            <w:pPr>
              <w:ind w:left="4740"/>
              <w:spacing w:after="0"/>
              <w:rPr>
                <w:sz w:val="20"/>
                <w:szCs w:val="20"/>
                <w:color w:val="auto"/>
              </w:rPr>
            </w:pPr>
            <w:r>
              <w:rPr>
                <w:rFonts w:ascii="Arial" w:cs="Arial" w:eastAsia="Arial" w:hAnsi="Arial"/>
                <w:sz w:val="13"/>
                <w:szCs w:val="13"/>
                <w:color w:val="auto"/>
              </w:rPr>
              <w:t>3 - 10 years</w:t>
            </w:r>
          </w:p>
        </w:tc>
        <w:tc>
          <w:tcPr>
            <w:tcW w:w="800" w:type="dxa"/>
            <w:vAlign w:val="bottom"/>
          </w:tcPr>
          <w:p>
            <w:pPr>
              <w:spacing w:after="0"/>
              <w:rPr>
                <w:sz w:val="13"/>
                <w:szCs w:val="13"/>
                <w:color w:val="auto"/>
              </w:rPr>
            </w:pPr>
          </w:p>
        </w:tc>
      </w:tr>
      <w:tr>
        <w:trPr>
          <w:trHeight w:val="244"/>
        </w:trPr>
        <w:tc>
          <w:tcPr>
            <w:tcW w:w="680" w:type="dxa"/>
            <w:vAlign w:val="bottom"/>
          </w:tcPr>
          <w:p>
            <w:pPr>
              <w:spacing w:after="0"/>
              <w:rPr>
                <w:sz w:val="21"/>
                <w:szCs w:val="21"/>
                <w:color w:val="auto"/>
              </w:rPr>
            </w:pPr>
          </w:p>
        </w:tc>
        <w:tc>
          <w:tcPr>
            <w:tcW w:w="4160" w:type="dxa"/>
            <w:vAlign w:val="bottom"/>
          </w:tcPr>
          <w:p>
            <w:pPr>
              <w:ind w:left="400"/>
              <w:spacing w:after="0"/>
              <w:rPr>
                <w:sz w:val="20"/>
                <w:szCs w:val="20"/>
                <w:color w:val="auto"/>
              </w:rPr>
            </w:pPr>
            <w:r>
              <w:rPr>
                <w:rFonts w:ascii="Arial" w:cs="Arial" w:eastAsia="Arial" w:hAnsi="Arial"/>
                <w:sz w:val="13"/>
                <w:szCs w:val="13"/>
                <w:color w:val="auto"/>
              </w:rPr>
              <w:t>Repairs and maintenance costs are expensed as incurred.</w:t>
            </w:r>
          </w:p>
        </w:tc>
        <w:tc>
          <w:tcPr>
            <w:tcW w:w="58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52"/>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20" w:type="dxa"/>
            <w:vAlign w:val="bottom"/>
          </w:tcPr>
          <w:p>
            <w:pPr>
              <w:jc w:val="right"/>
              <w:ind w:right="4854"/>
              <w:spacing w:after="0"/>
              <w:rPr>
                <w:sz w:val="20"/>
                <w:szCs w:val="20"/>
                <w:color w:val="auto"/>
              </w:rPr>
            </w:pPr>
            <w:r>
              <w:rPr>
                <w:rFonts w:ascii="Arial" w:cs="Arial" w:eastAsia="Arial" w:hAnsi="Arial"/>
                <w:sz w:val="13"/>
                <w:szCs w:val="13"/>
                <w:color w:val="auto"/>
              </w:rPr>
              <w:t>63</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58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operating results of acquired companies or operations are included in our consolidated financial statements starting on the date of acquisition. Goodwill is recorded at the time of an acquisition and is calculated as the difference between the aggregate consideration paid for an acquisition and the fair value of the net tangible and intangible assets acquired. Accounting for acquisitions requires extensive use of accounting estimates and judgments to allocate the purchase price to the fair value of the net tangible and intangible assets acquired, including in-process research and development (IPR&amp;D).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 (Patent and License Costs)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Goodwill and intangible assets deemed to have indefinite lives are not amortized but are subject to annual impairment tests. If the assumptions and estimates used to allocate the purchase price are not correct, or if business conditions change, purchase price adjustments or future asset impairment charges could be required. We test goodwill for impairment on an annual basis or more frequently if we believe indicators of impairment exist. Impairment evaluations involve management estimates of asset useful lives and future cash flows. Significant management judgment is required in the forecasts of future operating results that are used in the evaluations, and it is possible, even likely, that the plans and estimates used may be incorrect. If our actual results, or the plans and estimates used in future impairment analysis are lower than the original estimates used to assess the recoverability of these assets, we could incur additional impairment charges in a future period. We completed our annual impairment testing during the fourth quarter of 2009, and determined that there was no impairment of goodwill. Intangible assets with finite useful lives are amortized generally on a straight-line basis over the periods benefited. Intangible assets with finite useful lives are reviewed for impairment whenever events or changes in circumstances indicate the carrying amount of an asset may not be recoverable. Prior to fiscal year 2001, we capitalized certain patent costs, which are being amortized over the estimated life of the patent and would be expensed at the time such patents are deemed to have no continuing value. Since 2001, all patent costs are expensed as incurred. License costs are capitalized and amortized over the estimated life of the license agreement</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Tangible Assets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Long-lived assets are reviewed for impairment whenever events or changes in circumstances indicate the carrying amount of an asset may not be recoverable. If property, plant, and equipment are considered to be impaired, the impairment to be recognized equals the amount by which the carrying value of the assets exceeds its estimated fair market value. No such impairment was recognized during the years ended December 31, 2009, 2008 and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 Liability</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account for our warrants in accordance with U.S. GAAP which defines how freestanding contracts that are indexed to and potentially settled in a company’s own stock should be measured and classified. Authoritative accounting guidance prescribes that warrants issued under contracts that could require net-cash settlement should be classified as liabilities and contracts that only provide for settlement in shares should be classified as equity. In order for a contract to be classified as equity specific conditions must be met; these conditions are intended to identify situations in which net cash settlement could be forced upon the issuer. As part of both our November 2008 and November 2009 financings, we issued warrants with five year terms to purchase 10,344,828 and 4,000,000 shares of our common stock at $2.30 and $1.50 per share, respectively. As the warrant agreements did not meet the specific conditions for it to be classified as equity, we are required to classify the fair value of the warrants issued as a liability, with subsequent changes in fair value to be recorded as income (loss) on change in fair value of warrant liability. The fair value of the warrants is determined using the Black-Scholes-Merton (Black-Scholes) option pricing model and is affected by changes in inputs to that model including our stock price, expected stock price volatility, the contractual term, and the risk-free interest rate. We will continue to classify the fair value of the warrants as a liability until the warrants are exercised, expire or are amended in a way that would no longer require these warrants to be classified as a liability.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recognize revenue resulting from licensing agreements, government grants, and product sales.</w:t>
      </w:r>
    </w:p>
    <w:p>
      <w:pPr>
        <w:spacing w:after="0" w:line="96"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i w:val="1"/>
          <w:iCs w:val="1"/>
          <w:color w:val="auto"/>
        </w:rPr>
        <w:t xml:space="preserve">Licensing agreements </w:t>
      </w:r>
      <w:r>
        <w:rPr>
          <w:rFonts w:ascii="Arial" w:cs="Arial" w:eastAsia="Arial" w:hAnsi="Arial"/>
          <w:sz w:val="12"/>
          <w:szCs w:val="12"/>
          <w:color w:val="auto"/>
        </w:rPr>
        <w:t>— We currently recognize revenue resulting from the licensing and use of our technology and intellectual property. Such licensing agreements may contain</w:t>
      </w:r>
      <w:r>
        <w:rPr>
          <w:rFonts w:ascii="Arial" w:cs="Arial" w:eastAsia="Arial" w:hAnsi="Arial"/>
          <w:sz w:val="12"/>
          <w:szCs w:val="12"/>
          <w:i w:val="1"/>
          <w:iCs w:val="1"/>
          <w:color w:val="auto"/>
        </w:rPr>
        <w:t xml:space="preserve"> </w:t>
      </w:r>
      <w:r>
        <w:rPr>
          <w:rFonts w:ascii="Arial" w:cs="Arial" w:eastAsia="Arial" w:hAnsi="Arial"/>
          <w:sz w:val="12"/>
          <w:szCs w:val="12"/>
          <w:color w:val="auto"/>
        </w:rPr>
        <w:t>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w:t>
      </w:r>
    </w:p>
    <w:p>
      <w:pPr>
        <w:spacing w:after="0" w:line="5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Government grants </w:t>
      </w:r>
      <w:r>
        <w:rPr>
          <w:rFonts w:ascii="Arial" w:cs="Arial" w:eastAsia="Arial" w:hAnsi="Arial"/>
          <w:sz w:val="13"/>
          <w:szCs w:val="13"/>
          <w:color w:val="auto"/>
        </w:rPr>
        <w:t>— We currently recognize revenue resulting from government grants when either incurring reimbursable expenses directly related to the particular research plan</w:t>
      </w:r>
      <w:r>
        <w:rPr>
          <w:rFonts w:ascii="Arial" w:cs="Arial" w:eastAsia="Arial" w:hAnsi="Arial"/>
          <w:sz w:val="13"/>
          <w:szCs w:val="13"/>
          <w:i w:val="1"/>
          <w:iCs w:val="1"/>
          <w:color w:val="auto"/>
        </w:rPr>
        <w:t xml:space="preserve"> </w:t>
      </w:r>
      <w:r>
        <w:rPr>
          <w:rFonts w:ascii="Arial" w:cs="Arial" w:eastAsia="Arial" w:hAnsi="Arial"/>
          <w:sz w:val="13"/>
          <w:szCs w:val="13"/>
          <w:color w:val="auto"/>
        </w:rPr>
        <w:t>or upon the completion of certain development milestones as defined within the terms of the relevant grant.</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Product sales </w:t>
      </w:r>
      <w:r>
        <w:rPr>
          <w:rFonts w:ascii="Arial" w:cs="Arial" w:eastAsia="Arial" w:hAnsi="Arial"/>
          <w:sz w:val="13"/>
          <w:szCs w:val="13"/>
          <w:color w:val="auto"/>
        </w:rPr>
        <w:t>— We currently recognize revenue from the sale of products when the products are shipped, title to the products are transferred to the customer, when no further</w:t>
      </w:r>
      <w:r>
        <w:rPr>
          <w:rFonts w:ascii="Arial" w:cs="Arial" w:eastAsia="Arial" w:hAnsi="Arial"/>
          <w:sz w:val="13"/>
          <w:szCs w:val="13"/>
          <w:i w:val="1"/>
          <w:iCs w:val="1"/>
          <w:color w:val="auto"/>
        </w:rPr>
        <w:t xml:space="preserve"> </w:t>
      </w:r>
      <w:r>
        <w:rPr>
          <w:rFonts w:ascii="Arial" w:cs="Arial" w:eastAsia="Arial" w:hAnsi="Arial"/>
          <w:sz w:val="13"/>
          <w:szCs w:val="13"/>
          <w:color w:val="auto"/>
        </w:rPr>
        <w:t>contingencies or material performance obligations are warranted, and thereby earning the right to receive reasonably assured payments for products sold and delivered. Cost of product sales includes labor, raw materials and shipping supplies.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research and development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lab equipment and supplies. Clinical trial expenses include payments to vendors such as clinical research organizations, contract manufacturers, clinical trial sites, laboratories for testing clinical samples and consultants. All research and development costs are expensed as incurred.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expense the estimated fair value of our stock-based compensation awards to employees and non-employees. The estimated fair value is calculated using the Black-Scholes model. For employees, the compensation cost we record for these awards are based on their grant-date fair value as calculated and amortized over their vesting period. To record the compensation cost for non-employees, the estimated fair value is re-measured at each reporting date and is amortized over the remaining service period. See Note 10, “Stock-Based Compensation” for further information.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When accounting for income taxes, we recognize deferred tax assets and liabilities for the expected future tax consequences of temporary differences between the carrying amounts and the tax bases of assets and liabilities. Income tax receivables and liabilities and deferred tax assets and liabilities are recognized based on the amounts that more likely than not will be sustained upon ultimate settlement with taxing authorities.</w:t>
      </w:r>
    </w:p>
    <w:p>
      <w:pPr>
        <w:spacing w:after="0" w:line="67"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uncertain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assess the realization of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59"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income/losses expected in future years;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derecognized in the period in which the more likely than not recognition threshold is no longer satisfied.</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Basic net loss per share is computed based on the weighted-average number of shares of our common stock outstanding during the period. Diluted net loss per share is computed based on the weighted-average number of shares of our common stock and other dilutive securities.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the basic and dilutive net loss per share computations for the last three fiscal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(27,026,411)</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(29,086,777)</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(25,022,802)</w:t>
            </w: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Weighted average shares outstanding used to compute basic and diluted net loss per share</w:t>
            </w:r>
          </w:p>
        </w:tc>
        <w:tc>
          <w:tcPr>
            <w:tcW w:w="30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106,045,961</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82,716,455</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79,772,351</w:t>
            </w: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(0.25)</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(0.35)</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r>
    </w:tbl>
    <w:p>
      <w:pPr>
        <w:spacing w:after="0" w:line="8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Outstanding options, warrants and restricted stock units were excluded from the computation of diluted net loss per share because the effect would have been anti-dilutive for all periods presented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9,260,812</w:t>
            </w:r>
          </w:p>
        </w:tc>
        <w:tc>
          <w:tcPr>
            <w:tcW w:w="400" w:type="dxa"/>
            <w:vAlign w:val="bottom"/>
            <w:tcBorders>
              <w:left w:val="single" w:sz="8" w:color="CCEEFF"/>
            </w:tcBorders>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8,340,530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9,028,810</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2,437,901</w:t>
            </w:r>
          </w:p>
        </w:tc>
        <w:tc>
          <w:tcPr>
            <w:tcW w:w="4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1,650,000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Outstanding warrants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14,344,828</w:t>
            </w:r>
          </w:p>
        </w:tc>
        <w:tc>
          <w:tcPr>
            <w:tcW w:w="400" w:type="dxa"/>
            <w:vAlign w:val="bottom"/>
            <w:tcBorders>
              <w:left w:val="single" w:sz="8" w:color="CCEEFF"/>
            </w:tcBorders>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11,599,828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1,355,000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26,043,541</w:t>
            </w: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21,590,358</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10,383,810</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Comprehensive income (loss) is comprised of net losses and other comprehensive income (or “OCI”). OCI includes certain changes in stockholders’ equity that are excluded from net losses. Specifically, we include in OCI changes in unrealized gains and losses on our marketable securities and unrealized gains and losses on foreign currency translations. Comprehensive loss for the years ended December 31, 2009, 2008 and 2007 has been reflected in the Consolidated Statements of Stockholders’ Equity.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our accumulated OCI, as of December 31 of each year shown,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gain (loss) on marketable securities</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56"/>
              <w:spacing w:after="0"/>
              <w:rPr>
                <w:sz w:val="20"/>
                <w:szCs w:val="20"/>
                <w:color w:val="auto"/>
              </w:rPr>
            </w:pPr>
            <w:r>
              <w:rPr>
                <w:rFonts w:ascii="Arial" w:cs="Arial" w:eastAsia="Arial" w:hAnsi="Arial"/>
                <w:sz w:val="13"/>
                <w:szCs w:val="13"/>
                <w:color w:val="auto"/>
              </w:rPr>
              <w:t>122,539</w:t>
            </w:r>
          </w:p>
        </w:tc>
        <w:tc>
          <w:tcPr>
            <w:tcW w:w="300" w:type="dxa"/>
            <w:vAlign w:val="bottom"/>
            <w:gridSpan w:val="2"/>
            <w:shd w:val="clear" w:color="auto" w:fill="CCEEFF"/>
          </w:tcPr>
          <w:p>
            <w:pPr>
              <w:jc w:val="center"/>
              <w:ind w:left="121"/>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(7,748)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(283,874)</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Unrealized gain on foreign currency translation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272,184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394,723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(7,748)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(283,874)</w:t>
            </w:r>
          </w:p>
        </w:tc>
      </w:tr>
      <w:tr>
        <w:trPr>
          <w:trHeight w:val="254"/>
        </w:trPr>
        <w:tc>
          <w:tcPr>
            <w:tcW w:w="6700" w:type="dxa"/>
            <w:vAlign w:val="bottom"/>
          </w:tcPr>
          <w:p>
            <w:pPr>
              <w:ind w:left="400"/>
              <w:spacing w:after="0"/>
              <w:rPr>
                <w:sz w:val="20"/>
                <w:szCs w:val="20"/>
                <w:color w:val="auto"/>
              </w:rPr>
            </w:pPr>
            <w:r>
              <w:rPr>
                <w:rFonts w:ascii="Arial" w:cs="Arial" w:eastAsia="Arial" w:hAnsi="Arial"/>
                <w:sz w:val="13"/>
                <w:szCs w:val="13"/>
                <w:color w:val="auto"/>
              </w:rPr>
              <w:t>The activity in OCI is as follows: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r>
      <w:tr>
        <w:trPr>
          <w:trHeight w:val="29"/>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Net change in unrealized gains and losses on marketable securities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2"/>
                <w:szCs w:val="12"/>
                <w:color w:val="auto"/>
              </w:rPr>
              <w:t>130,287</w:t>
            </w: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(1,806,768)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(2,756,268)</w:t>
            </w:r>
          </w:p>
        </w:tc>
      </w:tr>
      <w:tr>
        <w:trPr>
          <w:trHeight w:val="147"/>
        </w:trPr>
        <w:tc>
          <w:tcPr>
            <w:tcW w:w="6700" w:type="dxa"/>
            <w:vAlign w:val="bottom"/>
          </w:tcPr>
          <w:p>
            <w:pPr>
              <w:spacing w:after="0"/>
              <w:rPr>
                <w:sz w:val="20"/>
                <w:szCs w:val="20"/>
                <w:color w:val="auto"/>
              </w:rPr>
            </w:pPr>
            <w:r>
              <w:rPr>
                <w:rFonts w:ascii="Arial" w:cs="Arial" w:eastAsia="Arial" w:hAnsi="Arial"/>
                <w:sz w:val="12"/>
                <w:szCs w:val="12"/>
                <w:color w:val="auto"/>
              </w:rPr>
              <w:t>Recognition in net loss, other than temporary impairment of marketable securities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2"/>
                <w:szCs w:val="12"/>
                <w:color w:val="auto"/>
              </w:rPr>
              <w:t>2,082,894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adjustment for gains on marketable securities included in net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(715,584)</w:t>
            </w:r>
          </w:p>
        </w:tc>
      </w:tr>
      <w:tr>
        <w:trPr>
          <w:trHeight w:val="147"/>
        </w:trPr>
        <w:tc>
          <w:tcPr>
            <w:tcW w:w="6700" w:type="dxa"/>
            <w:vAlign w:val="bottom"/>
          </w:tcPr>
          <w:p>
            <w:pPr>
              <w:spacing w:after="0"/>
              <w:rPr>
                <w:sz w:val="20"/>
                <w:szCs w:val="20"/>
                <w:color w:val="auto"/>
              </w:rPr>
            </w:pPr>
            <w:r>
              <w:rPr>
                <w:rFonts w:ascii="Arial" w:cs="Arial" w:eastAsia="Arial" w:hAnsi="Arial"/>
                <w:sz w:val="12"/>
                <w:szCs w:val="12"/>
                <w:color w:val="auto"/>
              </w:rPr>
              <w:t>Net change in unrealized gains and losses on foreign currency translations</w:t>
            </w:r>
          </w:p>
        </w:tc>
        <w:tc>
          <w:tcPr>
            <w:tcW w:w="140" w:type="dxa"/>
            <w:vAlign w:val="bottom"/>
          </w:tcPr>
          <w:p>
            <w:pPr>
              <w:spacing w:after="0"/>
              <w:rPr>
                <w:sz w:val="12"/>
                <w:szCs w:val="12"/>
                <w:color w:val="auto"/>
              </w:rPr>
            </w:pPr>
          </w:p>
        </w:tc>
        <w:tc>
          <w:tcPr>
            <w:tcW w:w="880" w:type="dxa"/>
            <w:vAlign w:val="bottom"/>
            <w:gridSpan w:val="4"/>
          </w:tcPr>
          <w:p>
            <w:pPr>
              <w:jc w:val="right"/>
              <w:ind w:right="400"/>
              <w:spacing w:after="0"/>
              <w:rPr>
                <w:sz w:val="20"/>
                <w:szCs w:val="20"/>
                <w:color w:val="auto"/>
              </w:rPr>
            </w:pPr>
            <w:r>
              <w:rPr>
                <w:rFonts w:ascii="Arial" w:cs="Arial" w:eastAsia="Arial" w:hAnsi="Arial"/>
                <w:sz w:val="12"/>
                <w:szCs w:val="12"/>
                <w:color w:val="auto"/>
              </w:rPr>
              <w:t>272,184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6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 (loss)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2"/>
                <w:szCs w:val="12"/>
                <w:color w:val="auto"/>
              </w:rPr>
              <w:t>402,471</w:t>
            </w: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276,126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(3,471,852)</w:t>
            </w:r>
          </w:p>
        </w:tc>
      </w:tr>
      <w:tr>
        <w:trPr>
          <w:trHeight w:val="29"/>
        </w:trPr>
        <w:tc>
          <w:tcPr>
            <w:tcW w:w="6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January 2010, the Financial Accounting Standards Board (FASB), issued new standards to update and amend existing standards on “Fair Value Measurements and Disclosures.” These standards require new disclosures on the amount and reason for transfers in and out of Level 1 and Level 2 fair value measurements. The standards also require disclosure of activities in Level 3 fair value measurements that use significant unobservable inputs, including purchases, sales, issuances, and settlements. The standards also clarify existing disclosure requirements on levels of disaggregation, which requires fair value measurement disclosure for each class of assets and liabilities, and disclosures about valuation techniques and inputs used to measure fair value of recurring and non recurring fair value measurements that fall in ether Level 2 or Level 3. The new disclosures and clarifications of existing disclosures are effective for our interim and annual reporting periods beginning January 1, 2010, except for the disclosures about purchases, sales, issuances and settlements in the roll forward activity in Level 3 fair value measurements. Those disclosures are effective for our fiscal year beginning January 1, 2011. We do not expect the adoption of these new standards to have a material effect on our consolidated financial condition and results of operations.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marketable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our cash, cash equivalents and available-for-sale securities held in our investment portfolio:</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6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2"/>
              </w:rPr>
              <w:t>Gross</w:t>
            </w:r>
          </w:p>
        </w:tc>
        <w:tc>
          <w:tcPr>
            <w:tcW w:w="80" w:type="dxa"/>
            <w:vAlign w:val="bottom"/>
          </w:tcPr>
          <w:p>
            <w:pPr>
              <w:spacing w:after="0"/>
              <w:rPr>
                <w:sz w:val="8"/>
                <w:szCs w:val="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2"/>
              </w:rPr>
              <w:t>Gross</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440"/>
              <w:spacing w:after="0" w:line="98" w:lineRule="exact"/>
              <w:rPr>
                <w:sz w:val="20"/>
                <w:szCs w:val="20"/>
                <w:color w:val="auto"/>
              </w:rPr>
            </w:pPr>
            <w:r>
              <w:rPr>
                <w:rFonts w:ascii="Arial" w:cs="Arial" w:eastAsia="Arial" w:hAnsi="Arial"/>
                <w:sz w:val="9"/>
                <w:szCs w:val="9"/>
                <w:b w:val="1"/>
                <w:bCs w:val="1"/>
                <w:color w:val="auto"/>
                <w:w w:val="95"/>
              </w:rPr>
              <w:t>Amortized</w:t>
            </w:r>
          </w:p>
        </w:tc>
        <w:tc>
          <w:tcPr>
            <w:tcW w:w="80" w:type="dxa"/>
            <w:vAlign w:val="bottom"/>
          </w:tcPr>
          <w:p>
            <w:pPr>
              <w:spacing w:after="0"/>
              <w:rPr>
                <w:sz w:val="8"/>
                <w:szCs w:val="8"/>
                <w:color w:val="auto"/>
              </w:rPr>
            </w:pPr>
          </w:p>
        </w:tc>
        <w:tc>
          <w:tcPr>
            <w:tcW w:w="80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6"/>
              </w:rPr>
              <w:t>Unrealized</w:t>
            </w:r>
          </w:p>
        </w:tc>
        <w:tc>
          <w:tcPr>
            <w:tcW w:w="80" w:type="dxa"/>
            <w:vAlign w:val="bottom"/>
          </w:tcPr>
          <w:p>
            <w:pPr>
              <w:spacing w:after="0"/>
              <w:rPr>
                <w:sz w:val="8"/>
                <w:szCs w:val="8"/>
                <w:color w:val="auto"/>
              </w:rPr>
            </w:pPr>
          </w:p>
        </w:tc>
        <w:tc>
          <w:tcPr>
            <w:tcW w:w="8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6"/>
              </w:rPr>
              <w:t>Unrealized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9"/>
                <w:szCs w:val="9"/>
                <w:b w:val="1"/>
                <w:bCs w:val="1"/>
                <w:color w:val="auto"/>
                <w:w w:val="89"/>
              </w:rPr>
              <w:t>Cost</w:t>
            </w:r>
          </w:p>
        </w:tc>
        <w:tc>
          <w:tcPr>
            <w:tcW w:w="80" w:type="dxa"/>
            <w:vAlign w:val="bottom"/>
          </w:tcPr>
          <w:p>
            <w:pPr>
              <w:spacing w:after="0"/>
              <w:rPr>
                <w:sz w:val="9"/>
                <w:szCs w:val="9"/>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5"/>
              </w:rPr>
              <w:t>Gains</w:t>
            </w:r>
          </w:p>
        </w:tc>
        <w:tc>
          <w:tcPr>
            <w:tcW w:w="80" w:type="dxa"/>
            <w:vAlign w:val="bottom"/>
          </w:tcPr>
          <w:p>
            <w:pPr>
              <w:spacing w:after="0"/>
              <w:rPr>
                <w:sz w:val="9"/>
                <w:szCs w:val="9"/>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77"/>
              </w:rPr>
              <w:t>Losses</w:t>
            </w:r>
          </w:p>
        </w:tc>
        <w:tc>
          <w:tcPr>
            <w:tcW w:w="140" w:type="dxa"/>
            <w:vAlign w:val="bottom"/>
          </w:tcPr>
          <w:p>
            <w:pPr>
              <w:spacing w:after="0"/>
              <w:rPr>
                <w:sz w:val="9"/>
                <w:szCs w:val="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Fair Value</w:t>
            </w:r>
          </w:p>
        </w:tc>
      </w:tr>
      <w:tr>
        <w:trPr>
          <w:trHeight w:val="29"/>
        </w:trPr>
        <w:tc>
          <w:tcPr>
            <w:tcW w:w="6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Cash</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1,064,148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1,064,148</w:t>
            </w: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equivalents (money market accounts)</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37,553,829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37,553,829</w:t>
            </w: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Marketable equity securities, current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74,456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122,539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196,995</w:t>
            </w:r>
          </w:p>
        </w:tc>
      </w:tr>
      <w:tr>
        <w:trPr>
          <w:trHeight w:val="20"/>
        </w:trPr>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Total cash, cash equivalents, and marketable securities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38,692,433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122,539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38,814,972</w:t>
            </w:r>
          </w:p>
        </w:tc>
      </w:tr>
      <w:tr>
        <w:trPr>
          <w:trHeight w:val="155"/>
        </w:trPr>
        <w:tc>
          <w:tcPr>
            <w:tcW w:w="6000" w:type="dxa"/>
            <w:vAlign w:val="bottom"/>
          </w:tcPr>
          <w:p>
            <w:pPr>
              <w:spacing w:after="0"/>
              <w:rPr>
                <w:sz w:val="20"/>
                <w:szCs w:val="20"/>
                <w:color w:val="auto"/>
              </w:rPr>
            </w:pPr>
            <w:r>
              <w:rPr>
                <w:rFonts w:ascii="Arial" w:cs="Arial" w:eastAsia="Arial" w:hAnsi="Arial"/>
                <w:sz w:val="12"/>
                <w:szCs w:val="12"/>
                <w:b w:val="1"/>
                <w:bCs w:val="1"/>
                <w:color w:val="auto"/>
              </w:rPr>
              <w:t>December 31, 2008</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243,883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243,883</w:t>
            </w: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Cash equivalents (money market accounts)</w:t>
            </w:r>
          </w:p>
        </w:tc>
        <w:tc>
          <w:tcPr>
            <w:tcW w:w="160" w:type="dxa"/>
            <w:vAlign w:val="bottom"/>
          </w:tcPr>
          <w:p>
            <w:pPr>
              <w:spacing w:after="0"/>
              <w:rPr>
                <w:sz w:val="12"/>
                <w:szCs w:val="1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29,799,103</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29,799,103</w:t>
            </w: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Marketable debt securities, current (maturity within 1 year)</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4,002,537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(7,748)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3,994,789</w:t>
            </w:r>
          </w:p>
        </w:tc>
      </w:tr>
      <w:tr>
        <w:trPr>
          <w:trHeight w:val="147"/>
        </w:trPr>
        <w:tc>
          <w:tcPr>
            <w:tcW w:w="6000" w:type="dxa"/>
            <w:vAlign w:val="bottom"/>
          </w:tcPr>
          <w:p>
            <w:pPr>
              <w:spacing w:after="0"/>
              <w:rPr>
                <w:sz w:val="20"/>
                <w:szCs w:val="20"/>
                <w:color w:val="auto"/>
              </w:rPr>
            </w:pPr>
            <w:r>
              <w:rPr>
                <w:rFonts w:ascii="Arial" w:cs="Arial" w:eastAsia="Arial" w:hAnsi="Arial"/>
                <w:sz w:val="12"/>
                <w:szCs w:val="12"/>
                <w:color w:val="auto"/>
              </w:rPr>
              <w:t>Marketable equity securities, current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186,803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186,803</w:t>
            </w:r>
          </w:p>
        </w:tc>
      </w:tr>
      <w:tr>
        <w:trPr>
          <w:trHeight w:val="20"/>
        </w:trPr>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Total cash, cash equivalents, and marketable securities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34,232,326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(7,748)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34,224,578</w:t>
            </w:r>
          </w:p>
        </w:tc>
      </w:tr>
      <w:tr>
        <w:trPr>
          <w:trHeight w:val="29"/>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At December 31, 2009, our investment in marketable debt securities were in money market accounts composed primarily of U.S. Treasury debt securities, which are classified as cash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equivalents in the accompanying Consolidated Balance Sheet due to their short maturities. In December 2009, we sold short-term U.S. Treasury debt securities with a face value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$5,000,000 for a realized gain of approximately $9,000. From time to time, we carry cash balances in excess of federally insured limits. Our cash balance at December 31, 2009 includes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$734,000 held in foreign currency (primarily U.K. pounds) by our U.K. subsidiary.</w:t>
      </w:r>
    </w:p>
    <w:p>
      <w:pPr>
        <w:spacing w:after="0" w:line="89"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Our investment in marketable equity securities consists of ordinary shares of ReNeuron Group plc, a publicly listed UK corporation (ReNeuron). In July 2005, we entered into an agreement with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$3,077,000, and we recognized a realized gain of approximately $716,000 from this transaction. In February and March of 2009, we sold in aggregate, approximately 2,900,000 more shares and received net proceeds of approximately $510,000, and we recognized a realized gain of approximately $398,000 from this transaction. As of December 31, 2009, we held approximately 1,922,000 shares of ReNeuron as marketable equity securities with a carrying and fair market value of approximately $197,000.</w:t>
      </w:r>
    </w:p>
    <w:p>
      <w:pPr>
        <w:spacing w:after="0" w:line="6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period of time outweighs evidence to the contrary. Other-than-temporary declines in estimated fair value of all marketable securities are charged to “other income (expense), net.” At December 31, 2008, after considering various criteria, including the duration of the impairment and our intent to liquidate all or part of our investment within a reasonably short period of time, we determined that the impairment of our investment in ordinary shares of ReNeuron (marketable equity securities), was other than temporary. For the year ended December 31, 2008, we recorded on our Consolidated Statements of Operations under “Other Income (expense)” a loss of $2,082,894, which is the difference between the investment’s carrying value and its quoted market price at that date. No other than temporary impairment was recognized during the years ended December 31, 2009 and 2007.</w:t>
      </w:r>
    </w:p>
    <w:p>
      <w:pPr>
        <w:spacing w:after="0" w:line="5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Changes in fair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or an impairment is considered other than temporary.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hold any investments that were in an unrealized loss position as of December 31,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 Receivable</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December 2007, we committed to make a secured loan of up to $3.8 million to Progenitor Cell Therapy, LLC (PCT) in return for a period of exclusivity to allow for due diligence and negotiation of a possible acquisition transaction. Of this amount, $1.0 million was lent and outstanding at December 31, 2007 with the maturity date within twelve months from the effective date of the loan. In March 2008, we terminated discussions to acquire PCT. In April 2008, the loan was repaid in full in accordance with its terms.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2008 and March 2009, we made two secured loans to SCS in connection with our acquisition of its operations. The loans accrued interest at 8% per annum and were repayable six months after the initial funding. At March 31, 2009, the principal and accrued interest for these two loans together totaled approximately $709,000. On April 1, 2009, we closed the acquisition of the operations of SCS, and in connection with that transaction, we waived the obligation of SCS to repay the principal and accrued interest of these two loans.</w:t>
      </w:r>
    </w:p>
    <w:p>
      <w:pPr>
        <w:spacing w:after="0" w:line="1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1"/>
          <w:szCs w:val="11"/>
          <w:b w:val="1"/>
          <w:bCs w:val="1"/>
          <w:color w:val="auto"/>
        </w:rPr>
        <w:t>Fair Value Measurement</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Effective January 1, 2008, we disclose fair value measurement of our assets and liabilities, pursuant to a new accounting standard that defines fair value, establishes a framework for measuring fair value, and expands disclosures about fair value measurements. As defined,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We are required to apply a three-tier value hierarchy, which prioritizes the inputs used in the valuation methodologies in measuring fair value. The three levels of the fair value hierarchy are:</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Observable inputs that reflect quoted prices (unadjusted) for identical assets or liabilities in active markets.</w:t>
      </w:r>
    </w:p>
    <w:p>
      <w:pPr>
        <w:spacing w:after="0" w:line="96" w:lineRule="exact"/>
        <w:rPr>
          <w:sz w:val="20"/>
          <w:szCs w:val="20"/>
          <w:color w:val="auto"/>
        </w:rPr>
      </w:pPr>
    </w:p>
    <w:p>
      <w:pPr>
        <w:ind w:left="1080" w:right="42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Directly or indirectly observable inputs other than in Level 1, that include quoted prices for similar assets or liabilities in active markets or quoted prices for</w:t>
      </w:r>
      <w:r>
        <w:rPr>
          <w:rFonts w:ascii="Arial" w:cs="Arial" w:eastAsia="Arial" w:hAnsi="Arial"/>
          <w:sz w:val="13"/>
          <w:szCs w:val="13"/>
          <w:i w:val="1"/>
          <w:iCs w:val="1"/>
          <w:color w:val="auto"/>
        </w:rPr>
        <w:t xml:space="preserve"> </w:t>
      </w:r>
      <w:r>
        <w:rPr>
          <w:rFonts w:ascii="Arial" w:cs="Arial" w:eastAsia="Arial" w:hAnsi="Arial"/>
          <w:sz w:val="13"/>
          <w:szCs w:val="13"/>
          <w:color w:val="auto"/>
        </w:rPr>
        <w:t>identical or similar assets or liabilities in markets that are not active.</w:t>
      </w:r>
    </w:p>
    <w:p>
      <w:pPr>
        <w:spacing w:after="0" w:line="59" w:lineRule="exact"/>
        <w:rPr>
          <w:sz w:val="20"/>
          <w:szCs w:val="20"/>
          <w:color w:val="auto"/>
        </w:rPr>
      </w:pPr>
    </w:p>
    <w:p>
      <w:pPr>
        <w:ind w:left="1080" w:right="320" w:firstLine="383"/>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which are supported by little or no market activity that reflects the reporting entity’s own assumptions about the assumptions that market</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participants would use in pricing the asset or liability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fair value hierarchy also requires an entity to maximize the use of observable inputs and minimize the use of unobservable inputs when measuring fair value.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Assets measured at fair value as of December 31, 2009 and 2008 are classified below based on the three fair value hierarchy tiers described above. Our cash equivalents and marketable securities are classified within Level 1 or Level 2. This is because our cash equivalents and marketable securities are valued primarily using quoted market prices or alternative pricing sources and models utilizing market observable inputs. We currently do not have any Level 3 financial assets or liabilities.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financial assets and liabilities measured at fair value: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gridSpan w:val="3"/>
          </w:tcPr>
          <w:p>
            <w:pPr>
              <w:jc w:val="right"/>
              <w:spacing w:after="0"/>
              <w:rPr>
                <w:sz w:val="20"/>
                <w:szCs w:val="20"/>
                <w:color w:val="auto"/>
              </w:rPr>
            </w:pPr>
            <w:r>
              <w:rPr>
                <w:rFonts w:ascii="Arial" w:cs="Arial" w:eastAsia="Arial" w:hAnsi="Arial"/>
                <w:sz w:val="10"/>
                <w:szCs w:val="10"/>
                <w:b w:val="1"/>
                <w:bCs w:val="1"/>
                <w:color w:val="auto"/>
              </w:rPr>
              <w:t>Fair Value Measurement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at Reporting Date Using</w:t>
            </w: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gridSpan w:val="2"/>
          </w:tcPr>
          <w:p>
            <w:pPr>
              <w:jc w:val="center"/>
              <w:ind w:right="620"/>
              <w:spacing w:after="0" w:line="81" w:lineRule="exact"/>
              <w:rPr>
                <w:sz w:val="20"/>
                <w:szCs w:val="20"/>
                <w:color w:val="auto"/>
              </w:rPr>
            </w:pPr>
            <w:r>
              <w:rPr>
                <w:rFonts w:ascii="Arial" w:cs="Arial" w:eastAsia="Arial" w:hAnsi="Arial"/>
                <w:sz w:val="9"/>
                <w:szCs w:val="9"/>
                <w:b w:val="1"/>
                <w:bCs w:val="1"/>
                <w:color w:val="auto"/>
              </w:rPr>
              <w:t>Quoted Prices</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gridSpan w:val="3"/>
            <w:vMerge w:val="restart"/>
          </w:tcPr>
          <w:p>
            <w:pPr>
              <w:jc w:val="right"/>
              <w:ind w:right="700"/>
              <w:spacing w:after="0"/>
              <w:rPr>
                <w:sz w:val="20"/>
                <w:szCs w:val="20"/>
                <w:color w:val="auto"/>
              </w:rPr>
            </w:pPr>
            <w:r>
              <w:rPr>
                <w:rFonts w:ascii="Arial" w:cs="Arial" w:eastAsia="Arial" w:hAnsi="Arial"/>
                <w:sz w:val="10"/>
                <w:szCs w:val="10"/>
                <w:b w:val="1"/>
                <w:bCs w:val="1"/>
                <w:color w:val="auto"/>
                <w:w w:val="96"/>
              </w:rPr>
              <w:t>Significant Other</w:t>
            </w:r>
          </w:p>
        </w:tc>
        <w:tc>
          <w:tcPr>
            <w:tcW w:w="140" w:type="dxa"/>
            <w:vAlign w:val="bottom"/>
          </w:tcPr>
          <w:p>
            <w:pPr>
              <w:spacing w:after="0"/>
              <w:rPr>
                <w:sz w:val="7"/>
                <w:szCs w:val="7"/>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5"/>
              </w:rPr>
              <w:t>As of</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2"/>
          </w:tcPr>
          <w:p>
            <w:pPr>
              <w:jc w:val="center"/>
              <w:ind w:right="640"/>
              <w:spacing w:after="0" w:line="108" w:lineRule="exact"/>
              <w:rPr>
                <w:sz w:val="20"/>
                <w:szCs w:val="20"/>
                <w:color w:val="auto"/>
              </w:rPr>
            </w:pPr>
            <w:r>
              <w:rPr>
                <w:rFonts w:ascii="Arial" w:cs="Arial" w:eastAsia="Arial" w:hAnsi="Arial"/>
                <w:sz w:val="10"/>
                <w:szCs w:val="10"/>
                <w:b w:val="1"/>
                <w:bCs w:val="1"/>
                <w:color w:val="auto"/>
                <w:w w:val="97"/>
              </w:rPr>
              <w:t>in Active Markets for</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1"/>
              </w:rPr>
              <w:t>Identical Assets</w:t>
            </w:r>
          </w:p>
        </w:tc>
        <w:tc>
          <w:tcPr>
            <w:tcW w:w="240" w:type="dxa"/>
            <w:vAlign w:val="bottom"/>
          </w:tcPr>
          <w:p>
            <w:pPr>
              <w:spacing w:after="0"/>
              <w:rPr>
                <w:sz w:val="9"/>
                <w:szCs w:val="9"/>
                <w:color w:val="auto"/>
              </w:rPr>
            </w:pPr>
          </w:p>
        </w:tc>
        <w:tc>
          <w:tcPr>
            <w:tcW w:w="1540" w:type="dxa"/>
            <w:vAlign w:val="bottom"/>
            <w:gridSpan w:val="4"/>
          </w:tcPr>
          <w:p>
            <w:pPr>
              <w:ind w:left="40"/>
              <w:spacing w:after="0" w:line="108" w:lineRule="exact"/>
              <w:rPr>
                <w:sz w:val="20"/>
                <w:szCs w:val="20"/>
                <w:color w:val="auto"/>
              </w:rPr>
            </w:pPr>
            <w:r>
              <w:rPr>
                <w:rFonts w:ascii="Arial" w:cs="Arial" w:eastAsia="Arial" w:hAnsi="Arial"/>
                <w:sz w:val="10"/>
                <w:szCs w:val="10"/>
                <w:b w:val="1"/>
                <w:bCs w:val="1"/>
                <w:color w:val="auto"/>
              </w:rPr>
              <w:t>Observable Inputs</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(Level 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0"/>
                <w:szCs w:val="10"/>
                <w:color w:val="auto"/>
              </w:rPr>
            </w:pPr>
          </w:p>
        </w:tc>
        <w:tc>
          <w:tcPr>
            <w:tcW w:w="940" w:type="dxa"/>
            <w:vAlign w:val="bottom"/>
          </w:tcPr>
          <w:p>
            <w:pPr>
              <w:jc w:val="center"/>
              <w:ind w:right="7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4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316,974</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316,974</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U.S. Treasury obligations</w:t>
            </w:r>
          </w:p>
        </w:tc>
        <w:tc>
          <w:tcPr>
            <w:tcW w:w="220" w:type="dxa"/>
            <w:vAlign w:val="bottom"/>
          </w:tcPr>
          <w:p>
            <w:pPr>
              <w:spacing w:after="0"/>
              <w:rPr>
                <w:sz w:val="13"/>
                <w:szCs w:val="13"/>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37,236,855</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37,236,855</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Equity securities</w:t>
            </w:r>
          </w:p>
        </w:tc>
        <w:tc>
          <w:tcPr>
            <w:tcW w:w="220" w:type="dxa"/>
            <w:vAlign w:val="bottom"/>
          </w:tcPr>
          <w:p>
            <w:pPr>
              <w:spacing w:after="0"/>
              <w:rPr>
                <w:sz w:val="13"/>
                <w:szCs w:val="13"/>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196,995</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196,995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w w:val="99"/>
              </w:rPr>
              <w:t>Total assets</w:t>
            </w:r>
          </w:p>
        </w:tc>
        <w:tc>
          <w:tcPr>
            <w:tcW w:w="4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37,750,824</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37,750,824</w:t>
            </w:r>
          </w:p>
        </w:tc>
        <w:tc>
          <w:tcPr>
            <w:tcW w:w="0" w:type="dxa"/>
            <w:vAlign w:val="bottom"/>
          </w:tcPr>
          <w:p>
            <w:pPr>
              <w:spacing w:after="0"/>
              <w:rPr>
                <w:sz w:val="1"/>
                <w:szCs w:val="1"/>
                <w:color w:val="auto"/>
              </w:rPr>
            </w:pPr>
          </w:p>
        </w:tc>
      </w:tr>
      <w:tr>
        <w:trPr>
          <w:trHeight w:val="166"/>
        </w:trPr>
        <w:tc>
          <w:tcPr>
            <w:tcW w:w="720" w:type="dxa"/>
            <w:vAlign w:val="bottom"/>
          </w:tcPr>
          <w:p>
            <w:pPr>
              <w:spacing w:after="0"/>
              <w:rPr>
                <w:sz w:val="20"/>
                <w:szCs w:val="20"/>
                <w:color w:val="auto"/>
              </w:rPr>
            </w:pPr>
            <w:r>
              <w:rPr>
                <w:rFonts w:ascii="Arial" w:cs="Arial" w:eastAsia="Arial" w:hAnsi="Arial"/>
                <w:sz w:val="13"/>
                <w:szCs w:val="13"/>
                <w:color w:val="auto"/>
              </w:rPr>
              <w:t>Liabilities</w:t>
            </w:r>
          </w:p>
        </w:tc>
        <w:tc>
          <w:tcPr>
            <w:tcW w:w="4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Bond obligation</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860,000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860,000</w:t>
            </w:r>
          </w:p>
        </w:tc>
        <w:tc>
          <w:tcPr>
            <w:tcW w:w="0" w:type="dxa"/>
            <w:vAlign w:val="bottom"/>
          </w:tcPr>
          <w:p>
            <w:pPr>
              <w:spacing w:after="0"/>
              <w:rPr>
                <w:sz w:val="1"/>
                <w:szCs w:val="1"/>
                <w:color w:val="auto"/>
              </w:rPr>
            </w:pPr>
          </w:p>
        </w:tc>
      </w:tr>
      <w:tr>
        <w:trPr>
          <w:trHeight w:val="333"/>
        </w:trPr>
        <w:tc>
          <w:tcPr>
            <w:tcW w:w="720" w:type="dxa"/>
            <w:vAlign w:val="bottom"/>
          </w:tcPr>
          <w:p>
            <w:pPr>
              <w:spacing w:after="0"/>
              <w:rPr>
                <w:sz w:val="20"/>
                <w:szCs w:val="20"/>
                <w:color w:val="auto"/>
              </w:rPr>
            </w:pPr>
            <w:r>
              <w:rPr>
                <w:rFonts w:ascii="Arial" w:cs="Arial" w:eastAsia="Arial" w:hAnsi="Arial"/>
                <w:sz w:val="13"/>
                <w:szCs w:val="13"/>
                <w:b w:val="1"/>
                <w:bCs w:val="1"/>
                <w:color w:val="auto"/>
              </w:rPr>
              <w:t>Note 4.</w:t>
            </w:r>
          </w:p>
        </w:tc>
        <w:tc>
          <w:tcPr>
            <w:tcW w:w="4200" w:type="dxa"/>
            <w:vAlign w:val="bottom"/>
          </w:tcPr>
          <w:p>
            <w:pPr>
              <w:ind w:left="100"/>
              <w:spacing w:after="0"/>
              <w:rPr>
                <w:sz w:val="20"/>
                <w:szCs w:val="20"/>
                <w:color w:val="auto"/>
              </w:rPr>
            </w:pPr>
            <w:r>
              <w:rPr>
                <w:rFonts w:ascii="Arial" w:cs="Arial" w:eastAsia="Arial" w:hAnsi="Arial"/>
                <w:sz w:val="13"/>
                <w:szCs w:val="13"/>
                <w:b w:val="1"/>
                <w:bCs w:val="1"/>
                <w:color w:val="auto"/>
              </w:rPr>
              <w:t>Property, Plant and Equipment</w:t>
            </w: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920" w:type="dxa"/>
            <w:vAlign w:val="bottom"/>
            <w:gridSpan w:val="2"/>
          </w:tcPr>
          <w:p>
            <w:pPr>
              <w:ind w:left="400"/>
              <w:spacing w:after="0"/>
              <w:rPr>
                <w:sz w:val="20"/>
                <w:szCs w:val="20"/>
                <w:color w:val="auto"/>
              </w:rPr>
            </w:pPr>
            <w:r>
              <w:rPr>
                <w:rFonts w:ascii="Arial" w:cs="Arial" w:eastAsia="Arial" w:hAnsi="Arial"/>
                <w:sz w:val="13"/>
                <w:szCs w:val="13"/>
                <w:color w:val="auto"/>
                <w:w w:val="97"/>
              </w:rPr>
              <w:t>Property, plant and equipment balances at December 31 are summarized below:</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3,422,002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3,404,969</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7,322,195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6,308,603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369,068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11,122,005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10,082,640</w:t>
            </w:r>
          </w:p>
        </w:tc>
        <w:tc>
          <w:tcPr>
            <w:tcW w:w="0" w:type="dxa"/>
            <w:vAlign w:val="bottom"/>
          </w:tcPr>
          <w:p>
            <w:pPr>
              <w:spacing w:after="0"/>
              <w:rPr>
                <w:sz w:val="1"/>
                <w:szCs w:val="1"/>
                <w:color w:val="auto"/>
              </w:rPr>
            </w:pPr>
          </w:p>
        </w:tc>
      </w:tr>
      <w:tr>
        <w:trPr>
          <w:trHeight w:val="158"/>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(8,265,310)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(6,909,172)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2,856,695</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3,173,468</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approximately $1,364,000 in 2009, $1,045,000 in 2008, and $1,012,000 in 2007.</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1"/>
          <w:szCs w:val="11"/>
          <w:b w:val="1"/>
          <w:bCs w:val="1"/>
          <w:color w:val="auto"/>
        </w:rPr>
        <w:t>Acquisition of SCS Operations</w:t>
      </w:r>
    </w:p>
    <w:p>
      <w:pPr>
        <w:spacing w:after="0" w:line="10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On April 1, 2009, we acquired the operations of SCS for an aggregate purchase price of approximately $5,135,000. The acquired operations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These acquired operations will help us pursue applications of our cell technologies to develop cell-based research tools, which we believe represent nearer-term commercial opportunities.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As consideration for the acquired operations, we issued to SCS 2,650,000 shares of common stock and waived certain commitments of SCS to repay approximately $709,000 in principal and accrued interest owed to us. The closing price of our common stock on April 1, 2009 was $1.67 per share.</w:t>
      </w:r>
    </w:p>
    <w:p>
      <w:pPr>
        <w:spacing w:after="0" w:line="59"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This transaction has been accounted for as a business purchase. We have evaluated the acquired assets and liabilities and believe that the book value of the net tangible assets acquired approximated fair market value. The primary method used to calculate the fair value of the intangible assets was the “Excess Earnings Method”. These intangible assets will be amortized over their estimated lives. Goodwill and acquired technology recorded as part of the acquisition will be tested periodically for impairment.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 of the goodwill is deductible for tax purposes.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April 1, 2009, the purchase price has been allocated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3"/>
              </w:rPr>
              <w:t>Allocated</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Estimated Life of</w:t>
            </w:r>
          </w:p>
        </w:tc>
      </w:tr>
      <w:tr>
        <w:trPr>
          <w:trHeight w:val="108"/>
        </w:trPr>
        <w:tc>
          <w:tcPr>
            <w:tcW w:w="7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3"/>
              </w:rPr>
              <w:t>Purchase</w:t>
            </w: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Intangible Assets</w:t>
            </w:r>
          </w:p>
        </w:tc>
      </w:tr>
      <w:tr>
        <w:trPr>
          <w:trHeight w:val="125"/>
        </w:trPr>
        <w:tc>
          <w:tcPr>
            <w:tcW w:w="7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9"/>
              </w:rPr>
              <w:t>Price</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2"/>
              </w:rPr>
              <w:t>in Years</w:t>
            </w:r>
          </w:p>
        </w:tc>
      </w:tr>
      <w:tr>
        <w:trPr>
          <w:trHeight w:val="29"/>
        </w:trPr>
        <w:tc>
          <w:tcPr>
            <w:tcW w:w="7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tangible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36,000</w:t>
            </w:r>
          </w:p>
        </w:tc>
        <w:tc>
          <w:tcPr>
            <w:tcW w:w="1400" w:type="dxa"/>
            <w:vAlign w:val="bottom"/>
            <w:shd w:val="clear" w:color="auto" w:fill="CCEEFF"/>
          </w:tcPr>
          <w:p>
            <w:pPr>
              <w:spacing w:after="0"/>
              <w:rPr>
                <w:sz w:val="13"/>
                <w:szCs w:val="13"/>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Intangible assets: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Customer relationships and developed technology</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1,310,000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 to 9</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In process research and development</w:t>
            </w:r>
          </w:p>
        </w:tc>
        <w:tc>
          <w:tcPr>
            <w:tcW w:w="16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1,340,000</w:t>
            </w:r>
          </w:p>
        </w:tc>
        <w:tc>
          <w:tcPr>
            <w:tcW w:w="1400" w:type="dxa"/>
            <w:vAlign w:val="bottom"/>
          </w:tcPr>
          <w:p>
            <w:pPr>
              <w:jc w:val="center"/>
              <w:spacing w:after="0"/>
              <w:rPr>
                <w:sz w:val="20"/>
                <w:szCs w:val="20"/>
                <w:color w:val="auto"/>
              </w:rPr>
            </w:pPr>
            <w:r>
              <w:rPr>
                <w:rFonts w:ascii="Arial" w:cs="Arial" w:eastAsia="Arial" w:hAnsi="Arial"/>
                <w:sz w:val="13"/>
                <w:szCs w:val="13"/>
                <w:color w:val="auto"/>
                <w:w w:val="89"/>
              </w:rPr>
              <w:t>13 to 19</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 name</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310,000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15</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2,139,000</w:t>
            </w:r>
          </w:p>
        </w:tc>
        <w:tc>
          <w:tcPr>
            <w:tcW w:w="3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66"/>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5,135,000</w:t>
            </w: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bl>
    <w:p>
      <w:pPr>
        <w:spacing w:after="0" w:line="90"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In connection with our acquisition of the operations of SCS, acquisition costs of approximately $693,000, which primarily consists of legal and other professional fees, were expensed in 2009. These costs are reported in our accompanying Consolidated Statements of Operations as part of our selling, general &amp; administrative expense.</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w:t>
      </w:r>
      <w:r>
        <w:rPr>
          <w:sz w:val="20"/>
          <w:szCs w:val="20"/>
          <w:color w:val="auto"/>
        </w:rPr>
        <w:tab/>
      </w:r>
      <w:r>
        <w:rPr>
          <w:rFonts w:ascii="Arial" w:cs="Arial" w:eastAsia="Arial" w:hAnsi="Arial"/>
          <w:sz w:val="11"/>
          <w:szCs w:val="11"/>
          <w:b w:val="1"/>
          <w:bCs w:val="1"/>
          <w:color w:val="auto"/>
        </w:rPr>
        <w:t>Goodwill and Other Intangible Assets</w:t>
      </w:r>
    </w:p>
    <w:p>
      <w:pPr>
        <w:spacing w:after="0" w:line="100"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In December 2009, we recorded approximately $533,000 for an R&amp;D tax credit due to our wholly owned subsidiary Stem Cell Sciences (Australia) Pty Ltd. The R&amp;D tax credit was due for the years 2008 and 2009. Approximately $381,000 of the tax credit was attributable to credits due as of the acquisition date and, accordingly, the purchase price allocation for the SCS acquisition was adjusted and the gross carrying amount of goodwill recorded at the date of acquisition was reduced by that amount. The remaining $152,000 was attributable to the period subsequent to the acquisition and is included as part of other income (expense) in our accompanying Consolidated Statements of Operations.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020" w:type="dxa"/>
            <w:vAlign w:val="bottom"/>
          </w:tcPr>
          <w:p>
            <w:pPr>
              <w:ind w:left="400"/>
              <w:spacing w:after="0"/>
              <w:rPr>
                <w:sz w:val="20"/>
                <w:szCs w:val="20"/>
                <w:color w:val="auto"/>
              </w:rPr>
            </w:pPr>
            <w:r>
              <w:rPr>
                <w:rFonts w:ascii="Arial" w:cs="Arial" w:eastAsia="Arial" w:hAnsi="Arial"/>
                <w:sz w:val="13"/>
                <w:szCs w:val="13"/>
                <w:color w:val="auto"/>
              </w:rPr>
              <w:t>The following table represents changes in goodwill:</w:t>
            </w: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00"/>
        </w:trPr>
        <w:tc>
          <w:tcPr>
            <w:tcW w:w="6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2009</w:t>
            </w:r>
          </w:p>
        </w:tc>
        <w:tc>
          <w:tcPr>
            <w:tcW w:w="5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Additions (related to the acquisition of SCS operations)</w:t>
            </w: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2,138,655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(R&amp;D credit as described above)</w:t>
            </w:r>
          </w:p>
        </w:tc>
        <w:tc>
          <w:tcPr>
            <w:tcW w:w="4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(381,073)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Foreign currency translation</w:t>
            </w: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262,097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31, 2009</w:t>
            </w:r>
          </w:p>
        </w:tc>
        <w:tc>
          <w:tcPr>
            <w:tcW w:w="5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2,019,679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980" w:type="dxa"/>
            <w:vAlign w:val="bottom"/>
          </w:tcPr>
          <w:p>
            <w:pPr>
              <w:jc w:val="right"/>
              <w:ind w:right="3874"/>
              <w:spacing w:after="0"/>
              <w:rPr>
                <w:sz w:val="20"/>
                <w:szCs w:val="20"/>
                <w:color w:val="auto"/>
              </w:rPr>
            </w:pPr>
            <w:r>
              <w:rPr>
                <w:rFonts w:ascii="Arial" w:cs="Arial" w:eastAsia="Arial" w:hAnsi="Arial"/>
                <w:sz w:val="13"/>
                <w:szCs w:val="13"/>
                <w:color w:val="auto"/>
              </w:rPr>
              <w:t>71</w:t>
            </w: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our other intangible assets at December 31 are summarized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59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ntangible Asset Class</w:t>
            </w:r>
          </w:p>
        </w:tc>
        <w:tc>
          <w:tcPr>
            <w:tcW w:w="16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Gross Carrying</w:t>
            </w:r>
          </w:p>
        </w:tc>
        <w:tc>
          <w:tcPr>
            <w:tcW w:w="200" w:type="dxa"/>
            <w:vAlign w:val="bottom"/>
          </w:tcPr>
          <w:p>
            <w:pPr>
              <w:spacing w:after="0"/>
              <w:rPr>
                <w:sz w:val="10"/>
                <w:szCs w:val="10"/>
                <w:color w:val="auto"/>
              </w:rPr>
            </w:pPr>
          </w:p>
        </w:tc>
        <w:tc>
          <w:tcPr>
            <w:tcW w:w="1200" w:type="dxa"/>
            <w:vAlign w:val="bottom"/>
            <w:gridSpan w:val="5"/>
          </w:tcPr>
          <w:p>
            <w:pPr>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10"/>
                <w:szCs w:val="1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Net Carrying</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0"/>
                <w:szCs w:val="10"/>
                <w:color w:val="auto"/>
              </w:rPr>
            </w:pPr>
          </w:p>
        </w:tc>
        <w:tc>
          <w:tcPr>
            <w:tcW w:w="1200" w:type="dxa"/>
            <w:vAlign w:val="bottom"/>
            <w:gridSpan w:val="5"/>
          </w:tcPr>
          <w:p>
            <w:pPr>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0"/>
                <w:szCs w:val="10"/>
                <w:color w:val="auto"/>
              </w:rPr>
            </w:pPr>
          </w:p>
        </w:tc>
        <w:tc>
          <w:tcPr>
            <w:tcW w:w="98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In-process development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2,974,764</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(192,756)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2,782,008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 name</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347,991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(15,500)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(571,058)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408,554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1,800,999</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3"/>
              </w:rPr>
              <w:t>(1,676,456)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other intangible assets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6,103,366</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w w:val="93"/>
              </w:rPr>
              <w:t>(2,455,770)</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3,647,596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55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55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(515,255)</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464,357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1,785,998</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3"/>
              </w:rPr>
              <w:t>(1,604,817)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other intangible assets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2,765,610</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w w:val="93"/>
              </w:rPr>
              <w:t>(2,120,072)</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645,538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3"/>
                <w:szCs w:val="13"/>
                <w:color w:val="auto"/>
                <w:w w:val="93"/>
              </w:rPr>
              <w:t>Amortization expense was approximately $336,000 in 2009, $142,000 in 2008, and $163,000 in 2007.</w:t>
            </w: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3"/>
                <w:szCs w:val="13"/>
                <w:color w:val="auto"/>
                <w:w w:val="91"/>
              </w:rPr>
              <w:t>The expected future annual amortization expense for each of the next five years based on current balances of our intangible assets is as follows: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59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For the year ending December 31:</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2010</w:t>
            </w: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426,959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381,678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2012</w:t>
            </w: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380,505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378,172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2014</w:t>
            </w: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377,852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7.</w:t>
            </w:r>
          </w:p>
        </w:tc>
        <w:tc>
          <w:tcPr>
            <w:tcW w:w="5500" w:type="dxa"/>
            <w:vAlign w:val="bottom"/>
          </w:tcPr>
          <w:p>
            <w:pPr>
              <w:ind w:left="420"/>
              <w:spacing w:after="0"/>
              <w:rPr>
                <w:sz w:val="20"/>
                <w:szCs w:val="20"/>
                <w:color w:val="auto"/>
              </w:rPr>
            </w:pPr>
            <w:r>
              <w:rPr>
                <w:rFonts w:ascii="Arial" w:cs="Arial" w:eastAsia="Arial" w:hAnsi="Arial"/>
                <w:sz w:val="13"/>
                <w:szCs w:val="13"/>
                <w:b w:val="1"/>
                <w:bCs w:val="1"/>
                <w:color w:val="auto"/>
              </w:rPr>
              <w:t>Other 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assets at December 31 are summarized below:</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978,583</w:t>
            </w:r>
          </w:p>
        </w:tc>
        <w:tc>
          <w:tcPr>
            <w:tcW w:w="4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Security deposit (buildings lease)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768,523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750,000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 (letter of credit)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778,079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778,079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other non-current assets</w:t>
            </w: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2,525,185</w:t>
            </w:r>
          </w:p>
        </w:tc>
        <w:tc>
          <w:tcPr>
            <w:tcW w:w="300" w:type="dxa"/>
            <w:vAlign w:val="bottom"/>
          </w:tcPr>
          <w:p>
            <w:pPr>
              <w:spacing w:after="0"/>
              <w:rPr>
                <w:sz w:val="14"/>
                <w:szCs w:val="14"/>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2,079,278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8.</w:t>
            </w:r>
          </w:p>
        </w:tc>
        <w:tc>
          <w:tcPr>
            <w:tcW w:w="5500" w:type="dxa"/>
            <w:vAlign w:val="bottom"/>
          </w:tcPr>
          <w:p>
            <w:pPr>
              <w:ind w:left="420"/>
              <w:spacing w:after="0"/>
              <w:rPr>
                <w:sz w:val="20"/>
                <w:szCs w:val="20"/>
                <w:color w:val="auto"/>
              </w:rPr>
            </w:pPr>
            <w:r>
              <w:rPr>
                <w:rFonts w:ascii="Arial" w:cs="Arial" w:eastAsia="Arial" w:hAnsi="Arial"/>
                <w:sz w:val="13"/>
                <w:szCs w:val="13"/>
                <w:b w:val="1"/>
                <w:bCs w:val="1"/>
                <w:color w:val="auto"/>
              </w:rPr>
              <w:t>Accounts Payable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Accounts payable at December 31 are summarized below:</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External services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485,172</w:t>
            </w:r>
          </w:p>
        </w:tc>
        <w:tc>
          <w:tcPr>
            <w:tcW w:w="4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558,512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Supplies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192,349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161,683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213,061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357,928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accounts payable</w:t>
            </w: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890,582</w:t>
            </w:r>
          </w:p>
        </w:tc>
        <w:tc>
          <w:tcPr>
            <w:tcW w:w="300" w:type="dxa"/>
            <w:vAlign w:val="bottom"/>
          </w:tcPr>
          <w:p>
            <w:pPr>
              <w:spacing w:after="0"/>
              <w:rPr>
                <w:sz w:val="14"/>
                <w:szCs w:val="14"/>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1,078,123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tcPr>
          <w:p>
            <w:pPr>
              <w:ind w:left="4540"/>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9.</w:t>
            </w:r>
          </w:p>
        </w:tc>
        <w:tc>
          <w:tcPr>
            <w:tcW w:w="7300" w:type="dxa"/>
            <w:vAlign w:val="bottom"/>
            <w:gridSpan w:val="2"/>
          </w:tcPr>
          <w:p>
            <w:pPr>
              <w:ind w:left="42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40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Accrued expenses at December 31 are summarized below:</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r>
      <w:tr>
        <w:trPr>
          <w:trHeight w:val="29"/>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External services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512,621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466,360</w:t>
            </w:r>
          </w:p>
        </w:tc>
      </w:tr>
      <w:tr>
        <w:trPr>
          <w:trHeight w:val="157"/>
        </w:trPr>
        <w:tc>
          <w:tcPr>
            <w:tcW w:w="7700" w:type="dxa"/>
            <w:vAlign w:val="bottom"/>
            <w:gridSpan w:val="3"/>
          </w:tcPr>
          <w:p>
            <w:pPr>
              <w:spacing w:after="0"/>
              <w:rPr>
                <w:sz w:val="20"/>
                <w:szCs w:val="20"/>
                <w:color w:val="auto"/>
              </w:rPr>
            </w:pPr>
            <w:r>
              <w:rPr>
                <w:rFonts w:ascii="Arial" w:cs="Arial" w:eastAsia="Arial" w:hAnsi="Arial"/>
                <w:sz w:val="13"/>
                <w:szCs w:val="13"/>
                <w:color w:val="auto"/>
              </w:rPr>
              <w:t>Employee compensation</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2,071,717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1,526,115</w:t>
            </w:r>
          </w:p>
        </w:tc>
      </w:tr>
      <w:tr>
        <w:trPr>
          <w:trHeight w:val="157"/>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Grant funds to be disbursed(1)</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576,987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rPr>
              <w:t>Other</w:t>
            </w:r>
          </w:p>
        </w:tc>
        <w:tc>
          <w:tcPr>
            <w:tcW w:w="9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599,113</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268,770</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accrued expenses and other current liabilities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3,760,438</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2,261,245</w:t>
            </w:r>
          </w:p>
        </w:tc>
      </w:tr>
      <w:tr>
        <w:trPr>
          <w:trHeight w:val="108"/>
        </w:trPr>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160" w:hanging="259"/>
        <w:spacing w:after="0" w:line="276"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Relates to funds received from the European Commission by our subsidiary, Stem Cell Sciences (UK) Ltd., on behalf of various parties to an EU grant consortium agreement. As co-ordinator for the consortium, we receive and disburse funds to the various parties of the consortium. These funds were disbursed in January 2010.</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1"/>
          <w:szCs w:val="11"/>
          <w:b w:val="1"/>
          <w:bCs w:val="1"/>
          <w:color w:val="auto"/>
        </w:rPr>
        <w:t>Stock-Based Compensation</w:t>
      </w:r>
    </w:p>
    <w:p>
      <w:pPr>
        <w:spacing w:after="0" w:line="10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We currently grant stock-based compensation under three equity incentive plans. As of December 31, 2009, we had 19,025,067 shares authorized under these three plans. At our annual stockholders meeting held on June 12, 2007, our stockholders approved an amendment to our 2006 Equity Incentive Plan to provide for an annual increase in the number of shares of common stock available for issuance under the plan each January 1 (beginning January 1, 2008) equal to 4% of the outstanding common shares as of that date. The amendment further provided an aggregate limit of 30,000,000 shares issuable pursuant to incentive stock option awards under the plan. Under these three plans we may grant incentive stock options, nonqualified stock options, stock appreciation rights, restricted stock, restricted stock units, 401(k) Plan employer match in form of shares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73"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Generally, stock options and restricted stock units granted to employees have a maximum term of ten years, and vest over a four year period from the date of grant; 25% vest at the end of one year, and 75% vest monthly over the remaining three-year service period. We may grant options and restricted stock units with different vesting terms from time to time. Upon employee termination of service, any unexercised vested option will be forfeited three months following termination or the expiration of the option, whichever is earlier.</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stock-based compensation expense for the last three fiscal years was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2,208,440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1,992,508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1,575,121</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General and administrative expense</w:t>
            </w: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1,994,830</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1,953,529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1,606,354</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compensation expense and effect on net loss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4,203,270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3,946,037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3,181,475</w:t>
            </w:r>
          </w:p>
        </w:tc>
      </w:tr>
      <w:tr>
        <w:trPr>
          <w:trHeight w:val="29"/>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December 31, 2009, we have approximately $5,357,000 of total unrecognized compensation expense related to unvested awards granted under our various share-based plans that we expect to recognize over a weighted-average period of 2.4 years.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20" w:firstLine="399"/>
        <w:spacing w:after="0" w:line="264" w:lineRule="auto"/>
        <w:rPr>
          <w:sz w:val="20"/>
          <w:szCs w:val="20"/>
          <w:color w:val="auto"/>
        </w:rPr>
      </w:pPr>
      <w:r>
        <w:rPr>
          <w:rFonts w:ascii="Arial" w:cs="Arial" w:eastAsia="Arial" w:hAnsi="Arial"/>
          <w:sz w:val="13"/>
          <w:szCs w:val="13"/>
          <w:color w:val="auto"/>
        </w:rPr>
        <w:t>The fair value of options granted is estimated as of the date of grant using the Black-Scholes option pricing model and expensed on a pro-rata straight-line basis over the period in which the stock options vest. The Black-Scholes option pricing model requires certain assumptions as of the date of grant. The weighted-average assumptions used for the last three fiscal years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60" w:type="dxa"/>
            <w:vAlign w:val="bottom"/>
          </w:tcPr>
          <w:p>
            <w:pPr>
              <w:spacing w:after="0"/>
              <w:rPr>
                <w:sz w:val="10"/>
                <w:szCs w:val="10"/>
                <w:color w:val="auto"/>
              </w:rPr>
            </w:pPr>
          </w:p>
        </w:tc>
        <w:tc>
          <w:tcPr>
            <w:tcW w:w="440" w:type="dxa"/>
            <w:vAlign w:val="bottom"/>
          </w:tcPr>
          <w:p>
            <w:pPr>
              <w:jc w:val="right"/>
              <w:ind w:right="57"/>
              <w:spacing w:after="0"/>
              <w:rPr>
                <w:sz w:val="20"/>
                <w:szCs w:val="20"/>
                <w:color w:val="auto"/>
              </w:rPr>
            </w:pPr>
            <w:r>
              <w:rPr>
                <w:rFonts w:ascii="Arial" w:cs="Arial" w:eastAsia="Arial" w:hAnsi="Arial"/>
                <w:sz w:val="10"/>
                <w:szCs w:val="10"/>
                <w:b w:val="1"/>
                <w:bCs w:val="1"/>
                <w:color w:val="auto"/>
              </w:rPr>
              <w:t>2009</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2008</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2007</w:t>
            </w:r>
          </w:p>
        </w:tc>
      </w:tr>
      <w:tr>
        <w:trPr>
          <w:trHeight w:val="29"/>
        </w:trPr>
        <w:tc>
          <w:tcPr>
            <w:tcW w:w="80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(years)(1)</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w:t>
            </w:r>
          </w:p>
        </w:tc>
      </w:tr>
      <w:tr>
        <w:trPr>
          <w:trHeight w:val="157"/>
        </w:trPr>
        <w:tc>
          <w:tcPr>
            <w:tcW w:w="8060" w:type="dxa"/>
            <w:vAlign w:val="bottom"/>
          </w:tcPr>
          <w:p>
            <w:pPr>
              <w:spacing w:after="0"/>
              <w:rPr>
                <w:sz w:val="20"/>
                <w:szCs w:val="20"/>
                <w:color w:val="auto"/>
              </w:rPr>
            </w:pPr>
            <w:r>
              <w:rPr>
                <w:rFonts w:ascii="Arial" w:cs="Arial" w:eastAsia="Arial" w:hAnsi="Arial"/>
                <w:sz w:val="13"/>
                <w:szCs w:val="13"/>
                <w:color w:val="auto"/>
              </w:rPr>
              <w:t>Risk-free interest rate(2)</w:t>
            </w: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95.2%</w:t>
            </w:r>
          </w:p>
        </w:tc>
      </w:tr>
      <w:tr>
        <w:trPr>
          <w:trHeight w:val="165"/>
        </w:trPr>
        <w:tc>
          <w:tcPr>
            <w:tcW w:w="8060" w:type="dxa"/>
            <w:vAlign w:val="bottom"/>
          </w:tcPr>
          <w:p>
            <w:pPr>
              <w:spacing w:after="0"/>
              <w:rPr>
                <w:sz w:val="20"/>
                <w:szCs w:val="20"/>
                <w:color w:val="auto"/>
              </w:rPr>
            </w:pPr>
            <w:r>
              <w:rPr>
                <w:rFonts w:ascii="Arial" w:cs="Arial" w:eastAsia="Arial" w:hAnsi="Arial"/>
                <w:sz w:val="13"/>
                <w:szCs w:val="13"/>
                <w:color w:val="auto"/>
              </w:rPr>
              <w:t>Expected dividend yield(4)</w:t>
            </w:r>
          </w:p>
        </w:tc>
        <w:tc>
          <w:tcPr>
            <w:tcW w:w="440" w:type="dxa"/>
            <w:vAlign w:val="bottom"/>
          </w:tcPr>
          <w:p>
            <w:pPr>
              <w:jc w:val="right"/>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33" w:lineRule="exact"/>
        <w:rPr>
          <w:sz w:val="20"/>
          <w:szCs w:val="20"/>
          <w:color w:val="auto"/>
        </w:rPr>
      </w:pPr>
    </w:p>
    <w:p>
      <w:pPr>
        <w:ind w:left="1000" w:right="1020" w:hanging="259"/>
        <w:spacing w:after="0" w:line="296" w:lineRule="auto"/>
        <w:tabs>
          <w:tab w:leader="none" w:pos="10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expected term represents the period during which our stock-based awards are expected to be outstanding. In 2009 and 2008 we estimated this amount based on historical experience of similar awards, giving consideration to the contractual terms of the awards, vesting requirements, and expectation of future employee behavior, including post-vesting terminations. The expected term in 2007 is equal to the average of the contractual life of the stock option and its vesting period as of the date of grant.</w:t>
      </w:r>
    </w:p>
    <w:p>
      <w:pPr>
        <w:ind w:left="1000" w:hanging="259"/>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risk-free interest rate is based on U.S. Treasury debt securities with maturities close to the expected term of the option as of the date of grant.</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Expected volatility is based on historical volatility over the most recent historical period equal to the length of the expected term of the option as of the date of grant.</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have neither declared nor paid dividends on any share of common stock and we do not expect to do so in the foreseeable future.</w:t>
      </w:r>
    </w:p>
    <w:p>
      <w:pPr>
        <w:spacing w:after="0" w:line="96"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At the end of each reporting period, we estimate forfeiture rates based on our historical experience within separate groups of employees and adjust the stock-based compensation expense accordingly.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 activity and related information for the last three fiscal years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rPr>
              <w:t>Outstanding Options</w:t>
            </w: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34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Weighted-</w:t>
            </w:r>
          </w:p>
        </w:tc>
        <w:tc>
          <w:tcPr>
            <w:tcW w:w="1160" w:type="dxa"/>
            <w:vAlign w:val="bottom"/>
          </w:tcPr>
          <w:p>
            <w:pPr>
              <w:jc w:val="center"/>
              <w:ind w:left="169"/>
              <w:spacing w:after="0" w:line="81" w:lineRule="exact"/>
              <w:rPr>
                <w:sz w:val="20"/>
                <w:szCs w:val="20"/>
                <w:color w:val="auto"/>
              </w:rPr>
            </w:pPr>
            <w:r>
              <w:rPr>
                <w:rFonts w:ascii="Arial" w:cs="Arial" w:eastAsia="Arial" w:hAnsi="Arial"/>
                <w:sz w:val="9"/>
                <w:szCs w:val="9"/>
                <w:b w:val="1"/>
                <w:bCs w:val="1"/>
                <w:color w:val="auto"/>
              </w:rPr>
              <w:t>Weighted-Average</w:t>
            </w: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41"/>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6"/>
              </w:rPr>
              <w:t>Average</w:t>
            </w:r>
          </w:p>
        </w:tc>
        <w:tc>
          <w:tcPr>
            <w:tcW w:w="1160" w:type="dxa"/>
            <w:vAlign w:val="bottom"/>
          </w:tcPr>
          <w:p>
            <w:pPr>
              <w:jc w:val="center"/>
              <w:ind w:left="169"/>
              <w:spacing w:after="0" w:line="108" w:lineRule="exact"/>
              <w:rPr>
                <w:sz w:val="20"/>
                <w:szCs w:val="20"/>
                <w:color w:val="auto"/>
              </w:rPr>
            </w:pPr>
            <w:r>
              <w:rPr>
                <w:rFonts w:ascii="Arial" w:cs="Arial" w:eastAsia="Arial" w:hAnsi="Arial"/>
                <w:sz w:val="10"/>
                <w:szCs w:val="10"/>
                <w:b w:val="1"/>
                <w:bCs w:val="1"/>
                <w:color w:val="auto"/>
                <w:w w:val="97"/>
              </w:rPr>
              <w:t>Remaining</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Intrinsic</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of Shares</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Exercise Price</w:t>
            </w:r>
          </w:p>
        </w:tc>
        <w:tc>
          <w:tcPr>
            <w:tcW w:w="1160" w:type="dxa"/>
            <w:vAlign w:val="bottom"/>
          </w:tcPr>
          <w:p>
            <w:pPr>
              <w:jc w:val="center"/>
              <w:ind w:left="169"/>
              <w:spacing w:after="0"/>
              <w:rPr>
                <w:sz w:val="20"/>
                <w:szCs w:val="20"/>
                <w:color w:val="auto"/>
              </w:rPr>
            </w:pPr>
            <w:r>
              <w:rPr>
                <w:rFonts w:ascii="Arial" w:cs="Arial" w:eastAsia="Arial" w:hAnsi="Arial"/>
                <w:sz w:val="10"/>
                <w:szCs w:val="10"/>
                <w:b w:val="1"/>
                <w:bCs w:val="1"/>
                <w:color w:val="auto"/>
                <w:w w:val="98"/>
              </w:rPr>
              <w:t>Contractual Term</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Value(1)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8,501,503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2,484,100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(175,186)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(1,781,607)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4.91</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9,028,810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353,000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(114,700)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(926,580)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8,340,530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692,739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1,545,800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1.70</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(290,777)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0.76</w:t>
            </w: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(334,741)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1.93</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9,260,812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Exercisable at December 31, 2009</w:t>
            </w: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6,647,755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160" w:type="dxa"/>
            <w:vAlign w:val="bottom"/>
          </w:tcPr>
          <w:p>
            <w:pPr>
              <w:spacing w:after="0"/>
              <w:rPr>
                <w:sz w:val="14"/>
                <w:szCs w:val="14"/>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408,442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Vested and expected to vest(2)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8,869,821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w:t>
            </w:r>
          </w:p>
        </w:tc>
        <w:tc>
          <w:tcPr>
            <w:tcW w:w="1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431,362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20" w:type="dxa"/>
            <w:vAlign w:val="bottom"/>
            <w:tcBorders>
              <w:top w:val="single" w:sz="8" w:color="auto"/>
            </w:tcBorders>
          </w:tcPr>
          <w:p>
            <w:pPr>
              <w:jc w:val="right"/>
              <w:ind w:right="496"/>
              <w:spacing w:after="0"/>
              <w:rPr>
                <w:sz w:val="20"/>
                <w:szCs w:val="20"/>
                <w:color w:val="auto"/>
              </w:rPr>
            </w:pPr>
            <w:r>
              <w:rPr>
                <w:rFonts w:ascii="Arial" w:cs="Arial" w:eastAsia="Arial" w:hAnsi="Arial"/>
                <w:sz w:val="13"/>
                <w:szCs w:val="13"/>
                <w:color w:val="auto"/>
              </w:rPr>
              <w:t>74</w:t>
            </w: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right="20" w:hanging="259"/>
        <w:spacing w:after="0" w:line="276"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Aggregate intrinsic value represents the value of the closing price per share of our common stock on the last trading day of the fiscal period in excess of the exercise price multiplied by the number of options outstanding or exercisable.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Number of shares include options vested and those expected to vest net of estimated forfeitures.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estimated weighted average fair value per share of options granted was approximately $1.37 in 2009, $1.00 in 2008, and $1.85 in 2007, based on the assumptions in the Black-Scholes model discussed above. Total intrinsic value of options exercised at time of exercise was approximately $282,000 in 2009, $39,000 in 2008, and $397,000 in 2007.</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changes in unvested options: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8"/>
        </w:trPr>
        <w:tc>
          <w:tcPr>
            <w:tcW w:w="2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Unvested Options</w:t>
            </w:r>
          </w:p>
        </w:tc>
        <w:tc>
          <w:tcPr>
            <w:tcW w:w="1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Grant Date Fair</w:t>
            </w:r>
          </w:p>
        </w:tc>
        <w:tc>
          <w:tcPr>
            <w:tcW w:w="0" w:type="dxa"/>
            <w:vAlign w:val="bottom"/>
          </w:tcPr>
          <w:p>
            <w:pPr>
              <w:spacing w:after="0"/>
              <w:rPr>
                <w:sz w:val="1"/>
                <w:szCs w:val="1"/>
                <w:color w:val="auto"/>
              </w:rPr>
            </w:pPr>
          </w:p>
        </w:tc>
      </w:tr>
      <w:tr>
        <w:trPr>
          <w:trHeight w:val="125"/>
        </w:trPr>
        <w:tc>
          <w:tcPr>
            <w:tcW w:w="262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2008</w:t>
            </w:r>
          </w:p>
        </w:tc>
        <w:tc>
          <w:tcPr>
            <w:tcW w:w="1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40" w:type="dxa"/>
            <w:vAlign w:val="bottom"/>
            <w:gridSpan w:val="6"/>
            <w:shd w:val="clear" w:color="auto" w:fill="CCEEFF"/>
          </w:tcPr>
          <w:p>
            <w:pPr>
              <w:jc w:val="right"/>
              <w:ind w:right="140"/>
              <w:spacing w:after="0"/>
              <w:rPr>
                <w:sz w:val="20"/>
                <w:szCs w:val="20"/>
                <w:color w:val="auto"/>
              </w:rPr>
            </w:pPr>
            <w:r>
              <w:rPr>
                <w:rFonts w:ascii="Arial" w:cs="Arial" w:eastAsia="Arial" w:hAnsi="Arial"/>
                <w:sz w:val="13"/>
                <w:szCs w:val="13"/>
                <w:color w:val="auto"/>
              </w:rPr>
              <w:t>2,614,089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3"/>
                <w:szCs w:val="13"/>
                <w:color w:val="auto"/>
              </w:rPr>
              <w:t>1,545,800</w:t>
            </w: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40" w:type="dxa"/>
            <w:vAlign w:val="bottom"/>
            <w:gridSpan w:val="6"/>
            <w:shd w:val="clear" w:color="auto" w:fill="CCEEFF"/>
          </w:tcPr>
          <w:p>
            <w:pPr>
              <w:jc w:val="right"/>
              <w:ind w:right="100"/>
              <w:spacing w:after="0"/>
              <w:rPr>
                <w:sz w:val="20"/>
                <w:szCs w:val="20"/>
                <w:color w:val="auto"/>
              </w:rPr>
            </w:pPr>
            <w:r>
              <w:rPr>
                <w:rFonts w:ascii="Arial" w:cs="Arial" w:eastAsia="Arial" w:hAnsi="Arial"/>
                <w:sz w:val="13"/>
                <w:szCs w:val="13"/>
                <w:color w:val="auto"/>
              </w:rPr>
              <w:t>(1,309,731)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rPr>
                <w:sz w:val="20"/>
                <w:szCs w:val="20"/>
                <w:color w:val="auto"/>
              </w:rPr>
            </w:pPr>
            <w:r>
              <w:rPr>
                <w:rFonts w:ascii="Arial" w:cs="Arial" w:eastAsia="Arial" w:hAnsi="Arial"/>
                <w:sz w:val="13"/>
                <w:szCs w:val="13"/>
                <w:color w:val="auto"/>
              </w:rPr>
              <w:t>Cancelled</w:t>
            </w:r>
          </w:p>
        </w:tc>
        <w:tc>
          <w:tcPr>
            <w:tcW w:w="1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3"/>
                <w:szCs w:val="13"/>
                <w:color w:val="auto"/>
              </w:rPr>
              <w:t>(237,101)</w:t>
            </w: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2009</w:t>
            </w:r>
          </w:p>
        </w:tc>
        <w:tc>
          <w:tcPr>
            <w:tcW w:w="1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spacing w:after="0"/>
              <w:rPr>
                <w:sz w:val="14"/>
                <w:szCs w:val="14"/>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2,613,057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7320" w:type="dxa"/>
            <w:vAlign w:val="bottom"/>
            <w:gridSpan w:val="8"/>
          </w:tcPr>
          <w:p>
            <w:pPr>
              <w:ind w:left="320"/>
              <w:spacing w:after="0"/>
              <w:rPr>
                <w:sz w:val="20"/>
                <w:szCs w:val="20"/>
                <w:color w:val="auto"/>
              </w:rPr>
            </w:pPr>
            <w:r>
              <w:rPr>
                <w:rFonts w:ascii="Arial" w:cs="Arial" w:eastAsia="Arial" w:hAnsi="Arial"/>
                <w:sz w:val="13"/>
                <w:szCs w:val="13"/>
                <w:color w:val="auto"/>
                <w:w w:val="95"/>
              </w:rPr>
              <w:t>The estimated fair value of options vested were approximately $2,606,000 in 2009, $3,671,000 in 2008 and $3,173,000 in 2007.</w:t>
            </w:r>
          </w:p>
        </w:tc>
        <w:tc>
          <w:tcPr>
            <w:tcW w:w="800" w:type="dxa"/>
            <w:vAlign w:val="bottom"/>
            <w:tcBorders>
              <w:top w:val="single" w:sz="8" w:color="auto"/>
            </w:tcBorders>
            <w:gridSpan w:val="2"/>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8360" w:type="dxa"/>
            <w:vAlign w:val="bottom"/>
            <w:gridSpan w:val="12"/>
          </w:tcPr>
          <w:p>
            <w:pPr>
              <w:ind w:left="320"/>
              <w:spacing w:after="0"/>
              <w:rPr>
                <w:sz w:val="20"/>
                <w:szCs w:val="20"/>
                <w:color w:val="auto"/>
              </w:rPr>
            </w:pPr>
            <w:r>
              <w:rPr>
                <w:rFonts w:ascii="Arial" w:cs="Arial" w:eastAsia="Arial" w:hAnsi="Arial"/>
                <w:sz w:val="13"/>
                <w:szCs w:val="13"/>
                <w:color w:val="auto"/>
                <w:w w:val="93"/>
              </w:rPr>
              <w:t>The following table presents weighted average exercise price and term information about significant option groups outstanding at December 31, 2009: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0"/>
                <w:szCs w:val="10"/>
                <w:b w:val="1"/>
                <w:bCs w:val="1"/>
                <w:color w:val="auto"/>
              </w:rPr>
              <w:t>Options Outstanding at December 31, 2009</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w:t>
            </w:r>
          </w:p>
        </w:tc>
        <w:tc>
          <w:tcPr>
            <w:tcW w:w="1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7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Weighted Average</w:t>
            </w:r>
          </w:p>
        </w:tc>
        <w:tc>
          <w:tcPr>
            <w:tcW w:w="180" w:type="dxa"/>
            <w:vAlign w:val="bottom"/>
          </w:tcPr>
          <w:p>
            <w:pPr>
              <w:spacing w:after="0"/>
              <w:rPr>
                <w:sz w:val="7"/>
                <w:szCs w:val="7"/>
                <w:color w:val="auto"/>
              </w:rPr>
            </w:pPr>
          </w:p>
        </w:tc>
        <w:tc>
          <w:tcPr>
            <w:tcW w:w="1600" w:type="dxa"/>
            <w:vAlign w:val="bottom"/>
            <w:gridSpan w:val="4"/>
          </w:tcPr>
          <w:p>
            <w:pPr>
              <w:jc w:val="center"/>
              <w:ind w:right="580"/>
              <w:spacing w:after="0" w:line="81"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Aggregate Intrinsic</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80" w:type="dxa"/>
            <w:vAlign w:val="bottom"/>
          </w:tcPr>
          <w:p>
            <w:pPr>
              <w:spacing w:after="0"/>
              <w:rPr>
                <w:sz w:val="9"/>
                <w:szCs w:val="9"/>
                <w:color w:val="auto"/>
              </w:rPr>
            </w:pPr>
          </w:p>
        </w:tc>
        <w:tc>
          <w:tcPr>
            <w:tcW w:w="1600" w:type="dxa"/>
            <w:vAlign w:val="bottom"/>
            <w:gridSpan w:val="4"/>
          </w:tcPr>
          <w:p>
            <w:pPr>
              <w:jc w:val="center"/>
              <w:ind w:right="580"/>
              <w:spacing w:after="0" w:line="108" w:lineRule="exact"/>
              <w:rPr>
                <w:sz w:val="20"/>
                <w:szCs w:val="20"/>
                <w:color w:val="auto"/>
              </w:rPr>
            </w:pPr>
            <w:r>
              <w:rPr>
                <w:rFonts w:ascii="Arial" w:cs="Arial" w:eastAsia="Arial" w:hAnsi="Arial"/>
                <w:sz w:val="10"/>
                <w:szCs w:val="10"/>
                <w:b w:val="1"/>
                <w:bCs w:val="1"/>
                <w:color w:val="auto"/>
                <w:w w:val="92"/>
              </w:rPr>
              <w:t>Exercise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5"/>
          </w:tcPr>
          <w:p>
            <w:pPr>
              <w:jc w:val="right"/>
              <w:ind w:right="440"/>
              <w:spacing w:after="0" w:line="108" w:lineRule="exact"/>
              <w:rPr>
                <w:sz w:val="20"/>
                <w:szCs w:val="20"/>
                <w:color w:val="auto"/>
              </w:rPr>
            </w:pPr>
            <w:r>
              <w:rPr>
                <w:rFonts w:ascii="Arial" w:cs="Arial" w:eastAsia="Arial" w:hAnsi="Arial"/>
                <w:sz w:val="10"/>
                <w:szCs w:val="10"/>
                <w:b w:val="1"/>
                <w:bCs w:val="1"/>
                <w:color w:val="auto"/>
              </w:rPr>
              <w:t>Value at December 31,</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rPr>
                <w:sz w:val="20"/>
                <w:szCs w:val="20"/>
                <w:color w:val="auto"/>
              </w:rPr>
            </w:pPr>
            <w:r>
              <w:rPr>
                <w:rFonts w:ascii="Arial" w:cs="Arial" w:eastAsia="Arial" w:hAnsi="Arial"/>
                <w:sz w:val="10"/>
                <w:szCs w:val="10"/>
                <w:b w:val="1"/>
                <w:bCs w:val="1"/>
                <w:color w:val="auto"/>
              </w:rPr>
              <w:t>Exercise Prices</w:t>
            </w:r>
          </w:p>
        </w:tc>
        <w:tc>
          <w:tcPr>
            <w:tcW w:w="2020" w:type="dxa"/>
            <w:vAlign w:val="bottom"/>
            <w:gridSpan w:val="2"/>
          </w:tcPr>
          <w:p>
            <w:pPr>
              <w:ind w:left="320"/>
              <w:spacing w:after="0"/>
              <w:rPr>
                <w:sz w:val="20"/>
                <w:szCs w:val="20"/>
                <w:color w:val="auto"/>
              </w:rPr>
            </w:pPr>
            <w:r>
              <w:rPr>
                <w:rFonts w:ascii="Arial" w:cs="Arial" w:eastAsia="Arial" w:hAnsi="Arial"/>
                <w:sz w:val="10"/>
                <w:szCs w:val="10"/>
                <w:b w:val="1"/>
                <w:bCs w:val="1"/>
                <w:color w:val="auto"/>
              </w:rPr>
              <w:t>Number Outstanding</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Term (Yrs.)</w:t>
            </w:r>
          </w:p>
        </w:tc>
        <w:tc>
          <w:tcPr>
            <w:tcW w:w="180" w:type="dxa"/>
            <w:vAlign w:val="bottom"/>
          </w:tcPr>
          <w:p>
            <w:pPr>
              <w:spacing w:after="0"/>
              <w:rPr>
                <w:sz w:val="11"/>
                <w:szCs w:val="11"/>
                <w:color w:val="auto"/>
              </w:rPr>
            </w:pPr>
          </w:p>
        </w:tc>
        <w:tc>
          <w:tcPr>
            <w:tcW w:w="1600" w:type="dxa"/>
            <w:vAlign w:val="bottom"/>
            <w:gridSpan w:val="4"/>
          </w:tcPr>
          <w:p>
            <w:pPr>
              <w:jc w:val="center"/>
              <w:ind w:right="580"/>
              <w:spacing w:after="0"/>
              <w:rPr>
                <w:sz w:val="20"/>
                <w:szCs w:val="20"/>
                <w:color w:val="auto"/>
              </w:rPr>
            </w:pPr>
            <w:r>
              <w:rPr>
                <w:rFonts w:ascii="Arial" w:cs="Arial" w:eastAsia="Arial" w:hAnsi="Arial"/>
                <w:sz w:val="10"/>
                <w:szCs w:val="10"/>
                <w:b w:val="1"/>
                <w:bCs w:val="1"/>
                <w:color w:val="auto"/>
                <w:w w:val="89"/>
              </w:rPr>
              <w:t>Price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14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3,406,346</w:t>
            </w:r>
          </w:p>
        </w:tc>
        <w:tc>
          <w:tcPr>
            <w:tcW w:w="4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4"/>
            <w:shd w:val="clear" w:color="auto" w:fill="CCEEFF"/>
          </w:tcPr>
          <w:p>
            <w:pPr>
              <w:ind w:left="980"/>
              <w:spacing w:after="0"/>
              <w:rPr>
                <w:sz w:val="20"/>
                <w:szCs w:val="20"/>
                <w:color w:val="auto"/>
              </w:rPr>
            </w:pPr>
            <w:r>
              <w:rPr>
                <w:rFonts w:ascii="Arial" w:cs="Arial" w:eastAsia="Arial" w:hAnsi="Arial"/>
                <w:sz w:val="13"/>
                <w:szCs w:val="13"/>
                <w:color w:val="auto"/>
              </w:rPr>
              <w:t>1.43</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434,092</w:t>
            </w: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jc w:val="right"/>
              <w:spacing w:after="0"/>
              <w:rPr>
                <w:sz w:val="20"/>
                <w:szCs w:val="20"/>
                <w:color w:val="auto"/>
              </w:rPr>
            </w:pPr>
            <w:r>
              <w:rPr>
                <w:rFonts w:ascii="Arial" w:cs="Arial" w:eastAsia="Arial" w:hAnsi="Arial"/>
                <w:sz w:val="13"/>
                <w:szCs w:val="13"/>
                <w:color w:val="auto"/>
              </w:rPr>
              <w:t>5,166,683</w:t>
            </w:r>
          </w:p>
        </w:tc>
        <w:tc>
          <w:tcPr>
            <w:tcW w:w="42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4"/>
          </w:tcPr>
          <w:p>
            <w:pPr>
              <w:ind w:left="98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$4.00 - $5.99</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687,783</w:t>
            </w:r>
          </w:p>
        </w:tc>
        <w:tc>
          <w:tcPr>
            <w:tcW w:w="4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4"/>
            <w:shd w:val="clear" w:color="auto" w:fill="CCEEFF"/>
          </w:tcPr>
          <w:p>
            <w:pPr>
              <w:ind w:left="980"/>
              <w:spacing w:after="0"/>
              <w:rPr>
                <w:sz w:val="20"/>
                <w:szCs w:val="20"/>
                <w:color w:val="auto"/>
              </w:rPr>
            </w:pPr>
            <w:r>
              <w:rPr>
                <w:rFonts w:ascii="Arial" w:cs="Arial" w:eastAsia="Arial" w:hAnsi="Arial"/>
                <w:sz w:val="13"/>
                <w:szCs w:val="13"/>
                <w:color w:val="auto"/>
              </w:rPr>
              <w:t>5.27</w:t>
            </w:r>
          </w:p>
        </w:tc>
        <w:tc>
          <w:tcPr>
            <w:tcW w:w="1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4"/>
            <w:vMerge w:val="restart"/>
          </w:tcPr>
          <w:p>
            <w:pPr>
              <w:ind w:left="980"/>
              <w:spacing w:after="0"/>
              <w:rPr>
                <w:sz w:val="20"/>
                <w:szCs w:val="20"/>
                <w:color w:val="auto"/>
              </w:rPr>
            </w:pPr>
            <w:r>
              <w:rPr>
                <w:rFonts w:ascii="Arial" w:cs="Arial" w:eastAsia="Arial" w:hAnsi="Arial"/>
                <w:sz w:val="13"/>
                <w:szCs w:val="13"/>
                <w:color w:val="auto"/>
              </w:rPr>
              <w:t>2.28</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9,260,812</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434,092</w:t>
            </w:r>
          </w:p>
        </w:tc>
        <w:tc>
          <w:tcPr>
            <w:tcW w:w="0" w:type="dxa"/>
            <w:vAlign w:val="bottom"/>
          </w:tcPr>
          <w:p>
            <w:pPr>
              <w:spacing w:after="0"/>
              <w:rPr>
                <w:sz w:val="1"/>
                <w:szCs w:val="1"/>
                <w:color w:val="auto"/>
              </w:rPr>
            </w:pPr>
          </w:p>
        </w:tc>
      </w:tr>
      <w:tr>
        <w:trPr>
          <w:trHeight w:val="295"/>
        </w:trPr>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rPr>
              <w:t>Vested Options Outstanding at December 31, 2009</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ind w:left="160"/>
              <w:spacing w:after="0" w:line="91" w:lineRule="exact"/>
              <w:rPr>
                <w:sz w:val="20"/>
                <w:szCs w:val="20"/>
                <w:color w:val="auto"/>
              </w:rPr>
            </w:pPr>
            <w:r>
              <w:rPr>
                <w:rFonts w:ascii="Arial" w:cs="Arial" w:eastAsia="Arial" w:hAnsi="Arial"/>
                <w:sz w:val="10"/>
                <w:szCs w:val="10"/>
                <w:b w:val="1"/>
                <w:bCs w:val="1"/>
                <w:color w:val="auto"/>
              </w:rPr>
              <w:t>Number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ind w:left="40"/>
              <w:spacing w:after="0" w:line="91" w:lineRule="exact"/>
              <w:rPr>
                <w:sz w:val="20"/>
                <w:szCs w:val="20"/>
                <w:color w:val="auto"/>
              </w:rPr>
            </w:pPr>
            <w:r>
              <w:rPr>
                <w:rFonts w:ascii="Arial" w:cs="Arial" w:eastAsia="Arial" w:hAnsi="Arial"/>
                <w:sz w:val="10"/>
                <w:szCs w:val="10"/>
                <w:b w:val="1"/>
                <w:bCs w:val="1"/>
                <w:color w:val="auto"/>
              </w:rPr>
              <w:t>Weighted Average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62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1,820,229</w:t>
            </w:r>
          </w:p>
        </w:tc>
        <w:tc>
          <w:tcPr>
            <w:tcW w:w="1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right"/>
              <w:spacing w:after="0"/>
              <w:rPr>
                <w:sz w:val="20"/>
                <w:szCs w:val="20"/>
                <w:color w:val="auto"/>
              </w:rPr>
            </w:pPr>
            <w:r>
              <w:rPr>
                <w:rFonts w:ascii="Arial" w:cs="Arial" w:eastAsia="Arial" w:hAnsi="Arial"/>
                <w:sz w:val="13"/>
                <w:szCs w:val="13"/>
                <w:color w:val="auto"/>
              </w:rPr>
              <w:t>4,139,743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57"/>
        </w:trPr>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$4.00 - $5.99</w:t>
            </w:r>
          </w:p>
        </w:tc>
        <w:tc>
          <w:tcPr>
            <w:tcW w:w="1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687,783</w:t>
            </w:r>
          </w:p>
        </w:tc>
        <w:tc>
          <w:tcPr>
            <w:tcW w:w="1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6,647,755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-1260475</wp:posOffset>
            </wp:positionV>
            <wp:extent cx="1841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granted restricted stock units (RSUs) to our directors and to certain employees which entitle the holders to receive shares of our common stock upon vesting of the RSUs.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fair value of restricted stock units granted are based upon the market price of the underlying common stock as if it were vested and issued on the date of grant.</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restricted stock unit activity for the year ended December 31, 2009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4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Grant Date Fair</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RSUs</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1,376,401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(550,000)</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Cancelled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(38,500)</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2,437,901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9"/>
        </w:trPr>
        <w:tc>
          <w:tcPr>
            <w:tcW w:w="7400" w:type="dxa"/>
            <w:vAlign w:val="bottom"/>
            <w:vMerge w:val="restart"/>
          </w:tcPr>
          <w:p>
            <w:pPr>
              <w:spacing w:after="0"/>
              <w:rPr>
                <w:sz w:val="20"/>
                <w:szCs w:val="20"/>
                <w:color w:val="auto"/>
              </w:rPr>
            </w:pPr>
            <w:r>
              <w:rPr>
                <w:rFonts w:ascii="Arial" w:cs="Arial" w:eastAsia="Arial" w:hAnsi="Arial"/>
                <w:sz w:val="13"/>
                <w:szCs w:val="13"/>
                <w:color w:val="auto"/>
              </w:rPr>
              <w:t>Vested RSUs outstanding at December 31, 2009</w:t>
            </w: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Appreciation Rights</w:t>
      </w:r>
    </w:p>
    <w:p>
      <w:pPr>
        <w:spacing w:after="0" w:line="96"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In July 2006, we granted cash-settled Stock Appreciation Rights (SARs) to certain employees under the 2006 Equity Incentive Plan. The SARs give the holder the right, upon exercise, to the difference between the price per share of our common stock at the time of exercise and the exercise price of the SAR. The exercise price of the SAR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expenses and liability are re-measured at each reporting date through the date of settlement. The stock-based compensation liability as re-measured at December 31, 2009 was $608,895.</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changes in non-vested SARs for the last three fiscal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2009</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89"/>
              </w:rPr>
              <w:t>2008</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89"/>
              </w:rPr>
              <w:t>2007</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Average</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72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Number</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2"/>
              </w:rPr>
              <w:t>Exercise</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Number</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7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7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1,430,849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1,478,219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1,564,599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Forfeited</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(47,370)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(86,380)</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1,430,849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1,430,849</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1,478,219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9"/>
        </w:trPr>
        <w:tc>
          <w:tcPr>
            <w:tcW w:w="4000" w:type="dxa"/>
            <w:vAlign w:val="bottom"/>
            <w:vMerge w:val="restart"/>
          </w:tcPr>
          <w:p>
            <w:pPr>
              <w:spacing w:after="0"/>
              <w:rPr>
                <w:sz w:val="20"/>
                <w:szCs w:val="20"/>
                <w:color w:val="auto"/>
              </w:rPr>
            </w:pPr>
            <w:r>
              <w:rPr>
                <w:rFonts w:ascii="Arial" w:cs="Arial" w:eastAsia="Arial" w:hAnsi="Arial"/>
                <w:sz w:val="13"/>
                <w:szCs w:val="13"/>
                <w:color w:val="auto"/>
              </w:rPr>
              <w:t>Exercisable at December 31,</w:t>
            </w:r>
          </w:p>
        </w:tc>
        <w:tc>
          <w:tcPr>
            <w:tcW w:w="720" w:type="dxa"/>
            <w:vAlign w:val="bottom"/>
            <w:shd w:val="clear" w:color="auto" w:fill="000000"/>
          </w:tcPr>
          <w:p>
            <w:pPr>
              <w:spacing w:after="0"/>
              <w:rPr>
                <w:sz w:val="2"/>
                <w:szCs w:val="2"/>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2.00</w:t>
            </w: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2.00</w:t>
            </w: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line="20" w:lineRule="exact"/>
              <w:rPr>
                <w:sz w:val="1"/>
                <w:szCs w:val="1"/>
                <w:color w:val="auto"/>
              </w:rPr>
            </w:pPr>
          </w:p>
        </w:tc>
      </w:tr>
      <w:tr>
        <w:trPr>
          <w:trHeight w:val="166"/>
        </w:trPr>
        <w:tc>
          <w:tcPr>
            <w:tcW w:w="400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1,222,178</w:t>
            </w:r>
          </w:p>
        </w:tc>
        <w:tc>
          <w:tcPr>
            <w:tcW w:w="4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864,467</w:t>
            </w:r>
          </w:p>
        </w:tc>
        <w:tc>
          <w:tcPr>
            <w:tcW w:w="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506,754</w:t>
            </w:r>
          </w:p>
        </w:tc>
        <w:tc>
          <w:tcPr>
            <w:tcW w:w="4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total compensation expense related to SARs was approximately $108,000 in 2009, $73,000 in 2008 and $135,000 in 2007. At December 31, 2009, approximately $98,000 of unrecognized compensation expense related to SARs is expected to be recognized over a weighted average period of approximately 0.5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1"/>
          <w:szCs w:val="11"/>
          <w:b w:val="1"/>
          <w:bCs w:val="1"/>
          <w:color w:val="auto"/>
        </w:rPr>
        <w:t>Wind-down and exit costs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Rhode Island</w:t>
      </w:r>
    </w:p>
    <w:p>
      <w:pPr>
        <w:spacing w:after="0" w:line="96"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In October 1999, we relocated to California from Rhode Island and established a wind-down reserve for the estimated lease payments and operating costs of the Rhode Island facilities. Even though we intend to dispose of the facility at the earliest possible time, we cannot determine with certainty a fixed date by which such disposal will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our wind-down reserve at December 31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reserve at beginning of period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4,448,000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4,875,000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Less actual expenses recorded against estimated reserve during the period</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(1,216,000)</w:t>
            </w:r>
          </w:p>
        </w:tc>
        <w:tc>
          <w:tcPr>
            <w:tcW w:w="2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(1,293,000)</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Additional expense recorded to revise estimated reserve at period-end</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866,000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Revised reserve at period-end</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3,572,000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4,448,000</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Add deferred rent at period end</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1,065,000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accrued wind-down expenses at period-end (current and non current)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4,433,000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5,513,000</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 current portion</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1,376,000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1,420,000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Non current portion</w:t>
            </w: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3,057,000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4,093,000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accrued wind-down expenses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4,433,000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5,513,000</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Australia</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On April 1, 2009, as part of our acquisition of the SCS operations, we acquired certain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reserve of approximately $310,000 for the estimated costs to close down and exit our Australia operations. The reserve reflects the estimated cost to terminate our facility lease in Australia (which provided for an original termination date of December 31, 2010), employee termination benefits and other liabilities associated with the wind-down and relocation of our operations in Australia.</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July to</w:t>
            </w:r>
          </w:p>
        </w:tc>
      </w:tr>
      <w:tr>
        <w:trPr>
          <w:trHeight w:val="108"/>
        </w:trPr>
        <w:tc>
          <w:tcPr>
            <w:tcW w:w="8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reserve at June 30,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Less actual expenses recorded against estimated reserve during the period</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(236,000)</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Additional expense recorded to revise estimated reserve at period-end</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6"/>
        </w:trPr>
        <w:tc>
          <w:tcPr>
            <w:tcW w:w="8900" w:type="dxa"/>
            <w:vAlign w:val="bottom"/>
          </w:tcPr>
          <w:p>
            <w:pPr>
              <w:spacing w:after="0"/>
              <w:rPr>
                <w:sz w:val="20"/>
                <w:szCs w:val="20"/>
                <w:color w:val="auto"/>
              </w:rPr>
            </w:pPr>
            <w:r>
              <w:rPr>
                <w:rFonts w:ascii="Arial" w:cs="Arial" w:eastAsia="Arial" w:hAnsi="Arial"/>
                <w:sz w:val="13"/>
                <w:szCs w:val="13"/>
                <w:color w:val="auto"/>
              </w:rPr>
              <w:t>Accrued wind-down reserve at December 31, 2009</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74,000</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12.</w:t>
      </w:r>
      <w:r>
        <w:rPr>
          <w:sz w:val="20"/>
          <w:szCs w:val="20"/>
          <w:color w:val="auto"/>
        </w:rPr>
        <w:tab/>
      </w:r>
      <w:r>
        <w:rPr>
          <w:rFonts w:ascii="Arial" w:cs="Arial" w:eastAsia="Arial" w:hAnsi="Arial"/>
          <w:sz w:val="11"/>
          <w:szCs w:val="11"/>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Bonds Payable</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entered into direct financing transactions with the State of Rhode Island and received proceeds from the issuance of industrial revenue bonds totaling $5,000,000 to finance the construction of Rhode Island’s pilot manufacturing facility. The related lease agreements are structured such that lease payments fully fund all semiannual interest payments and annual principal payments through maturity in August 2014. Interest rate for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the remaining bond series is 9.5%. The outstanding principal and interest owed at December 31, 2009 was approximately $860,000. The bonds contain certain restrictive covenants which limit, among other things, the payment of cash dividends and the sale of the related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entered into a fifteen-year lease agreement for a laboratory facility in Rhode Island in connection with a sale and leaseback arrangement in 1997. The lease term expires June 30, 2013. The lease contains escalating rent payments, which we recognize on a straight-line basis. At December 31, 2009, deferred rent expense was approximately $861,000 for this facility and is included as part of the wind-down accrual on the accompanying Consolidated Balance Sheet.</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have leased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In October 2009, we amended the lease to extend the expiry date of the lease term from March 31, 2010 to August 31, 2011. The aggregate rent payment for the extended lease term is approximately $3,100,000. The lease contains escalating rent payments, which we recognize as operating lease expense on a straight-line basis. Deferred rent was approximately $131,000 as of December 31, 2009 and $437,000 as of December 31, 2008, and is reflected as deferred rent on our accompanying Consolidated Balance Sheets. As of December 31, 2009, we had a space-sharing agreement covering approximately 10,451 square feet of this facility, under which we receive base payments plus a proportionate share of the operating expenses based on square footage over the term of the agreement.</w:t>
      </w:r>
    </w:p>
    <w:p>
      <w:pPr>
        <w:spacing w:after="0" w:line="74"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On April 1, 2009, as part of our acquisition of the operations of SCS, we acquired operations in Cambridge, UK. As of April 2009, our wholly-owned subsidiary, Stem Cell Sciences (UK) Ltd, had two lease agreements with Babraham Bioscience Technologies Ltd. (BBT) for in aggregate approximately 3,900 square feet of office and lab space in two buildings of the Babraham Research Campus in Cambridge, U.K. One of these two leases, for approximately 2,000 square feet, expired by its terms on February 28, 2010. The second, for approximately 1,900 square feet, has an initial term until March 2011, with an option, at our election, to extend the term for an additional five years. In February 2010, in order to consolidate our operations into a single building at the research campus, we entered into a new lease agreement with BBT effective March 1, 2010, for approximately 3,240 square feet. The initial term of this new lease will continue until March 2011, with an option, at our election, to extend the term for an additional two years. The two leases cover in aggregate approximately 5,000 square feet. We expect to pay approximately 134,000 GBP as rental payments for 2010. StemCells, Inc. is a guarantor of Stem Cell Sciences (UK) Ltd’s obligations under both leases.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April 1, 2009, as part of our acquisition of the operations of SCS, we acquired operations near Melbourne, Australia. Our wholly-owned subsidiary, Stem Cell Sciences (Australia) Pty Ltd, is in a lease agreement with Monash University for approximately 1,938 square feet of office and lab space in Victoria, Australia. The lease term ends on December 31, 2010. In order to reduce operating complexity and expenses, we made the decision to close our site in Australia and consolidate personnel and programs to our Cambridge, U.K. and Palo Alto, California sites. We paid approximately $86,000 for an early termination of the lease which cost is included as part of our wind-down expenses in the accompanying condensed consolidated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the components of rent expense for the fiscal year ended December 31,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0"/>
                <w:szCs w:val="10"/>
                <w:b w:val="1"/>
                <w:bCs w:val="1"/>
                <w:color w:val="auto"/>
                <w:w w:val="89"/>
              </w:rPr>
              <w:t>2009</w:t>
            </w:r>
          </w:p>
        </w:tc>
        <w:tc>
          <w:tcPr>
            <w:tcW w:w="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29"/>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Rent expense</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91"/>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3,215,424</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96"/>
              </w:rPr>
              <w:t>3,077,430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3,077,431</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Sublease income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right"/>
              <w:ind w:right="94"/>
              <w:spacing w:after="0"/>
              <w:rPr>
                <w:sz w:val="20"/>
                <w:szCs w:val="20"/>
                <w:color w:val="auto"/>
              </w:rPr>
            </w:pPr>
            <w:r>
              <w:rPr>
                <w:rFonts w:ascii="Arial" w:cs="Arial" w:eastAsia="Arial" w:hAnsi="Arial"/>
                <w:sz w:val="13"/>
                <w:szCs w:val="13"/>
                <w:color w:val="auto"/>
              </w:rPr>
              <w:t>(770,431)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3"/>
                <w:szCs w:val="13"/>
                <w:color w:val="auto"/>
              </w:rPr>
              <w:t>(809,065)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(606,398)</w:t>
            </w:r>
          </w:p>
        </w:tc>
      </w:tr>
      <w:tr>
        <w:trPr>
          <w:trHeight w:val="20"/>
        </w:trPr>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Rent expense, net</w:t>
            </w:r>
          </w:p>
        </w:tc>
        <w:tc>
          <w:tcPr>
            <w:tcW w:w="2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2,444,993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96"/>
              </w:rPr>
              <w:t>2,268,365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2,471,033</w:t>
            </w:r>
          </w:p>
        </w:tc>
      </w:tr>
      <w:tr>
        <w:trPr>
          <w:trHeight w:val="254"/>
        </w:trPr>
        <w:tc>
          <w:tcPr>
            <w:tcW w:w="5720" w:type="dxa"/>
            <w:vAlign w:val="bottom"/>
            <w:gridSpan w:val="2"/>
          </w:tcPr>
          <w:p>
            <w:pPr>
              <w:ind w:left="400"/>
              <w:spacing w:after="0"/>
              <w:rPr>
                <w:sz w:val="20"/>
                <w:szCs w:val="20"/>
                <w:color w:val="auto"/>
              </w:rPr>
            </w:pPr>
            <w:r>
              <w:rPr>
                <w:rFonts w:ascii="Arial" w:cs="Arial" w:eastAsia="Arial" w:hAnsi="Arial"/>
                <w:sz w:val="13"/>
                <w:szCs w:val="13"/>
                <w:color w:val="auto"/>
                <w:w w:val="91"/>
              </w:rPr>
              <w:t>Future minimum payments under all leases and bonds payable at December 31, 2009 are as follows:</w:t>
            </w:r>
          </w:p>
        </w:tc>
        <w:tc>
          <w:tcPr>
            <w:tcW w:w="7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71"/>
              <w:spacing w:after="0"/>
              <w:rPr>
                <w:sz w:val="20"/>
                <w:szCs w:val="20"/>
                <w:color w:val="auto"/>
              </w:rPr>
            </w:pPr>
            <w:r>
              <w:rPr>
                <w:rFonts w:ascii="Arial" w:cs="Arial" w:eastAsia="Arial" w:hAnsi="Arial"/>
                <w:sz w:val="10"/>
                <w:szCs w:val="10"/>
                <w:b w:val="1"/>
                <w:bCs w:val="1"/>
                <w:color w:val="auto"/>
              </w:rPr>
              <w:t>Bonds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rPr>
              <w:t>Capital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rPr>
              <w:t>Operating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Sublease</w:t>
            </w:r>
          </w:p>
        </w:tc>
      </w:tr>
      <w:tr>
        <w:trPr>
          <w:trHeight w:val="125"/>
        </w:trPr>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31"/>
              <w:spacing w:after="0"/>
              <w:rPr>
                <w:sz w:val="20"/>
                <w:szCs w:val="20"/>
                <w:color w:val="auto"/>
              </w:rPr>
            </w:pPr>
            <w:r>
              <w:rPr>
                <w:rFonts w:ascii="Arial" w:cs="Arial" w:eastAsia="Arial" w:hAnsi="Arial"/>
                <w:sz w:val="10"/>
                <w:szCs w:val="10"/>
                <w:b w:val="1"/>
                <w:bCs w:val="1"/>
                <w:color w:val="auto"/>
              </w:rPr>
              <w:t>Payable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8"/>
              </w:rPr>
              <w:t>Leases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0"/>
                <w:szCs w:val="10"/>
                <w:b w:val="1"/>
                <w:bCs w:val="1"/>
                <w:color w:val="auto"/>
              </w:rPr>
              <w:t>Leases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Income</w:t>
            </w:r>
          </w:p>
        </w:tc>
      </w:tr>
      <w:tr>
        <w:trPr>
          <w:trHeight w:val="29"/>
        </w:trPr>
        <w:tc>
          <w:tcPr>
            <w:tcW w:w="55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242,559</w:t>
            </w:r>
          </w:p>
        </w:tc>
        <w:tc>
          <w:tcPr>
            <w:tcW w:w="36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80,073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3,491,887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649,880</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2011</w:t>
            </w:r>
          </w:p>
        </w:tc>
        <w:tc>
          <w:tcPr>
            <w:tcW w:w="220" w:type="dxa"/>
            <w:vAlign w:val="bottom"/>
          </w:tcPr>
          <w:p>
            <w:pPr>
              <w:spacing w:after="0"/>
              <w:rPr>
                <w:sz w:val="13"/>
                <w:szCs w:val="13"/>
                <w:color w:val="auto"/>
              </w:rPr>
            </w:pPr>
          </w:p>
        </w:tc>
        <w:tc>
          <w:tcPr>
            <w:tcW w:w="900" w:type="dxa"/>
            <w:vAlign w:val="bottom"/>
            <w:gridSpan w:val="2"/>
          </w:tcPr>
          <w:p>
            <w:pPr>
              <w:jc w:val="right"/>
              <w:ind w:right="151"/>
              <w:spacing w:after="0"/>
              <w:rPr>
                <w:sz w:val="20"/>
                <w:szCs w:val="20"/>
                <w:color w:val="auto"/>
              </w:rPr>
            </w:pPr>
            <w:r>
              <w:rPr>
                <w:rFonts w:ascii="Arial" w:cs="Arial" w:eastAsia="Arial" w:hAnsi="Arial"/>
                <w:sz w:val="13"/>
                <w:szCs w:val="13"/>
                <w:color w:val="auto"/>
              </w:rPr>
              <w:t>242,321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73,391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3"/>
                <w:szCs w:val="13"/>
                <w:color w:val="auto"/>
              </w:rPr>
              <w:t>2,664,963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225,742</w:t>
            </w: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240,666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18,329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1,171,875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2013</w:t>
            </w:r>
          </w:p>
        </w:tc>
        <w:tc>
          <w:tcPr>
            <w:tcW w:w="220" w:type="dxa"/>
            <w:vAlign w:val="bottom"/>
          </w:tcPr>
          <w:p>
            <w:pPr>
              <w:spacing w:after="0"/>
              <w:rPr>
                <w:sz w:val="13"/>
                <w:szCs w:val="13"/>
                <w:color w:val="auto"/>
              </w:rPr>
            </w:pPr>
          </w:p>
        </w:tc>
        <w:tc>
          <w:tcPr>
            <w:tcW w:w="900" w:type="dxa"/>
            <w:vAlign w:val="bottom"/>
            <w:gridSpan w:val="2"/>
          </w:tcPr>
          <w:p>
            <w:pPr>
              <w:jc w:val="right"/>
              <w:ind w:right="151"/>
              <w:spacing w:after="0"/>
              <w:rPr>
                <w:sz w:val="20"/>
                <w:szCs w:val="20"/>
                <w:color w:val="auto"/>
              </w:rPr>
            </w:pPr>
            <w:r>
              <w:rPr>
                <w:rFonts w:ascii="Arial" w:cs="Arial" w:eastAsia="Arial" w:hAnsi="Arial"/>
                <w:sz w:val="13"/>
                <w:szCs w:val="13"/>
                <w:color w:val="auto"/>
              </w:rPr>
              <w:t>237,593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3"/>
                <w:szCs w:val="13"/>
                <w:color w:val="auto"/>
              </w:rPr>
              <w:t>732,422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136,852</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Thereafter</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2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1,099,991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171,793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8,061,147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875,622</w:t>
            </w:r>
          </w:p>
        </w:tc>
      </w:tr>
      <w:tr>
        <w:trPr>
          <w:trHeight w:val="167"/>
        </w:trPr>
        <w:tc>
          <w:tcPr>
            <w:tcW w:w="5500" w:type="dxa"/>
            <w:vAlign w:val="bottom"/>
          </w:tcPr>
          <w:p>
            <w:pPr>
              <w:spacing w:after="0"/>
              <w:rPr>
                <w:sz w:val="20"/>
                <w:szCs w:val="20"/>
                <w:color w:val="auto"/>
              </w:rPr>
            </w:pPr>
            <w:r>
              <w:rPr>
                <w:rFonts w:ascii="Arial" w:cs="Arial" w:eastAsia="Arial" w:hAnsi="Arial"/>
                <w:sz w:val="13"/>
                <w:szCs w:val="13"/>
                <w:color w:val="auto"/>
              </w:rPr>
              <w:t>Less amounts representing interest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239,991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17,967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bonds payable and capital lease payments</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860,000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153,826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Less current maturities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161,250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68,000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Bonds payable, less current maturities</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698,750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center"/>
              <w:ind w:right="14"/>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85,826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59" w:lineRule="exact"/>
        <w:rPr>
          <w:sz w:val="20"/>
          <w:szCs w:val="20"/>
          <w:color w:val="auto"/>
        </w:rPr>
      </w:pPr>
    </w:p>
    <w:p>
      <w:pPr>
        <w:jc w:val="both"/>
        <w:ind w:left="680" w:right="20" w:firstLine="399"/>
        <w:spacing w:after="0" w:line="277" w:lineRule="auto"/>
        <w:rPr>
          <w:sz w:val="20"/>
          <w:szCs w:val="20"/>
          <w:color w:val="auto"/>
        </w:rPr>
      </w:pPr>
      <w:r>
        <w:rPr>
          <w:rFonts w:ascii="Arial" w:cs="Arial" w:eastAsia="Arial" w:hAnsi="Arial"/>
          <w:sz w:val="12"/>
          <w:szCs w:val="12"/>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w:t>
      </w:r>
    </w:p>
    <w:p>
      <w:pPr>
        <w:spacing w:after="0" w:line="1" w:lineRule="exact"/>
        <w:rPr>
          <w:sz w:val="20"/>
          <w:szCs w:val="20"/>
          <w:color w:val="auto"/>
        </w:rPr>
      </w:pPr>
    </w:p>
    <w:p>
      <w:pPr>
        <w:ind w:left="680" w:right="360"/>
        <w:spacing w:after="0" w:line="264" w:lineRule="auto"/>
        <w:rPr>
          <w:sz w:val="20"/>
          <w:szCs w:val="20"/>
          <w:color w:val="auto"/>
        </w:rPr>
      </w:pPr>
      <w:r>
        <w:rPr>
          <w:rFonts w:ascii="Arial" w:cs="Arial" w:eastAsia="Arial" w:hAnsi="Arial"/>
          <w:sz w:val="13"/>
          <w:szCs w:val="13"/>
          <w:color w:val="auto"/>
        </w:rPr>
        <w:t>In addition, we allege various state law causes of action against Neuralstem arising out of its repeated derogatory statements to the public about our patent portfolio. Also in May 2008, Neuralstem filed suit against us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70"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In addition to the actions described above, in April 2008, we filed an opposition to Neuralstem’s European Patent No. 0 915 968 (methods of isolating, propagating and differentiating CNS stem cells), because the claimed invention is believed by us to be unpatentable over prior art, including the patents exclusively licensed by us from NeuroSpheres. Neuralstem has responded to this opposition and the parties are currently awaiting a hearing, expected for 2010. In September 2009, we also filed a request with the PTO to reexamine Neuralstem’s</w:t>
      </w:r>
    </w:p>
    <w:p>
      <w:pPr>
        <w:ind w:left="680" w:right="40"/>
        <w:spacing w:after="0" w:line="264" w:lineRule="auto"/>
        <w:rPr>
          <w:sz w:val="20"/>
          <w:szCs w:val="20"/>
          <w:color w:val="auto"/>
        </w:rPr>
      </w:pPr>
      <w:r>
        <w:rPr>
          <w:rFonts w:ascii="Arial" w:cs="Arial" w:eastAsia="Arial" w:hAnsi="Arial"/>
          <w:sz w:val="13"/>
          <w:szCs w:val="13"/>
          <w:color w:val="auto"/>
        </w:rPr>
        <w:t>U.S. Patent No. 5,753,506 (methods of isolating, propagating and differentiating CNS stem cells), which is the U.S. counterpart of Neuralstem’s ’968 patent in Europe. The PTO granted this reexamination request in October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Effective 2008, as part of an indemnification agreement with NeuroSpheres, we offset the annual $50,000 obligation against litigation costs incurred under that agreement.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estimated balance for future offsets is included under “Other assets, non-current” on our accompanying Consolidated Balance Sheets. We have concluded that the estimated balance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$750,000 as of December 31, 2009 is a fair estimate and realizable against future milestone and royalty payments to NeuroSpheres, and that litigation costs incurred above this amount will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 expensed as incurred. Management will reevaluate this estimate on a quarterly basis based on actual costs and other relevant factors.</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2"/>
          <w:szCs w:val="12"/>
          <w:b w:val="1"/>
          <w:bCs w:val="1"/>
          <w:color w:val="auto"/>
        </w:rPr>
        <w:t>Warrant Liability</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use the Black-Scholes option pricing model to estimate fair value of warrants issued. In using this model, we make certain assumptions about risk-free interest rates, dividend yields, volatility and expected term of the warrants. Risk-free interest rates are derived from the yield on U.S. Treasury debt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 We recorded the fair value of the warrants to purchase 10,344,828 shares of our common stock as a liability. The fair value of the warrant liability will be revalued at the end of each reporting period, with the change in fair value of the warrant liability recorded as a gain or loss in our Consolidated Statements of Operations. The fair value of the warrants will continue to be classified as a liability until such time as the warrants are exercised, expire or an amendment of the warrant agreement renders these warrants to be no longer classified as a liability.</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assumptions used for the Black-Scholes option pricing model are as follows:</w:t>
      </w:r>
    </w:p>
    <w:p>
      <w:pPr>
        <w:spacing w:after="0" w:line="98" w:lineRule="exact"/>
        <w:rPr>
          <w:sz w:val="20"/>
          <w:szCs w:val="20"/>
          <w:color w:val="auto"/>
        </w:rPr>
      </w:pPr>
    </w:p>
    <w:p>
      <w:pPr>
        <w:jc w:val="center"/>
        <w:ind w:left="8500"/>
        <w:spacing w:after="0"/>
        <w:rPr>
          <w:sz w:val="20"/>
          <w:szCs w:val="20"/>
          <w:color w:val="auto"/>
        </w:rPr>
      </w:pPr>
      <w:r>
        <w:rPr>
          <w:rFonts w:ascii="Arial" w:cs="Arial" w:eastAsia="Arial" w:hAnsi="Arial"/>
          <w:sz w:val="10"/>
          <w:szCs w:val="10"/>
          <w:b w:val="1"/>
          <w:bCs w:val="1"/>
          <w:color w:val="auto"/>
        </w:rPr>
        <w:t>To Calculate</w:t>
      </w:r>
    </w:p>
    <w:p>
      <w:pPr>
        <w:jc w:val="center"/>
        <w:ind w:left="8500"/>
        <w:spacing w:after="0" w:line="236" w:lineRule="auto"/>
        <w:rPr>
          <w:sz w:val="20"/>
          <w:szCs w:val="20"/>
          <w:color w:val="auto"/>
        </w:rPr>
      </w:pPr>
      <w:r>
        <w:rPr>
          <w:rFonts w:ascii="Arial" w:cs="Arial" w:eastAsia="Arial" w:hAnsi="Arial"/>
          <w:sz w:val="10"/>
          <w:szCs w:val="10"/>
          <w:b w:val="1"/>
          <w:bCs w:val="1"/>
          <w:color w:val="auto"/>
        </w:rPr>
        <w:t>Fair Value of Warrant</w:t>
      </w:r>
    </w:p>
    <w:p>
      <w:pPr>
        <w:jc w:val="center"/>
        <w:ind w:left="8500"/>
        <w:spacing w:after="0" w:line="236" w:lineRule="auto"/>
        <w:rPr>
          <w:sz w:val="20"/>
          <w:szCs w:val="20"/>
          <w:color w:val="auto"/>
        </w:rPr>
      </w:pPr>
      <w:r>
        <w:rPr>
          <w:rFonts w:ascii="Arial" w:cs="Arial" w:eastAsia="Arial" w:hAnsi="Arial"/>
          <w:sz w:val="10"/>
          <w:szCs w:val="10"/>
          <w:b w:val="1"/>
          <w:bCs w:val="1"/>
          <w:color w:val="auto"/>
        </w:rPr>
        <w:t>Liability at December 31,</w:t>
      </w:r>
    </w:p>
    <w:tbl>
      <w:tblPr>
        <w:tblLayout w:type="fixed"/>
        <w:tblInd w:w="680" w:type="dxa"/>
        <w:tblCellMar>
          <w:top w:w="0" w:type="dxa"/>
          <w:left w:w="0" w:type="dxa"/>
          <w:bottom w:w="0" w:type="dxa"/>
          <w:right w:w="0" w:type="dxa"/>
        </w:tblCellMar>
      </w:tblPr>
      <w:tr>
        <w:trPr>
          <w:trHeight w:val="98"/>
        </w:trPr>
        <w:tc>
          <w:tcPr>
            <w:tcW w:w="4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2009</w:t>
            </w:r>
          </w:p>
        </w:tc>
        <w:tc>
          <w:tcPr>
            <w:tcW w:w="46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w:t>
            </w:r>
          </w:p>
        </w:tc>
        <w:tc>
          <w:tcPr>
            <w:tcW w:w="1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20" w:type="dxa"/>
            <w:vAlign w:val="bottom"/>
            <w:gridSpan w:val="4"/>
            <w:shd w:val="clear" w:color="auto" w:fill="CCEEFF"/>
          </w:tcPr>
          <w:p>
            <w:pPr>
              <w:jc w:val="right"/>
              <w:ind w:right="440"/>
              <w:spacing w:after="0"/>
              <w:rPr>
                <w:sz w:val="20"/>
                <w:szCs w:val="20"/>
                <w:color w:val="auto"/>
              </w:rPr>
            </w:pPr>
            <w:r>
              <w:rPr>
                <w:rFonts w:ascii="Arial" w:cs="Arial" w:eastAsia="Arial" w:hAnsi="Arial"/>
                <w:sz w:val="13"/>
                <w:szCs w:val="13"/>
                <w:color w:val="auto"/>
              </w:rPr>
              <w:t>4.4</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3"/>
                <w:szCs w:val="13"/>
                <w:color w:val="auto"/>
              </w:rPr>
              <w:t>2.0%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2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79.1%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3"/>
                <w:szCs w:val="13"/>
                <w:color w:val="auto"/>
              </w:rPr>
              <w:t>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1"/>
        </w:trPr>
        <w:tc>
          <w:tcPr>
            <w:tcW w:w="4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center"/>
              <w:ind w:left="408"/>
              <w:spacing w:after="0"/>
              <w:rPr>
                <w:sz w:val="20"/>
                <w:szCs w:val="20"/>
                <w:color w:val="auto"/>
              </w:rPr>
            </w:pPr>
            <w:r>
              <w:rPr>
                <w:rFonts w:ascii="Arial" w:cs="Arial" w:eastAsia="Arial" w:hAnsi="Arial"/>
                <w:sz w:val="10"/>
                <w:szCs w:val="10"/>
                <w:b w:val="1"/>
                <w:bCs w:val="1"/>
                <w:color w:val="auto"/>
                <w:w w:val="94"/>
              </w:rPr>
              <w:t>Change in Fair Value</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At December 31,</w:t>
            </w:r>
          </w:p>
        </w:tc>
        <w:tc>
          <w:tcPr>
            <w:tcW w:w="260" w:type="dxa"/>
            <w:vAlign w:val="bottom"/>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At December 31,</w:t>
            </w:r>
          </w:p>
        </w:tc>
        <w:tc>
          <w:tcPr>
            <w:tcW w:w="260" w:type="dxa"/>
            <w:vAlign w:val="bottom"/>
          </w:tcPr>
          <w:p>
            <w:pPr>
              <w:spacing w:after="0"/>
              <w:rPr>
                <w:sz w:val="9"/>
                <w:szCs w:val="9"/>
                <w:color w:val="auto"/>
              </w:rPr>
            </w:pPr>
          </w:p>
        </w:tc>
        <w:tc>
          <w:tcPr>
            <w:tcW w:w="1560" w:type="dxa"/>
            <w:vAlign w:val="bottom"/>
            <w:gridSpan w:val="3"/>
          </w:tcPr>
          <w:p>
            <w:pPr>
              <w:jc w:val="center"/>
              <w:ind w:left="408"/>
              <w:spacing w:after="0" w:line="108" w:lineRule="exact"/>
              <w:rPr>
                <w:sz w:val="20"/>
                <w:szCs w:val="20"/>
                <w:color w:val="auto"/>
              </w:rPr>
            </w:pPr>
            <w:r>
              <w:rPr>
                <w:rFonts w:ascii="Arial" w:cs="Arial" w:eastAsia="Arial" w:hAnsi="Arial"/>
                <w:sz w:val="10"/>
                <w:szCs w:val="10"/>
                <w:b w:val="1"/>
                <w:bCs w:val="1"/>
                <w:color w:val="auto"/>
                <w:w w:val="99"/>
              </w:rPr>
              <w:t>of Warrant Liability</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in Year</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162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1620" w:type="dxa"/>
            <w:vAlign w:val="bottom"/>
            <w:tcBorders>
              <w:bottom w:val="single" w:sz="8" w:color="auto"/>
            </w:tcBorders>
          </w:tcPr>
          <w:p>
            <w:pPr>
              <w:jc w:val="right"/>
              <w:ind w:right="648"/>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10"/>
                <w:szCs w:val="10"/>
                <w:color w:val="auto"/>
              </w:rPr>
            </w:pPr>
          </w:p>
        </w:tc>
        <w:tc>
          <w:tcPr>
            <w:tcW w:w="156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0"/>
                <w:szCs w:val="10"/>
                <w:b w:val="1"/>
                <w:bCs w:val="1"/>
                <w:color w:val="auto"/>
                <w:w w:val="98"/>
              </w:rPr>
              <w:t>2009</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20"/>
                <w:szCs w:val="20"/>
                <w:color w:val="auto"/>
              </w:rPr>
            </w:pPr>
            <w:r>
              <w:rPr>
                <w:rFonts w:ascii="Arial" w:cs="Arial" w:eastAsia="Arial" w:hAnsi="Arial"/>
                <w:sz w:val="13"/>
                <w:szCs w:val="13"/>
                <w:color w:val="auto"/>
              </w:rPr>
              <w:t>Fair value of warrant liability</w:t>
            </w:r>
          </w:p>
        </w:tc>
        <w:tc>
          <w:tcPr>
            <w:tcW w:w="1620" w:type="dxa"/>
            <w:vAlign w:val="bottom"/>
          </w:tcPr>
          <w:p>
            <w:pPr>
              <w:jc w:val="right"/>
              <w:ind w:right="483"/>
              <w:spacing w:after="0"/>
              <w:rPr>
                <w:sz w:val="20"/>
                <w:szCs w:val="20"/>
                <w:color w:val="auto"/>
              </w:rPr>
            </w:pPr>
            <w:r>
              <w:rPr>
                <w:rFonts w:ascii="Arial" w:cs="Arial" w:eastAsia="Arial" w:hAnsi="Arial"/>
                <w:sz w:val="13"/>
                <w:szCs w:val="13"/>
                <w:color w:val="auto"/>
              </w:rPr>
              <w:t>$6,295,448</w:t>
            </w:r>
          </w:p>
        </w:tc>
        <w:tc>
          <w:tcPr>
            <w:tcW w:w="1880" w:type="dxa"/>
            <w:vAlign w:val="bottom"/>
            <w:gridSpan w:val="2"/>
          </w:tcPr>
          <w:p>
            <w:pPr>
              <w:jc w:val="right"/>
              <w:ind w:right="488"/>
              <w:spacing w:after="0"/>
              <w:rPr>
                <w:sz w:val="20"/>
                <w:szCs w:val="20"/>
                <w:color w:val="auto"/>
              </w:rPr>
            </w:pPr>
            <w:r>
              <w:rPr>
                <w:rFonts w:ascii="Arial" w:cs="Arial" w:eastAsia="Arial" w:hAnsi="Arial"/>
                <w:sz w:val="13"/>
                <w:szCs w:val="13"/>
                <w:color w:val="auto"/>
              </w:rPr>
              <w:t>$8,439,931</w:t>
            </w:r>
          </w:p>
        </w:tc>
        <w:tc>
          <w:tcPr>
            <w:tcW w:w="1820" w:type="dxa"/>
            <w:vAlign w:val="bottom"/>
            <w:gridSpan w:val="4"/>
          </w:tcPr>
          <w:p>
            <w:pPr>
              <w:jc w:val="center"/>
              <w:ind w:left="634"/>
              <w:spacing w:after="0"/>
              <w:rPr>
                <w:sz w:val="20"/>
                <w:szCs w:val="20"/>
                <w:color w:val="auto"/>
              </w:rPr>
            </w:pPr>
            <w:r>
              <w:rPr>
                <w:rFonts w:ascii="Arial" w:cs="Arial" w:eastAsia="Arial" w:hAnsi="Arial"/>
                <w:sz w:val="13"/>
                <w:szCs w:val="13"/>
                <w:color w:val="auto"/>
                <w:w w:val="92"/>
              </w:rPr>
              <w:t>$(2,144,483)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November 2009, we sold 10,000,000 units to institutional investors at a price of $1.25 per unit, for gross proceeds of $12,500,000. The units, each of which consisted of one share of common stock and a warrant to purchase 0.4 shares of common stock at an exercise price of $1.50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$11,985,000. We recorded the fair value of the warrants to purchase 4,000,000 shares of our common stock as a liability. The fair value of the warrant liability will be revalued at the end of each reporting period, with the change in fair value of the warrant liability recorded as a gain or loss in our Consolidated Statements of Operations. The fair value of the warrants will continue to be classified as a liability until such time as the warrants are exercised, expire or an amendment of the warrant agreement renders these warrants to be no longer classified as a liability.</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assumptions used for the Black-Scholes option pricing model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4"/>
          </w:tcPr>
          <w:p>
            <w:pPr>
              <w:jc w:val="right"/>
              <w:ind w:right="1120"/>
              <w:spacing w:after="0"/>
              <w:rPr>
                <w:sz w:val="20"/>
                <w:szCs w:val="20"/>
                <w:color w:val="auto"/>
              </w:rPr>
            </w:pPr>
            <w:r>
              <w:rPr>
                <w:rFonts w:ascii="Arial" w:cs="Arial" w:eastAsia="Arial" w:hAnsi="Arial"/>
                <w:sz w:val="10"/>
                <w:szCs w:val="10"/>
                <w:b w:val="1"/>
                <w:bCs w:val="1"/>
                <w:color w:val="auto"/>
                <w:w w:val="97"/>
              </w:rPr>
              <w:t>To Calculate</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00" w:type="dxa"/>
            <w:vAlign w:val="bottom"/>
            <w:gridSpan w:val="7"/>
          </w:tcPr>
          <w:p>
            <w:pPr>
              <w:jc w:val="right"/>
              <w:ind w:right="640"/>
              <w:spacing w:after="0"/>
              <w:rPr>
                <w:sz w:val="20"/>
                <w:szCs w:val="20"/>
                <w:color w:val="auto"/>
              </w:rPr>
            </w:pPr>
            <w:r>
              <w:rPr>
                <w:rFonts w:ascii="Arial" w:cs="Arial" w:eastAsia="Arial" w:hAnsi="Arial"/>
                <w:sz w:val="10"/>
                <w:szCs w:val="10"/>
                <w:b w:val="1"/>
                <w:bCs w:val="1"/>
                <w:color w:val="auto"/>
              </w:rPr>
              <w:t>Fair Value of Warrant Liability at</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tcBorders>
              <w:top w:val="single" w:sz="8" w:color="auto"/>
            </w:tcBorders>
            <w:gridSpan w:val="4"/>
            <w:vMerge w:val="restart"/>
          </w:tcPr>
          <w:p>
            <w:pPr>
              <w:jc w:val="center"/>
              <w:ind w:right="148"/>
              <w:spacing w:after="0"/>
              <w:rPr>
                <w:sz w:val="20"/>
                <w:szCs w:val="20"/>
                <w:color w:val="auto"/>
              </w:rPr>
            </w:pPr>
            <w:r>
              <w:rPr>
                <w:rFonts w:ascii="Arial" w:cs="Arial" w:eastAsia="Arial" w:hAnsi="Arial"/>
                <w:sz w:val="10"/>
                <w:szCs w:val="10"/>
                <w:b w:val="1"/>
                <w:bCs w:val="1"/>
                <w:color w:val="auto"/>
                <w:w w:val="95"/>
              </w:rPr>
              <w:t>December 31,</w:t>
            </w:r>
          </w:p>
        </w:tc>
        <w:tc>
          <w:tcPr>
            <w:tcW w:w="22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Issuance Date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October 28,</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34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left="160"/>
              <w:spacing w:after="0"/>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life (years)</w:t>
            </w:r>
          </w:p>
        </w:tc>
        <w:tc>
          <w:tcPr>
            <w:tcW w:w="1640" w:type="dxa"/>
            <w:vAlign w:val="bottom"/>
            <w:shd w:val="clear" w:color="auto" w:fill="CCEEFF"/>
          </w:tcPr>
          <w:p>
            <w:pPr>
              <w:spacing w:after="0"/>
              <w:rPr>
                <w:sz w:val="13"/>
                <w:szCs w:val="13"/>
                <w:color w:val="auto"/>
              </w:rPr>
            </w:pPr>
          </w:p>
        </w:tc>
        <w:tc>
          <w:tcPr>
            <w:tcW w:w="2720" w:type="dxa"/>
            <w:vAlign w:val="bottom"/>
            <w:gridSpan w:val="6"/>
            <w:shd w:val="clear" w:color="auto" w:fill="CCEEFF"/>
          </w:tcPr>
          <w:p>
            <w:pPr>
              <w:jc w:val="right"/>
              <w:ind w:right="148"/>
              <w:spacing w:after="0"/>
              <w:rPr>
                <w:sz w:val="20"/>
                <w:szCs w:val="20"/>
                <w:color w:val="auto"/>
              </w:rPr>
            </w:pPr>
            <w:r>
              <w:rPr>
                <w:rFonts w:ascii="Arial" w:cs="Arial" w:eastAsia="Arial" w:hAnsi="Arial"/>
                <w:sz w:val="13"/>
                <w:szCs w:val="13"/>
                <w:color w:val="auto"/>
              </w:rPr>
              <w:t>5.3</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1640" w:type="dxa"/>
            <w:vAlign w:val="bottom"/>
          </w:tcPr>
          <w:p>
            <w:pPr>
              <w:spacing w:after="0"/>
              <w:rPr>
                <w:sz w:val="13"/>
                <w:szCs w:val="13"/>
                <w:color w:val="auto"/>
              </w:rPr>
            </w:pPr>
          </w:p>
        </w:tc>
        <w:tc>
          <w:tcPr>
            <w:tcW w:w="2720" w:type="dxa"/>
            <w:vAlign w:val="bottom"/>
            <w:gridSpan w:val="6"/>
          </w:tcPr>
          <w:p>
            <w:pPr>
              <w:jc w:val="right"/>
              <w:ind w:right="28"/>
              <w:spacing w:after="0"/>
              <w:rPr>
                <w:sz w:val="20"/>
                <w:szCs w:val="20"/>
                <w:color w:val="auto"/>
              </w:rPr>
            </w:pPr>
            <w:r>
              <w:rPr>
                <w:rFonts w:ascii="Arial" w:cs="Arial" w:eastAsia="Arial" w:hAnsi="Arial"/>
                <w:sz w:val="13"/>
                <w:szCs w:val="13"/>
                <w:color w:val="auto"/>
              </w:rPr>
              <w:t>2.5%</w:t>
            </w:r>
          </w:p>
        </w:tc>
        <w:tc>
          <w:tcPr>
            <w:tcW w:w="1520" w:type="dxa"/>
            <w:vAlign w:val="bottom"/>
            <w:gridSpan w:val="3"/>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640" w:type="dxa"/>
            <w:vAlign w:val="bottom"/>
            <w:shd w:val="clear" w:color="auto" w:fill="CCEEFF"/>
          </w:tcPr>
          <w:p>
            <w:pPr>
              <w:spacing w:after="0"/>
              <w:rPr>
                <w:sz w:val="13"/>
                <w:szCs w:val="13"/>
                <w:color w:val="auto"/>
              </w:rPr>
            </w:pPr>
          </w:p>
        </w:tc>
        <w:tc>
          <w:tcPr>
            <w:tcW w:w="2720" w:type="dxa"/>
            <w:vAlign w:val="bottom"/>
            <w:gridSpan w:val="6"/>
            <w:shd w:val="clear" w:color="auto" w:fill="CCEEFF"/>
          </w:tcPr>
          <w:p>
            <w:pPr>
              <w:jc w:val="right"/>
              <w:ind w:right="28"/>
              <w:spacing w:after="0"/>
              <w:rPr>
                <w:sz w:val="20"/>
                <w:szCs w:val="20"/>
                <w:color w:val="auto"/>
              </w:rPr>
            </w:pPr>
            <w:r>
              <w:rPr>
                <w:rFonts w:ascii="Arial" w:cs="Arial" w:eastAsia="Arial" w:hAnsi="Arial"/>
                <w:sz w:val="13"/>
                <w:szCs w:val="13"/>
                <w:color w:val="auto"/>
              </w:rPr>
              <w:t>85.9%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0" w:type="dxa"/>
            <w:vAlign w:val="bottom"/>
          </w:tcPr>
          <w:p>
            <w:pPr>
              <w:spacing w:after="0"/>
              <w:rPr>
                <w:sz w:val="1"/>
                <w:szCs w:val="1"/>
                <w:color w:val="auto"/>
              </w:rPr>
            </w:pPr>
          </w:p>
        </w:tc>
      </w:tr>
      <w:tr>
        <w:trPr>
          <w:trHeight w:val="165"/>
        </w:trPr>
        <w:tc>
          <w:tcPr>
            <w:tcW w:w="4100" w:type="dxa"/>
            <w:vAlign w:val="bottom"/>
            <w:gridSpan w:val="2"/>
          </w:tcPr>
          <w:p>
            <w:pPr>
              <w:spacing w:after="0"/>
              <w:rPr>
                <w:sz w:val="20"/>
                <w:szCs w:val="20"/>
                <w:color w:val="auto"/>
              </w:rPr>
            </w:pPr>
            <w:r>
              <w:rPr>
                <w:rFonts w:ascii="Arial" w:cs="Arial" w:eastAsia="Arial" w:hAnsi="Arial"/>
                <w:sz w:val="13"/>
                <w:szCs w:val="13"/>
                <w:color w:val="auto"/>
              </w:rPr>
              <w:t>Expected dividend yield</w:t>
            </w:r>
          </w:p>
        </w:tc>
        <w:tc>
          <w:tcPr>
            <w:tcW w:w="1640" w:type="dxa"/>
            <w:vAlign w:val="bottom"/>
          </w:tcPr>
          <w:p>
            <w:pPr>
              <w:spacing w:after="0"/>
              <w:rPr>
                <w:sz w:val="14"/>
                <w:szCs w:val="14"/>
                <w:color w:val="auto"/>
              </w:rPr>
            </w:pPr>
          </w:p>
        </w:tc>
        <w:tc>
          <w:tcPr>
            <w:tcW w:w="2720" w:type="dxa"/>
            <w:vAlign w:val="bottom"/>
            <w:gridSpan w:val="6"/>
          </w:tcPr>
          <w:p>
            <w:pPr>
              <w:jc w:val="right"/>
              <w:ind w:right="28"/>
              <w:spacing w:after="0"/>
              <w:rPr>
                <w:sz w:val="20"/>
                <w:szCs w:val="20"/>
                <w:color w:val="auto"/>
              </w:rPr>
            </w:pPr>
            <w:r>
              <w:rPr>
                <w:rFonts w:ascii="Arial" w:cs="Arial" w:eastAsia="Arial" w:hAnsi="Arial"/>
                <w:sz w:val="13"/>
                <w:szCs w:val="13"/>
                <w:color w:val="auto"/>
              </w:rPr>
              <w:t>0%</w:t>
            </w:r>
          </w:p>
        </w:tc>
        <w:tc>
          <w:tcPr>
            <w:tcW w:w="1520" w:type="dxa"/>
            <w:vAlign w:val="bottom"/>
            <w:gridSpan w:val="3"/>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1"/>
        </w:trPr>
        <w:tc>
          <w:tcPr>
            <w:tcW w:w="6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vMerge w:val="restart"/>
          </w:tcPr>
          <w:p>
            <w:pPr>
              <w:jc w:val="center"/>
              <w:ind w:right="588"/>
              <w:spacing w:after="0"/>
              <w:rPr>
                <w:sz w:val="20"/>
                <w:szCs w:val="20"/>
                <w:color w:val="auto"/>
              </w:rPr>
            </w:pPr>
            <w:r>
              <w:rPr>
                <w:rFonts w:ascii="Arial" w:cs="Arial" w:eastAsia="Arial" w:hAnsi="Arial"/>
                <w:sz w:val="10"/>
                <w:szCs w:val="10"/>
                <w:b w:val="1"/>
                <w:bCs w:val="1"/>
                <w:color w:val="auto"/>
                <w:w w:val="92"/>
              </w:rPr>
              <w:t>At Issuance Date of</w:t>
            </w:r>
          </w:p>
        </w:tc>
        <w:tc>
          <w:tcPr>
            <w:tcW w:w="15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4"/>
              </w:rPr>
              <w:t>Change in Fair Value</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At December 31,</w:t>
            </w:r>
          </w:p>
        </w:tc>
        <w:tc>
          <w:tcPr>
            <w:tcW w:w="26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52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of Warrant Liability</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60" w:type="dxa"/>
            <w:vAlign w:val="bottom"/>
            <w:gridSpan w:val="5"/>
          </w:tcPr>
          <w:p>
            <w:pPr>
              <w:jc w:val="center"/>
              <w:ind w:right="608"/>
              <w:spacing w:after="0" w:line="108" w:lineRule="exact"/>
              <w:rPr>
                <w:sz w:val="20"/>
                <w:szCs w:val="20"/>
                <w:color w:val="auto"/>
              </w:rPr>
            </w:pPr>
            <w:r>
              <w:rPr>
                <w:rFonts w:ascii="Arial" w:cs="Arial" w:eastAsia="Arial" w:hAnsi="Arial"/>
                <w:sz w:val="10"/>
                <w:szCs w:val="10"/>
                <w:b w:val="1"/>
                <w:bCs w:val="1"/>
                <w:color w:val="auto"/>
                <w:w w:val="94"/>
              </w:rPr>
              <w:t>October 28,</w:t>
            </w:r>
          </w:p>
        </w:tc>
        <w:tc>
          <w:tcPr>
            <w:tcW w:w="220" w:type="dxa"/>
            <w:vAlign w:val="bottom"/>
          </w:tcPr>
          <w:p>
            <w:pPr>
              <w:spacing w:after="0"/>
              <w:rPr>
                <w:sz w:val="9"/>
                <w:szCs w:val="9"/>
                <w:color w:val="auto"/>
              </w:rPr>
            </w:pPr>
          </w:p>
        </w:tc>
        <w:tc>
          <w:tcPr>
            <w:tcW w:w="13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5"/>
              </w:rPr>
              <w:t>in Year</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0"/>
                <w:szCs w:val="10"/>
                <w:b w:val="1"/>
                <w:bCs w:val="1"/>
                <w:color w:val="auto"/>
                <w:w w:val="98"/>
              </w:rPr>
              <w:t>2009</w:t>
            </w:r>
          </w:p>
        </w:tc>
        <w:tc>
          <w:tcPr>
            <w:tcW w:w="5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209"/>
              <w:spacing w:after="0"/>
              <w:rPr>
                <w:sz w:val="20"/>
                <w:szCs w:val="20"/>
                <w:color w:val="auto"/>
              </w:rPr>
            </w:pPr>
            <w:r>
              <w:rPr>
                <w:rFonts w:ascii="Arial" w:cs="Arial" w:eastAsia="Arial" w:hAnsi="Arial"/>
                <w:sz w:val="10"/>
                <w:szCs w:val="10"/>
                <w:b w:val="1"/>
                <w:bCs w:val="1"/>
                <w:color w:val="auto"/>
                <w:w w:val="98"/>
              </w:rPr>
              <w:t>2009</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100" w:type="dxa"/>
            <w:vAlign w:val="bottom"/>
            <w:gridSpan w:val="2"/>
          </w:tcPr>
          <w:p>
            <w:pPr>
              <w:spacing w:after="0"/>
              <w:rPr>
                <w:sz w:val="20"/>
                <w:szCs w:val="20"/>
                <w:color w:val="auto"/>
              </w:rPr>
            </w:pPr>
            <w:r>
              <w:rPr>
                <w:rFonts w:ascii="Arial" w:cs="Arial" w:eastAsia="Arial" w:hAnsi="Arial"/>
                <w:sz w:val="13"/>
                <w:szCs w:val="13"/>
                <w:color w:val="auto"/>
              </w:rPr>
              <w:t>Fair value of warrant liability</w:t>
            </w:r>
          </w:p>
        </w:tc>
        <w:tc>
          <w:tcPr>
            <w:tcW w:w="1640" w:type="dxa"/>
            <w:vAlign w:val="bottom"/>
          </w:tcPr>
          <w:p>
            <w:pPr>
              <w:jc w:val="right"/>
              <w:ind w:right="503"/>
              <w:spacing w:after="0"/>
              <w:rPr>
                <w:sz w:val="20"/>
                <w:szCs w:val="20"/>
                <w:color w:val="auto"/>
              </w:rPr>
            </w:pPr>
            <w:r>
              <w:rPr>
                <w:rFonts w:ascii="Arial" w:cs="Arial" w:eastAsia="Arial" w:hAnsi="Arial"/>
                <w:sz w:val="13"/>
                <w:szCs w:val="13"/>
                <w:color w:val="auto"/>
              </w:rPr>
              <w:t>$3,381,520</w:t>
            </w:r>
          </w:p>
        </w:tc>
        <w:tc>
          <w:tcPr>
            <w:tcW w:w="1540" w:type="dxa"/>
            <w:vAlign w:val="bottom"/>
            <w:gridSpan w:val="2"/>
          </w:tcPr>
          <w:p>
            <w:pPr>
              <w:jc w:val="right"/>
              <w:ind w:right="48"/>
              <w:spacing w:after="0"/>
              <w:rPr>
                <w:sz w:val="20"/>
                <w:szCs w:val="20"/>
                <w:color w:val="auto"/>
              </w:rPr>
            </w:pPr>
            <w:r>
              <w:rPr>
                <w:rFonts w:ascii="Arial" w:cs="Arial" w:eastAsia="Arial" w:hAnsi="Arial"/>
                <w:sz w:val="13"/>
                <w:szCs w:val="13"/>
                <w:color w:val="auto"/>
              </w:rPr>
              <w:t>$3,135,640</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569"/>
              <w:spacing w:after="0"/>
              <w:rPr>
                <w:sz w:val="20"/>
                <w:szCs w:val="20"/>
                <w:color w:val="auto"/>
              </w:rPr>
            </w:pPr>
            <w:r>
              <w:rPr>
                <w:rFonts w:ascii="Arial" w:cs="Arial" w:eastAsia="Arial" w:hAnsi="Arial"/>
                <w:sz w:val="13"/>
                <w:szCs w:val="13"/>
                <w:color w:val="auto"/>
              </w:rPr>
              <w:t>$245,880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3"/>
                <w:szCs w:val="13"/>
                <w:b w:val="1"/>
                <w:bCs w:val="1"/>
                <w:color w:val="auto"/>
              </w:rPr>
              <w:t>Note 14.</w:t>
            </w:r>
          </w:p>
        </w:tc>
        <w:tc>
          <w:tcPr>
            <w:tcW w:w="3420" w:type="dxa"/>
            <w:vAlign w:val="bottom"/>
          </w:tcPr>
          <w:p>
            <w:pPr>
              <w:ind w:left="240"/>
              <w:spacing w:after="0"/>
              <w:rPr>
                <w:sz w:val="20"/>
                <w:szCs w:val="20"/>
                <w:color w:val="auto"/>
              </w:rPr>
            </w:pPr>
            <w:r>
              <w:rPr>
                <w:rFonts w:ascii="Arial" w:cs="Arial" w:eastAsia="Arial" w:hAnsi="Arial"/>
                <w:sz w:val="13"/>
                <w:szCs w:val="13"/>
                <w:b w:val="1"/>
                <w:bCs w:val="1"/>
                <w:color w:val="auto"/>
              </w:rPr>
              <w:t>Common Stock</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neither declared nor paid dividends on any share of common stock and do not expect to do so in the foreseeable future.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 of common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Major transactions involving our common stock for the last three years include the following:</w:t>
      </w:r>
    </w:p>
    <w:p>
      <w:pPr>
        <w:spacing w:after="0" w:line="96" w:lineRule="exact"/>
        <w:rPr>
          <w:sz w:val="20"/>
          <w:szCs w:val="20"/>
          <w:color w:val="auto"/>
        </w:rPr>
      </w:pPr>
    </w:p>
    <w:p>
      <w:pPr>
        <w:ind w:left="1280" w:hanging="190"/>
        <w:spacing w:after="0" w:line="260"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November 2009, we sold 10,000,000 units to institutional investors at a price of $1.25 per unit, for gross proceeds of $12,500,000. The units, each of which consisted of one share of common stock and a warrant to purchase 0.4 shares of common stock at an exercise price of $1.50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$11,985,000.</w:t>
      </w:r>
    </w:p>
    <w:p>
      <w:pPr>
        <w:spacing w:after="0" w:line="59" w:lineRule="exact"/>
        <w:rPr>
          <w:rFonts w:ascii="Arial" w:cs="Arial" w:eastAsia="Arial" w:hAnsi="Arial"/>
          <w:sz w:val="13"/>
          <w:szCs w:val="13"/>
          <w:color w:val="auto"/>
        </w:rPr>
      </w:pPr>
    </w:p>
    <w:p>
      <w:pPr>
        <w:ind w:left="1280" w:right="40" w:hanging="190"/>
        <w:spacing w:after="0" w:line="303" w:lineRule="auto"/>
        <w:tabs>
          <w:tab w:leader="none" w:pos="12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On June 8, 2009, we filed a prospectus supplement that relates to the issuance and sale of up to $30,000,000 of our common stock, from time to time through a sales agreement with our sales agent Cantor Fitzgerald &amp; Co (Cantor). The prospectus is a part of a registration statement that we filed with the SEC on June 25, 2008, using a “shelf” registration process. Under this shelf registration process, we may offer to sell in one or more offerings up to a total dollar amount of $100,000,000. In 2009, we sold a total of</w:t>
      </w:r>
    </w:p>
    <w:p>
      <w:pPr>
        <w:ind w:left="1280" w:right="100"/>
        <w:spacing w:after="0" w:line="264" w:lineRule="auto"/>
        <w:rPr>
          <w:rFonts w:ascii="Arial" w:cs="Arial" w:eastAsia="Arial" w:hAnsi="Arial"/>
          <w:sz w:val="11"/>
          <w:szCs w:val="11"/>
          <w:color w:val="auto"/>
        </w:rPr>
      </w:pPr>
      <w:r>
        <w:rPr>
          <w:rFonts w:ascii="Arial" w:cs="Arial" w:eastAsia="Arial" w:hAnsi="Arial"/>
          <w:sz w:val="13"/>
          <w:szCs w:val="13"/>
          <w:color w:val="auto"/>
        </w:rPr>
        <w:t>1,830,000 shares of our common stock under this June 2009 sales agreement with Cantor at an average price per share of $1.80 for gross proceeds of approximately $3,291,000. Cantor is paid compensation equal to 3.0% of the gross proceeds pursuant to the terms of the agreement.</w:t>
      </w:r>
    </w:p>
    <w:p>
      <w:pPr>
        <w:spacing w:after="0" w:line="56" w:lineRule="exact"/>
        <w:rPr>
          <w:rFonts w:ascii="Arial" w:cs="Arial" w:eastAsia="Arial" w:hAnsi="Arial"/>
          <w:sz w:val="11"/>
          <w:szCs w:val="11"/>
          <w:color w:val="auto"/>
        </w:rPr>
      </w:pPr>
    </w:p>
    <w:p>
      <w:pPr>
        <w:ind w:left="1280" w:right="160" w:hanging="190"/>
        <w:spacing w:after="0" w:line="320"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On April 1, 2009, we acquired the operations of SCS. As consideration, we issued to SCS 2,650,000 shares of common stock and waived certain commitments of SCS to repay approximately $709,000 in principal and accrued interest owed to us. The closing price of our common stock was $1.67 per share on April 1, 2009.</w:t>
      </w:r>
    </w:p>
    <w:p>
      <w:pPr>
        <w:spacing w:after="0" w:line="25" w:lineRule="exact"/>
        <w:rPr>
          <w:rFonts w:ascii="Arial" w:cs="Arial" w:eastAsia="Arial" w:hAnsi="Arial"/>
          <w:sz w:val="12"/>
          <w:szCs w:val="12"/>
          <w:color w:val="auto"/>
        </w:rPr>
      </w:pPr>
    </w:p>
    <w:p>
      <w:pPr>
        <w:ind w:left="1280" w:hanging="190"/>
        <w:spacing w:after="0" w:line="260"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59" w:lineRule="exact"/>
        <w:rPr>
          <w:rFonts w:ascii="Arial" w:cs="Arial" w:eastAsia="Arial" w:hAnsi="Arial"/>
          <w:sz w:val="13"/>
          <w:szCs w:val="13"/>
          <w:color w:val="auto"/>
        </w:rPr>
      </w:pPr>
    </w:p>
    <w:p>
      <w:pPr>
        <w:ind w:left="1280" w:right="100" w:hanging="190"/>
        <w:spacing w:after="0" w:line="296"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 December 2006, we filed a prospectus supplement announcing the entry of a sales agreement with Cantor under which up to 10,000,000 shares may be sold from time to time under a shelf registration statement. In 2007, 2008 and 2009, we sold a total of 10,000,000 shares of our common stock under this agreement at an average price per share of $2.06 for gross proceeds of approximately $20,555,000. Cantor was paid compensation equal to 5.0% of the gross proceeds pursuant to the terms of the agreement.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Issued For Technology Licenses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license agreements with NeuroSpheres, Ltd., we obtained an exclusive patent license covering all uses of certain neural stem cell technology. We made up-front payments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NeuroSpheres of 65,000 shares of our common stock and $50,000, and will make additional cash payments as stated milestones are achieved. Effective in 2004, we began making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$50,000 payments, creditable against certain royalties. Effective 2008, as part of an indemnification agreement with NeuroSpheres, we offset the annual $50,000 obligation against litigation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costs incurred under that agreement. The estimated balance for future offsets is included under “Other assets, non-current” on our accompanying Consolidated Balance Sheets. We have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concluded that the estimated balance of $750,000 as of December 31, 2009 is a fair estimate and realizable against future milestone and royalty payments to NeuroSpheres, and that litigation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costs incurred after December 31, 2009 will be expensed as incurred. Management will reevaluate this estimate on a quarterly basis based on actual costs and other relevant factors.</w:t>
      </w:r>
    </w:p>
    <w:p>
      <w:pPr>
        <w:spacing w:after="0" w:line="100"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Pursuant to the terms of a license agreement with the California Institute of Technology (Cal Tech) and our acquisition of its wholly owned subsidiary, StemCells California, we issued 14,513 shares of common stock to Cal Tech. We issued an additional 12,800 shares of common stock to Cal Tech with a market value of approximately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$40,000 in May 2000, upon execution of an amendment adding four families of patent applications to the license agreement. In August 2002, we acquired an additional license from Cal Tech for a different technology, pursuant to which we issued 27,535 shares of our common stock with a market value of approximately $35,000. We also issued (with a market value of approximately $10,000 each year), 5,900 shares in 2009, 6,924 shares in 2008, 3,865 shares in 2007 of our common stock to Cal Tech for the issuance and annual license fees of two patents covered under this additional license.</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1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Common Stock Reserved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9160" w:type="dxa"/>
            <w:vAlign w:val="bottom"/>
            <w:gridSpan w:val="3"/>
          </w:tcPr>
          <w:p>
            <w:pPr>
              <w:ind w:left="400"/>
              <w:spacing w:after="0"/>
              <w:rPr>
                <w:sz w:val="20"/>
                <w:szCs w:val="20"/>
                <w:color w:val="auto"/>
              </w:rPr>
            </w:pPr>
            <w:r>
              <w:rPr>
                <w:rFonts w:ascii="Arial" w:cs="Arial" w:eastAsia="Arial" w:hAnsi="Arial"/>
                <w:sz w:val="13"/>
                <w:szCs w:val="13"/>
                <w:color w:val="auto"/>
                <w:w w:val="92"/>
              </w:rPr>
              <w:t>We reserved the following shares of common stock for the exercise of options, warrants and other contingent issuances of common stock, as of December 31, 2009:</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90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share based compensation</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13,974,080</w:t>
            </w:r>
          </w:p>
        </w:tc>
      </w:tr>
      <w:tr>
        <w:trPr>
          <w:trHeight w:val="157"/>
        </w:trPr>
        <w:tc>
          <w:tcPr>
            <w:tcW w:w="9160" w:type="dxa"/>
            <w:vAlign w:val="bottom"/>
            <w:gridSpan w:val="3"/>
          </w:tcPr>
          <w:p>
            <w:pPr>
              <w:spacing w:after="0"/>
              <w:rPr>
                <w:sz w:val="20"/>
                <w:szCs w:val="20"/>
                <w:color w:val="auto"/>
              </w:rPr>
            </w:pPr>
            <w:r>
              <w:rPr>
                <w:rFonts w:ascii="Arial" w:cs="Arial" w:eastAsia="Arial" w:hAnsi="Arial"/>
                <w:sz w:val="13"/>
                <w:szCs w:val="13"/>
                <w:color w:val="auto"/>
              </w:rPr>
              <w:t>Shares reserved for warrants related to financing transactions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14,344,828</w:t>
            </w:r>
          </w:p>
        </w:tc>
      </w:tr>
      <w:tr>
        <w:trPr>
          <w:trHeight w:val="157"/>
        </w:trPr>
        <w:tc>
          <w:tcPr>
            <w:tcW w:w="9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license agreements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79,463</w:t>
            </w: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Shares reserved for possible future issuances under an effective shelf registration</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41,389,496</w:t>
            </w:r>
          </w:p>
        </w:tc>
      </w:tr>
      <w:tr>
        <w:trPr>
          <w:trHeight w:val="20"/>
        </w:trPr>
        <w:tc>
          <w:tcPr>
            <w:tcW w:w="6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69,787,867</w:t>
            </w:r>
          </w:p>
        </w:tc>
      </w:tr>
      <w:tr>
        <w:trPr>
          <w:trHeight w:val="333"/>
        </w:trPr>
        <w:tc>
          <w:tcPr>
            <w:tcW w:w="680" w:type="dxa"/>
            <w:vAlign w:val="bottom"/>
          </w:tcPr>
          <w:p>
            <w:pPr>
              <w:spacing w:after="0"/>
              <w:rPr>
                <w:sz w:val="20"/>
                <w:szCs w:val="20"/>
                <w:color w:val="auto"/>
              </w:rPr>
            </w:pPr>
            <w:r>
              <w:rPr>
                <w:rFonts w:ascii="Arial" w:cs="Arial" w:eastAsia="Arial" w:hAnsi="Arial"/>
                <w:sz w:val="13"/>
                <w:szCs w:val="13"/>
                <w:b w:val="1"/>
                <w:bCs w:val="1"/>
                <w:color w:val="auto"/>
              </w:rPr>
              <w:t>Note 15.</w:t>
            </w:r>
          </w:p>
        </w:tc>
        <w:tc>
          <w:tcPr>
            <w:tcW w:w="8320" w:type="dxa"/>
            <w:vAlign w:val="bottom"/>
          </w:tcPr>
          <w:p>
            <w:pPr>
              <w:ind w:left="240"/>
              <w:spacing w:after="0"/>
              <w:rPr>
                <w:sz w:val="20"/>
                <w:szCs w:val="20"/>
                <w:color w:val="auto"/>
              </w:rPr>
            </w:pPr>
            <w:r>
              <w:rPr>
                <w:rFonts w:ascii="Arial" w:cs="Arial" w:eastAsia="Arial" w:hAnsi="Arial"/>
                <w:sz w:val="13"/>
                <w:szCs w:val="13"/>
                <w:b w:val="1"/>
                <w:bCs w:val="1"/>
                <w:color w:val="auto"/>
              </w:rPr>
              <w:t>Deferred Revenue</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Revenue related to Licensing Agreement</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August 2006, we entered an agreement with Stem Cell Therapeutics (SCT), a Canadian corporation, granting it a non-exclusive, royalty-bearing license to use several of our patents for treating specified diseases of the central nervous system; the grant does not include any rights to cell transplantation. SCT granted StemCells a royalty-free non-exclusive license to certain of its patents for research and development and a royalty-bearing non-exclusive for certain commercial purposes. SCT paid an up-front license fee; the license also provides for other payments including annual maintenance, milestones, and royalties. The up-front license fee is being amortized and recognized as revenue over a period of 12 years. At December 31, 2009, the unamortized amount of deferred revenue related to this agreement was approximately $174,000.</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Revenue related to grants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acquiring the operations of SCS in April 2009, we acquired research programs that were funded by grants awarded by the European Union. The amount of deferred revenue to be recognized for these grants at December 31, 2009 was approximately $76,000.</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16.</w:t>
      </w:r>
      <w:r>
        <w:rPr>
          <w:sz w:val="20"/>
          <w:szCs w:val="20"/>
          <w:color w:val="auto"/>
        </w:rPr>
        <w:tab/>
      </w:r>
      <w:r>
        <w:rPr>
          <w:rFonts w:ascii="Arial" w:cs="Arial" w:eastAsia="Arial" w:hAnsi="Arial"/>
          <w:sz w:val="12"/>
          <w:szCs w:val="12"/>
          <w:b w:val="1"/>
          <w:bCs w:val="1"/>
          <w:color w:val="auto"/>
        </w:rPr>
        <w:t>401(k) Plan</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401(k) Plan covers substantially all of our employees. Participants in the plan are permitted to contribute a fixed percentage of their total annual cash compensation to the plan (subject to the maximum employee contribution defined by law). We match 50% of employee contributions, up to a maximum of 6% of each employee’s eligible compensation in the form of shares of common stock. We recorded an expense of $168,000 in 2009, $181,000 in 2008, and $179,000 in 2007 for our contributions under our 401(k) Plan.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20" w:type="dxa"/>
            <w:vAlign w:val="bottom"/>
          </w:tcPr>
          <w:p>
            <w:pPr>
              <w:spacing w:after="0"/>
              <w:rPr>
                <w:sz w:val="20"/>
                <w:szCs w:val="20"/>
                <w:color w:val="auto"/>
              </w:rPr>
            </w:pPr>
            <w:r>
              <w:rPr>
                <w:rFonts w:ascii="Arial" w:cs="Arial" w:eastAsia="Arial" w:hAnsi="Arial"/>
                <w:sz w:val="13"/>
                <w:szCs w:val="13"/>
                <w:b w:val="1"/>
                <w:bCs w:val="1"/>
                <w:color w:val="auto"/>
              </w:rPr>
              <w:t>Note 17.</w:t>
            </w:r>
          </w:p>
        </w:tc>
        <w:tc>
          <w:tcPr>
            <w:tcW w:w="6480" w:type="dxa"/>
            <w:vAlign w:val="bottom"/>
          </w:tcPr>
          <w:p>
            <w:pPr>
              <w:ind w:left="100"/>
              <w:spacing w:after="0"/>
              <w:rPr>
                <w:sz w:val="20"/>
                <w:szCs w:val="20"/>
                <w:color w:val="auto"/>
              </w:rPr>
            </w:pPr>
            <w:r>
              <w:rPr>
                <w:rFonts w:ascii="Arial" w:cs="Arial" w:eastAsia="Arial" w:hAnsi="Arial"/>
                <w:sz w:val="13"/>
                <w:szCs w:val="13"/>
                <w:b w:val="1"/>
                <w:bCs w:val="1"/>
                <w:color w:val="auto"/>
              </w:rPr>
              <w:t>Income Taxes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300" w:type="dxa"/>
            <w:vAlign w:val="bottom"/>
            <w:gridSpan w:val="2"/>
          </w:tcPr>
          <w:p>
            <w:pPr>
              <w:ind w:left="400"/>
              <w:spacing w:after="0"/>
              <w:rPr>
                <w:sz w:val="20"/>
                <w:szCs w:val="20"/>
                <w:color w:val="auto"/>
              </w:rPr>
            </w:pPr>
            <w:r>
              <w:rPr>
                <w:rFonts w:ascii="Arial" w:cs="Arial" w:eastAsia="Arial" w:hAnsi="Arial"/>
                <w:sz w:val="13"/>
                <w:szCs w:val="13"/>
                <w:color w:val="auto"/>
              </w:rPr>
              <w:t>Loss before income taxes is attributed to the following geographic locations for the years ended December 31,</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8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r>
      <w:tr>
        <w:trPr>
          <w:trHeight w:val="29"/>
        </w:trPr>
        <w:tc>
          <w:tcPr>
            <w:tcW w:w="8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64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25,180,792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29,086,777</w:t>
            </w: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Foreign</w:t>
            </w:r>
          </w:p>
        </w:tc>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1,845,619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34"/>
        </w:trPr>
        <w:tc>
          <w:tcPr>
            <w:tcW w:w="8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loss before taxes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27,026,411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29,086,777</w:t>
            </w:r>
          </w:p>
        </w:tc>
      </w:tr>
    </w:tbl>
    <w:p>
      <w:pPr>
        <w:spacing w:after="0" w:line="8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follow authoritative guidance regarding accounting for uncertainty in income taxes, which prescribes a recognition threshold a tax position is required to meet before being recognized in the financial statements. As of December 31,2009 and 2008, we have not recorded any unrecognized tax benefits. Deferred income taxes reflect the tax effects of temporary differences between the carrying amounts of assets and liabilities for financial reporting purposes and the amounts used for income tax purposes. Significant components of our deferred tax assets and liabilities at December 31 are as follows: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Capitalized research and development costs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44,748,000</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38,670,000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operating losses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47,979,000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42,247,000</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Research and development credits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7,129,000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6,671,000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wind down cost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1,780,000</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723,000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465,000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Impaired asset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833,000</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Fixed assets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131,000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327,000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103,055,000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91,124,000</w:t>
            </w: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w:t>
            </w: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(102,280,000)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(91,124,000)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assets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0" w:type="dxa"/>
            <w:vAlign w:val="bottom"/>
            <w:vMerge w:val="continue"/>
          </w:tcPr>
          <w:p>
            <w:pPr>
              <w:spacing w:after="0"/>
              <w:rPr>
                <w:sz w:val="14"/>
                <w:szCs w:val="1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775,000</w:t>
            </w:r>
          </w:p>
        </w:tc>
        <w:tc>
          <w:tcPr>
            <w:tcW w:w="400" w:type="dxa"/>
            <w:vAlign w:val="bottom"/>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Intangible assets</w:t>
            </w:r>
          </w:p>
        </w:tc>
        <w:tc>
          <w:tcPr>
            <w:tcW w:w="280" w:type="dxa"/>
            <w:vAlign w:val="bottom"/>
          </w:tcPr>
          <w:p>
            <w:pPr>
              <w:spacing w:after="0"/>
              <w:rPr>
                <w:sz w:val="13"/>
                <w:szCs w:val="13"/>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(775,000)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liability</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(775,000)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2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200" w:type="dxa"/>
            <w:vAlign w:val="bottom"/>
            <w:vMerge w:val="continue"/>
          </w:tcPr>
          <w:p>
            <w:pPr>
              <w:spacing w:after="0"/>
              <w:rPr>
                <w:sz w:val="14"/>
                <w:szCs w:val="1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$11,156,000 in 2009, $8,002,000 in 2008, and $8,632,000 in 2007.</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had the following:</w:t>
      </w:r>
    </w:p>
    <w:p>
      <w:pPr>
        <w:spacing w:after="0" w:line="96"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Net operating loss carry forwards for federal income tax purposes of approximately $126,338,000 which expire in the years 2010 through 2029.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Federal research and development tax credits of approximately $5,025,000 which expire in the years 2010 through 2029.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Net operating loss carry forwards for state income tax purposes of approximately $36,212,000 which expire in the years 2010 through 2030.</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State research and development tax credits of approximately $3,189,000 ($2,105,000 net of federal tax effect) which do not expire.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Net operating loss carryforwards in foreign jurisdictions of approximately $10,185,000 which do not expire.</w:t>
      </w:r>
    </w:p>
    <w:p>
      <w:pPr>
        <w:spacing w:after="0" w:line="96"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Utilization of the federal and state net operating loss and federal and state research and development tax credit carryforwards may be subject to annual limitations due to the ownership percentage change provisions of the Internal Revenue Code of 1986 and similar state provisions. The annual limitations may result in the inability to fully offset future annual taxable income and could result in the expiration of the net operating loss carryforwards before utilization. Utilization of foreign net operating loss carryforwards may be limited or disallowed under similar foreign income tax provisions.</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effective tax rate as a percentage of income before income taxes differs from the statutory federal income tax rate (when applied to income before income taxes) for the years ended December 31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44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46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(benefit)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income tax (benefit) rate</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resulting from:</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Expenses not deductible for taxes</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4.9</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color w:val="auto"/>
              </w:rPr>
              <w:t>5.8</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in valuation allowance</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34.2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tax (benefit) rate</w:t>
            </w: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Our policy is to recognize interest and penalties related to income tax matters in income tax expense. Because we have no tax liabilities, no tax-related interest and penalties have been expensed in our consolidated statements of operations during 2009 or accrued as a liability in our consolidated balance sheets at December 31, 2009. We do not anticipate any significant changes to total unrecognized tax benefits as a result of settlement of audits or the expiration of statute of limitations within the next twelve months.</w:t>
      </w:r>
    </w:p>
    <w:p>
      <w:pPr>
        <w:spacing w:after="0" w:line="5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file U.S. federal income tax returns, as well as tax returns with the State of California and the State of Rhode Island. Due to the carry forward of unutilized net operating losses and research and development credits, our federal tax returns from 1995 forward remain subject to examination by the Internal Revenue Service, and our State of California tax returns from 2000 forward and our State of Rhode Island tax returns from 2005 forward remain subject to examination by the respective state tax authorities. We file income tax returns in various foreign jurisdictions. Tax years from 2007 forward remain subject to examination by the appropriate foreign governmental agencies.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18.</w:t>
      </w:r>
      <w:r>
        <w:rPr>
          <w:sz w:val="20"/>
          <w:szCs w:val="20"/>
          <w:color w:val="auto"/>
        </w:rPr>
        <w:tab/>
      </w:r>
      <w:r>
        <w:rPr>
          <w:rFonts w:ascii="Arial" w:cs="Arial" w:eastAsia="Arial" w:hAnsi="Arial"/>
          <w:sz w:val="11"/>
          <w:szCs w:val="11"/>
          <w:b w:val="1"/>
          <w:bCs w:val="1"/>
          <w:color w:val="auto"/>
        </w:rPr>
        <w:t>Subsequent Events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February 2010, we sold in aggregate 830,500 shares of our common stock under our June 2009 sales agreement with Cantor, at an average price of $1.23 per share for gross proceeds of approximately $1,024,000. Cantor is paid compensation equal to 3.0% of the gross proceeds pursuant to the terms of the agreement.</w:t>
      </w:r>
    </w:p>
    <w:p>
      <w:pPr>
        <w:spacing w:after="0" w:line="5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QUARTERLY FINANCIAL DATA (unaudited)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2009 Quarter Ended</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tcPr>
          <w:p>
            <w:pPr>
              <w:ind w:left="260"/>
              <w:spacing w:after="0" w:line="98" w:lineRule="exact"/>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4"/>
          </w:tcPr>
          <w:p>
            <w:pPr>
              <w:ind w:left="320"/>
              <w:spacing w:after="0" w:line="98"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8"/>
                <w:szCs w:val="8"/>
                <w:color w:val="auto"/>
              </w:rPr>
            </w:pPr>
          </w:p>
        </w:tc>
        <w:tc>
          <w:tcPr>
            <w:tcW w:w="600" w:type="dxa"/>
            <w:vAlign w:val="bottom"/>
          </w:tcPr>
          <w:p>
            <w:pPr>
              <w:jc w:val="right"/>
              <w:ind w:right="197"/>
              <w:spacing w:after="0" w:line="98" w:lineRule="exact"/>
              <w:rPr>
                <w:sz w:val="20"/>
                <w:szCs w:val="20"/>
                <w:color w:val="auto"/>
              </w:rPr>
            </w:pPr>
            <w:r>
              <w:rPr>
                <w:rFonts w:ascii="Arial" w:cs="Arial" w:eastAsia="Arial" w:hAnsi="Arial"/>
                <w:sz w:val="10"/>
                <w:szCs w:val="10"/>
                <w:b w:val="1"/>
                <w:bCs w:val="1"/>
                <w:color w:val="auto"/>
                <w:w w:val="85"/>
              </w:rPr>
              <w:t>June 30</w:t>
            </w:r>
          </w:p>
        </w:tc>
        <w:tc>
          <w:tcPr>
            <w:tcW w:w="260" w:type="dxa"/>
            <w:vAlign w:val="bottom"/>
          </w:tcPr>
          <w:p>
            <w:pPr>
              <w:spacing w:after="0"/>
              <w:rPr>
                <w:sz w:val="8"/>
                <w:szCs w:val="8"/>
                <w:color w:val="auto"/>
              </w:rPr>
            </w:pPr>
          </w:p>
        </w:tc>
        <w:tc>
          <w:tcPr>
            <w:tcW w:w="88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March 31</w:t>
            </w:r>
          </w:p>
        </w:tc>
      </w:tr>
      <w:tr>
        <w:trPr>
          <w:trHeight w:val="131"/>
        </w:trPr>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 except per</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89"/>
              </w:rPr>
              <w:t>share</w:t>
            </w:r>
          </w:p>
        </w:tc>
        <w:tc>
          <w:tcPr>
            <w:tcW w:w="880" w:type="dxa"/>
            <w:vAlign w:val="bottom"/>
            <w:tcBorders>
              <w:top w:val="single" w:sz="8" w:color="auto"/>
            </w:tcBorders>
            <w:gridSpan w:val="3"/>
          </w:tcPr>
          <w:p>
            <w:pPr>
              <w:jc w:val="right"/>
              <w:ind w:right="337"/>
              <w:spacing w:after="0"/>
              <w:rPr>
                <w:sz w:val="20"/>
                <w:szCs w:val="20"/>
                <w:color w:val="auto"/>
              </w:rPr>
            </w:pPr>
            <w:r>
              <w:rPr>
                <w:rFonts w:ascii="Arial" w:cs="Arial" w:eastAsia="Arial" w:hAnsi="Arial"/>
                <w:sz w:val="10"/>
                <w:szCs w:val="10"/>
                <w:b w:val="1"/>
                <w:bCs w:val="1"/>
                <w:color w:val="auto"/>
              </w:rPr>
              <w:t>amounts)</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revenue(1)</w:t>
            </w: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418</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253</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57</w:t>
            </w: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Cost of Sales(1)</w:t>
            </w:r>
          </w:p>
        </w:tc>
        <w:tc>
          <w:tcPr>
            <w:tcW w:w="380" w:type="dxa"/>
            <w:vAlign w:val="bottom"/>
          </w:tcPr>
          <w:p>
            <w:pPr>
              <w:spacing w:after="0"/>
              <w:rPr>
                <w:sz w:val="13"/>
                <w:szCs w:val="13"/>
                <w:color w:val="auto"/>
              </w:rPr>
            </w:pPr>
          </w:p>
        </w:tc>
        <w:tc>
          <w:tcPr>
            <w:tcW w:w="720" w:type="dxa"/>
            <w:vAlign w:val="bottom"/>
          </w:tcPr>
          <w:p>
            <w:pPr>
              <w:jc w:val="right"/>
              <w:ind w:right="314"/>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397"/>
              <w:spacing w:after="0"/>
              <w:rPr>
                <w:sz w:val="20"/>
                <w:szCs w:val="20"/>
                <w:color w:val="auto"/>
              </w:rPr>
            </w:pPr>
            <w:r>
              <w:rPr>
                <w:rFonts w:ascii="Arial" w:cs="Arial" w:eastAsia="Arial" w:hAnsi="Arial"/>
                <w:sz w:val="13"/>
                <w:szCs w:val="13"/>
                <w:color w:val="auto"/>
              </w:rPr>
              <w:t>141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4"/>
              <w:spacing w:after="0"/>
              <w:rPr>
                <w:sz w:val="20"/>
                <w:szCs w:val="20"/>
                <w:color w:val="auto"/>
              </w:rPr>
            </w:pPr>
            <w:r>
              <w:rPr>
                <w:rFonts w:ascii="Arial" w:cs="Arial" w:eastAsia="Arial" w:hAnsi="Arial"/>
                <w:sz w:val="13"/>
                <w:szCs w:val="13"/>
                <w:color w:val="auto"/>
              </w:rPr>
              <w:t>—</w:t>
            </w: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98"/>
              </w:rPr>
              <w:t>8,438</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8"/>
              </w:rPr>
              <w:t>7,095</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98"/>
              </w:rPr>
              <w:t>7,597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98"/>
              </w:rPr>
              <w:t>6,980</w:t>
            </w: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Other income (expense), net(2)</w:t>
            </w:r>
          </w:p>
        </w:tc>
        <w:tc>
          <w:tcPr>
            <w:tcW w:w="380" w:type="dxa"/>
            <w:vAlign w:val="bottom"/>
          </w:tcPr>
          <w:p>
            <w:pPr>
              <w:spacing w:after="0"/>
              <w:rPr>
                <w:sz w:val="13"/>
                <w:szCs w:val="13"/>
                <w:color w:val="auto"/>
              </w:rPr>
            </w:pPr>
          </w:p>
        </w:tc>
        <w:tc>
          <w:tcPr>
            <w:tcW w:w="720" w:type="dxa"/>
            <w:vAlign w:val="bottom"/>
          </w:tcPr>
          <w:p>
            <w:pPr>
              <w:jc w:val="right"/>
              <w:ind w:right="314"/>
              <w:spacing w:after="0"/>
              <w:rPr>
                <w:sz w:val="20"/>
                <w:szCs w:val="20"/>
                <w:color w:val="auto"/>
              </w:rPr>
            </w:pPr>
            <w:r>
              <w:rPr>
                <w:rFonts w:ascii="Arial" w:cs="Arial" w:eastAsia="Arial" w:hAnsi="Arial"/>
                <w:sz w:val="13"/>
                <w:szCs w:val="13"/>
                <w:color w:val="auto"/>
                <w:w w:val="98"/>
              </w:rPr>
              <w:t>2,847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397"/>
              <w:spacing w:after="0"/>
              <w:rPr>
                <w:sz w:val="20"/>
                <w:szCs w:val="20"/>
                <w:color w:val="auto"/>
              </w:rPr>
            </w:pPr>
            <w:r>
              <w:rPr>
                <w:rFonts w:ascii="Arial" w:cs="Arial" w:eastAsia="Arial" w:hAnsi="Arial"/>
                <w:sz w:val="13"/>
                <w:szCs w:val="13"/>
                <w:color w:val="auto"/>
                <w:w w:val="98"/>
              </w:rPr>
              <w:t>1,838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87"/>
              </w:rPr>
              <w:t>(2,358)</w:t>
            </w: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loss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92"/>
              </w:rPr>
              <w:t>(5,234)</w:t>
            </w:r>
          </w:p>
        </w:tc>
        <w:tc>
          <w:tcPr>
            <w:tcW w:w="1560" w:type="dxa"/>
            <w:vAlign w:val="bottom"/>
            <w:gridSpan w:val="5"/>
            <w:shd w:val="clear" w:color="auto" w:fill="CCEEFF"/>
          </w:tcPr>
          <w:p>
            <w:pPr>
              <w:jc w:val="right"/>
              <w:ind w:right="357"/>
              <w:spacing w:after="0"/>
              <w:rPr>
                <w:sz w:val="20"/>
                <w:szCs w:val="20"/>
                <w:color w:val="auto"/>
              </w:rPr>
            </w:pPr>
            <w:r>
              <w:rPr>
                <w:rFonts w:ascii="Arial" w:cs="Arial" w:eastAsia="Arial" w:hAnsi="Arial"/>
                <w:sz w:val="13"/>
                <w:szCs w:val="13"/>
                <w:color w:val="auto"/>
              </w:rPr>
              <w:t>(5,145)</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7"/>
              </w:rPr>
              <w:t>(7,366)</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7"/>
              </w:rPr>
              <w:t>(9,282)</w:t>
            </w:r>
          </w:p>
        </w:tc>
      </w:tr>
      <w:tr>
        <w:trPr>
          <w:trHeight w:val="165"/>
        </w:trPr>
        <w:tc>
          <w:tcPr>
            <w:tcW w:w="5040" w:type="dxa"/>
            <w:vAlign w:val="bottom"/>
            <w:gridSpan w:val="3"/>
          </w:tcPr>
          <w:p>
            <w:pPr>
              <w:spacing w:after="0"/>
              <w:rPr>
                <w:sz w:val="20"/>
                <w:szCs w:val="20"/>
                <w:color w:val="auto"/>
              </w:rPr>
            </w:pPr>
            <w:r>
              <w:rPr>
                <w:rFonts w:ascii="Arial" w:cs="Arial" w:eastAsia="Arial" w:hAnsi="Arial"/>
                <w:sz w:val="13"/>
                <w:szCs w:val="13"/>
                <w:color w:val="auto"/>
              </w:rPr>
              <w:t>Basic and diluted net loss per share</w:t>
            </w: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254"/>
              <w:spacing w:after="0"/>
              <w:rPr>
                <w:sz w:val="20"/>
                <w:szCs w:val="20"/>
                <w:color w:val="auto"/>
              </w:rPr>
            </w:pPr>
            <w:r>
              <w:rPr>
                <w:rFonts w:ascii="Arial" w:cs="Arial" w:eastAsia="Arial" w:hAnsi="Arial"/>
                <w:sz w:val="13"/>
                <w:szCs w:val="13"/>
                <w:color w:val="auto"/>
              </w:rPr>
              <w:t>(0.05)</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7"/>
              <w:spacing w:after="0"/>
              <w:rPr>
                <w:sz w:val="20"/>
                <w:szCs w:val="20"/>
                <w:color w:val="auto"/>
              </w:rPr>
            </w:pPr>
            <w:r>
              <w:rPr>
                <w:rFonts w:ascii="Arial" w:cs="Arial" w:eastAsia="Arial" w:hAnsi="Arial"/>
                <w:sz w:val="13"/>
                <w:szCs w:val="13"/>
                <w:color w:val="auto"/>
              </w:rPr>
              <w:t>(0.05)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center"/>
              <w:ind w:left="1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7"/>
              <w:spacing w:after="0"/>
              <w:rPr>
                <w:sz w:val="20"/>
                <w:szCs w:val="20"/>
                <w:color w:val="auto"/>
              </w:rPr>
            </w:pPr>
            <w:r>
              <w:rPr>
                <w:rFonts w:ascii="Arial" w:cs="Arial" w:eastAsia="Arial" w:hAnsi="Arial"/>
                <w:sz w:val="13"/>
                <w:szCs w:val="13"/>
                <w:color w:val="auto"/>
              </w:rPr>
              <w:t>(0.07)</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(0.10)</w:t>
            </w:r>
          </w:p>
        </w:tc>
      </w:tr>
      <w:tr>
        <w:trPr>
          <w:trHeight w:val="278"/>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0"/>
                <w:szCs w:val="10"/>
                <w:b w:val="1"/>
                <w:bCs w:val="1"/>
                <w:color w:val="auto"/>
              </w:rPr>
              <w:t>2008 Quarter Ended</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tcPr>
          <w:p>
            <w:pPr>
              <w:ind w:left="260"/>
              <w:spacing w:after="0" w:line="98" w:lineRule="exact"/>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4"/>
          </w:tcPr>
          <w:p>
            <w:pPr>
              <w:ind w:left="320"/>
              <w:spacing w:after="0" w:line="98"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8"/>
                <w:szCs w:val="8"/>
                <w:color w:val="auto"/>
              </w:rPr>
            </w:pPr>
          </w:p>
        </w:tc>
        <w:tc>
          <w:tcPr>
            <w:tcW w:w="600" w:type="dxa"/>
            <w:vAlign w:val="bottom"/>
          </w:tcPr>
          <w:p>
            <w:pPr>
              <w:jc w:val="right"/>
              <w:ind w:right="197"/>
              <w:spacing w:after="0" w:line="98" w:lineRule="exact"/>
              <w:rPr>
                <w:sz w:val="20"/>
                <w:szCs w:val="20"/>
                <w:color w:val="auto"/>
              </w:rPr>
            </w:pPr>
            <w:r>
              <w:rPr>
                <w:rFonts w:ascii="Arial" w:cs="Arial" w:eastAsia="Arial" w:hAnsi="Arial"/>
                <w:sz w:val="10"/>
                <w:szCs w:val="10"/>
                <w:b w:val="1"/>
                <w:bCs w:val="1"/>
                <w:color w:val="auto"/>
                <w:w w:val="85"/>
              </w:rPr>
              <w:t>June 30</w:t>
            </w:r>
          </w:p>
        </w:tc>
        <w:tc>
          <w:tcPr>
            <w:tcW w:w="260" w:type="dxa"/>
            <w:vAlign w:val="bottom"/>
          </w:tcPr>
          <w:p>
            <w:pPr>
              <w:spacing w:after="0"/>
              <w:rPr>
                <w:sz w:val="8"/>
                <w:szCs w:val="8"/>
                <w:color w:val="auto"/>
              </w:rPr>
            </w:pPr>
          </w:p>
        </w:tc>
        <w:tc>
          <w:tcPr>
            <w:tcW w:w="88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March 31</w:t>
            </w:r>
          </w:p>
        </w:tc>
      </w:tr>
      <w:tr>
        <w:trPr>
          <w:trHeight w:val="131"/>
        </w:trPr>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 except per</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89"/>
              </w:rPr>
              <w:t>share</w:t>
            </w:r>
          </w:p>
        </w:tc>
        <w:tc>
          <w:tcPr>
            <w:tcW w:w="880" w:type="dxa"/>
            <w:vAlign w:val="bottom"/>
            <w:tcBorders>
              <w:top w:val="single" w:sz="8" w:color="auto"/>
            </w:tcBorders>
            <w:gridSpan w:val="3"/>
          </w:tcPr>
          <w:p>
            <w:pPr>
              <w:jc w:val="center"/>
              <w:ind w:right="317"/>
              <w:spacing w:after="0"/>
              <w:rPr>
                <w:sz w:val="20"/>
                <w:szCs w:val="20"/>
                <w:color w:val="auto"/>
              </w:rPr>
            </w:pPr>
            <w:r>
              <w:rPr>
                <w:rFonts w:ascii="Arial" w:cs="Arial" w:eastAsia="Arial" w:hAnsi="Arial"/>
                <w:sz w:val="10"/>
                <w:szCs w:val="10"/>
                <w:b w:val="1"/>
                <w:bCs w:val="1"/>
                <w:color w:val="auto"/>
                <w:w w:val="93"/>
              </w:rPr>
              <w:t>amounts)</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revenue</w:t>
            </w:r>
          </w:p>
        </w:tc>
        <w:tc>
          <w:tcPr>
            <w:tcW w:w="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172</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17</w:t>
            </w: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Operating expenses</w:t>
            </w:r>
          </w:p>
        </w:tc>
        <w:tc>
          <w:tcPr>
            <w:tcW w:w="380" w:type="dxa"/>
            <w:vAlign w:val="bottom"/>
          </w:tcPr>
          <w:p>
            <w:pPr>
              <w:spacing w:after="0"/>
              <w:rPr>
                <w:sz w:val="13"/>
                <w:szCs w:val="13"/>
                <w:color w:val="auto"/>
              </w:rPr>
            </w:pPr>
          </w:p>
        </w:tc>
        <w:tc>
          <w:tcPr>
            <w:tcW w:w="720" w:type="dxa"/>
            <w:vAlign w:val="bottom"/>
          </w:tcPr>
          <w:p>
            <w:pPr>
              <w:jc w:val="right"/>
              <w:ind w:right="274"/>
              <w:spacing w:after="0"/>
              <w:rPr>
                <w:sz w:val="20"/>
                <w:szCs w:val="20"/>
                <w:color w:val="auto"/>
              </w:rPr>
            </w:pPr>
            <w:r>
              <w:rPr>
                <w:rFonts w:ascii="Arial" w:cs="Arial" w:eastAsia="Arial" w:hAnsi="Arial"/>
                <w:sz w:val="13"/>
                <w:szCs w:val="13"/>
                <w:color w:val="auto"/>
              </w:rPr>
              <w:t>7,270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397"/>
              <w:spacing w:after="0"/>
              <w:rPr>
                <w:sz w:val="20"/>
                <w:szCs w:val="20"/>
                <w:color w:val="auto"/>
              </w:rPr>
            </w:pPr>
            <w:r>
              <w:rPr>
                <w:rFonts w:ascii="Arial" w:cs="Arial" w:eastAsia="Arial" w:hAnsi="Arial"/>
                <w:sz w:val="13"/>
                <w:szCs w:val="13"/>
                <w:color w:val="auto"/>
                <w:w w:val="98"/>
              </w:rPr>
              <w:t>5,857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color w:val="auto"/>
                <w:w w:val="98"/>
              </w:rPr>
              <w:t>6,929</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4"/>
              <w:spacing w:after="0"/>
              <w:rPr>
                <w:sz w:val="20"/>
                <w:szCs w:val="20"/>
                <w:color w:val="auto"/>
              </w:rPr>
            </w:pPr>
            <w:r>
              <w:rPr>
                <w:rFonts w:ascii="Arial" w:cs="Arial" w:eastAsia="Arial" w:hAnsi="Arial"/>
                <w:sz w:val="13"/>
                <w:szCs w:val="13"/>
                <w:color w:val="auto"/>
                <w:w w:val="98"/>
              </w:rPr>
              <w:t>6,914</w:t>
            </w: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income, net(3)</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w w:val="97"/>
              </w:rPr>
              <w:t>(2,985)</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101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183</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352</w:t>
            </w: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Net loss</w:t>
            </w:r>
          </w:p>
        </w:tc>
        <w:tc>
          <w:tcPr>
            <w:tcW w:w="1100" w:type="dxa"/>
            <w:vAlign w:val="bottom"/>
            <w:gridSpan w:val="2"/>
          </w:tcPr>
          <w:p>
            <w:pPr>
              <w:jc w:val="right"/>
              <w:ind w:right="234"/>
              <w:spacing w:after="0"/>
              <w:rPr>
                <w:sz w:val="20"/>
                <w:szCs w:val="20"/>
                <w:color w:val="auto"/>
              </w:rPr>
            </w:pPr>
            <w:r>
              <w:rPr>
                <w:rFonts w:ascii="Arial" w:cs="Arial" w:eastAsia="Arial" w:hAnsi="Arial"/>
                <w:sz w:val="13"/>
                <w:szCs w:val="13"/>
                <w:color w:val="auto"/>
              </w:rPr>
              <w:t>(10,082)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357"/>
              <w:spacing w:after="0"/>
              <w:rPr>
                <w:sz w:val="20"/>
                <w:szCs w:val="20"/>
                <w:color w:val="auto"/>
              </w:rPr>
            </w:pPr>
            <w:r>
              <w:rPr>
                <w:rFonts w:ascii="Arial" w:cs="Arial" w:eastAsia="Arial" w:hAnsi="Arial"/>
                <w:sz w:val="13"/>
                <w:szCs w:val="13"/>
                <w:color w:val="auto"/>
                <w:w w:val="87"/>
              </w:rPr>
              <w:t>(5,744)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color w:val="auto"/>
                <w:w w:val="87"/>
              </w:rPr>
              <w:t>(6,716)</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87"/>
              </w:rPr>
              <w:t>(6,545)</w:t>
            </w: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(0.11)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(0.07)</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(0.08)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(0.09)</w:t>
            </w:r>
          </w:p>
        </w:tc>
      </w:tr>
      <w:tr>
        <w:trPr>
          <w:trHeight w:val="98"/>
        </w:trPr>
        <w:tc>
          <w:tcPr>
            <w:tcW w:w="13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of April 1, 2009, includes product sales derived from the media and reagent technology owned through our acquisition of SCS operations — see Note 5.</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Other expense, net, includes in aggregate for all quarters of 2009 a gain of $1,898,603 relating to the change in fair value of our warrant liability — see Note 13.</w:t>
      </w:r>
    </w:p>
    <w:p>
      <w:pPr>
        <w:spacing w:after="0" w:line="47" w:lineRule="exact"/>
        <w:rPr>
          <w:rFonts w:ascii="Arial" w:cs="Arial" w:eastAsia="Arial" w:hAnsi="Arial"/>
          <w:sz w:val="13"/>
          <w:szCs w:val="13"/>
          <w:color w:val="auto"/>
        </w:rPr>
      </w:pPr>
    </w:p>
    <w:p>
      <w:pPr>
        <w:ind w:left="1000" w:right="140" w:hanging="259"/>
        <w:spacing w:after="0" w:line="276"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Other expense, net, for the quarter ended December 31, 2009, includes a loss of $937,241 relating to the change in fair value of our warrant liability — see Note 13, and a $2,082,894 other than temporary impairment of marketable securities — see Note 2.</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1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71"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The Company’s management, with the participation of its chief executive officer and chief financial officer, evaluated the effectiveness of the design and operation of its disclosure controls and procedures (as defined in Rules 13a-15(e) and 15d-15(e) under the Securities Exchange Act of 1934, as amended) as of the end of the period covered by this annual report. Based on this evaluation, the Company’s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have been no changes in the Company’s internal control over financial reporting during the quarter ended December 31, 2009, that have materially affected, or are reasonably likely to materially affect, the Company’s internal control over financial reporting.</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The Company’s management, including its principal executive officer and principal financial officer, assessed the effectiveness of its internal control over financial reporting based on the framework issued by the Committee of Sponsoring Organizations of the Treadway Commission (COSO). The evaluation of the design and operating effectiveness of internal control over financial reporting include among others those policies and procedures that:</w:t>
      </w:r>
    </w:p>
    <w:p>
      <w:pPr>
        <w:spacing w:after="0" w:line="40"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56" w:lineRule="exact"/>
        <w:rPr>
          <w:rFonts w:ascii="Arial" w:cs="Arial" w:eastAsia="Arial" w:hAnsi="Arial"/>
          <w:sz w:val="13"/>
          <w:szCs w:val="13"/>
          <w:color w:val="auto"/>
        </w:rPr>
      </w:pPr>
    </w:p>
    <w:p>
      <w:pPr>
        <w:ind w:left="1280" w:hanging="190"/>
        <w:spacing w:after="0" w:line="316" w:lineRule="auto"/>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1280" w:right="60" w:hanging="190"/>
        <w:spacing w:after="0" w:line="276"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the fiscal year 2009, the Company periodically tested the design and operating effectiveness of its internal control over financial reporting. Among other matters, the Company sought in its evaluation to determine whether there were any “significant deficiencies” or “material weakness” in its internal control over financial reporting, or whether it had identified any acts of fraud involving management or other employees.</w:t>
      </w:r>
    </w:p>
    <w:p>
      <w:pPr>
        <w:spacing w:after="0" w:line="3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Based on the above evaluation, the Company’s chief executive officer and chief financial officer have concluded that as of December 31, 2009, the Company’s internal control over financial reporting were effective. Nonetheless, it is important to acknowledge that due to its inherent limitations, internal control over financial reporting may not prevent or detect misstatements. Therefore, even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4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Company’s internal control over financial reporting as of December 31, 2009 has been audited by Grant Thornton LLP, an independent registered public accounting firm, as stated in their report below.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We have audited StemCells, Inc. (a Delaware corporation) and subsidiaries’ (collectively, the “Company”) internal control over financial reporting as of December 31, 2009,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 xml:space="preserve">In our opinion, StemCells, Inc. and subsidiaries maintained, in all material respects, effective internal control over financial reporting as of December 31, 2009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COSO.</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StemCells, Inc. and subsidiaries as of December 31, 2009 and 2008, and the related consolidated statements of operations, changes in stockholders’ equity, and cash flows for each of the three years in the period ended December 31, 2009 and our report dated March 10, 2010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10,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w:t>
      </w:r>
    </w:p>
    <w:p>
      <w:pPr>
        <w:spacing w:after="0" w:line="25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Below are the name, age and principal occupations for the last five years of each executive officer of StemCells, Inc., as of February 28, 2010. All such persons have been elected to serve until their successors are elected and qualified or until their earlier resignation or removal.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Martin M. McGlynn,</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63</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1"/>
              </w:rPr>
              <w:t>Martin M. McGlynn joined the company on January 2001, when he was appointed President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w:t>
            </w: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Chief Executive Officer of the company and of its wholly-owned subsidiary, StemCells</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98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California, Inc. He was elected to the Board of Directors in February 2001.</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3"/>
                <w:szCs w:val="13"/>
                <w:color w:val="auto"/>
              </w:rPr>
              <w:t>Ann Tsukamoto, Ph.D.</w:t>
            </w:r>
          </w:p>
        </w:tc>
        <w:tc>
          <w:tcPr>
            <w:tcW w:w="980" w:type="dxa"/>
            <w:vAlign w:val="bottom"/>
          </w:tcPr>
          <w:p>
            <w:pPr>
              <w:jc w:val="right"/>
              <w:ind w:right="74"/>
              <w:spacing w:after="0" w:line="149" w:lineRule="exact"/>
              <w:rPr>
                <w:sz w:val="20"/>
                <w:szCs w:val="20"/>
                <w:color w:val="auto"/>
              </w:rPr>
            </w:pPr>
            <w:r>
              <w:rPr>
                <w:rFonts w:ascii="Arial" w:cs="Arial" w:eastAsia="Arial" w:hAnsi="Arial"/>
                <w:sz w:val="13"/>
                <w:szCs w:val="13"/>
                <w:color w:val="auto"/>
              </w:rPr>
              <w:t>57</w:t>
            </w:r>
          </w:p>
        </w:tc>
        <w:tc>
          <w:tcPr>
            <w:tcW w:w="5220" w:type="dxa"/>
            <w:vAlign w:val="bottom"/>
          </w:tcPr>
          <w:p>
            <w:pPr>
              <w:ind w:left="160"/>
              <w:spacing w:after="0" w:line="149" w:lineRule="exact"/>
              <w:rPr>
                <w:sz w:val="20"/>
                <w:szCs w:val="20"/>
                <w:color w:val="auto"/>
              </w:rPr>
            </w:pPr>
            <w:r>
              <w:rPr>
                <w:rFonts w:ascii="Arial" w:cs="Arial" w:eastAsia="Arial" w:hAnsi="Arial"/>
                <w:sz w:val="13"/>
                <w:szCs w:val="13"/>
                <w:color w:val="auto"/>
                <w:w w:val="93"/>
              </w:rPr>
              <w:t>Ann Tsukamoto, Ph.D., joined the company in November 1997 as Senior Director of Scientific</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Operations; was appointed Vice President, Scientific Operations in June 1998; Vice President,</w:t>
            </w: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Research and Development in February 2002; and Chief Operating Officer, with responsibility</w:t>
            </w: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for the company’s research and development efforts, in November 2006. In October 2008,</w:t>
            </w: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Dr. Tsukamoto was appointed to the newly created position of Executive Vice President,</w:t>
            </w: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Research and Development with responsibility for the Company’s scientific and clinical</w:t>
            </w:r>
          </w:p>
        </w:tc>
      </w:tr>
      <w:tr>
        <w:trPr>
          <w:trHeight w:val="165"/>
        </w:trPr>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development programs.</w:t>
            </w:r>
          </w:p>
        </w:tc>
      </w:tr>
      <w:tr>
        <w:trPr>
          <w:trHeight w:val="150"/>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Rodney K.B. Young,</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47</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2"/>
              </w:rPr>
              <w:t>Rodney K.B. Young joined the company in September 2005 as Chief Financial Officer and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 and Vice President, Finance and</w:t>
            </w: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8"/>
              </w:rPr>
              <w:t>President, Finance. In November 2006 he became CFO and Vice President, Finance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Administration</w:t>
            </w: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5"/>
              </w:rPr>
              <w:t>Administration. He is responsible for functions that include Finance, Information Technology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and Investor Relations. From 2003 to 2005, Mr. Young was Chief Financial Officer and 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6"/>
              </w:rPr>
              <w:t>director of Extropy Pharmaceuticals, Inc., a private biopharmaceutical company focused on</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developing drugs for pediatric indications.</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3"/>
                <w:szCs w:val="13"/>
                <w:color w:val="auto"/>
              </w:rPr>
              <w:t>Stewart Craig, Ph.D.</w:t>
            </w:r>
          </w:p>
        </w:tc>
        <w:tc>
          <w:tcPr>
            <w:tcW w:w="980" w:type="dxa"/>
            <w:vAlign w:val="bottom"/>
          </w:tcPr>
          <w:p>
            <w:pPr>
              <w:jc w:val="right"/>
              <w:ind w:right="74"/>
              <w:spacing w:after="0" w:line="149" w:lineRule="exact"/>
              <w:rPr>
                <w:sz w:val="20"/>
                <w:szCs w:val="20"/>
                <w:color w:val="auto"/>
              </w:rPr>
            </w:pPr>
            <w:r>
              <w:rPr>
                <w:rFonts w:ascii="Arial" w:cs="Arial" w:eastAsia="Arial" w:hAnsi="Arial"/>
                <w:sz w:val="13"/>
                <w:szCs w:val="13"/>
                <w:color w:val="auto"/>
              </w:rPr>
              <w:t>48</w:t>
            </w:r>
          </w:p>
        </w:tc>
        <w:tc>
          <w:tcPr>
            <w:tcW w:w="5220" w:type="dxa"/>
            <w:vAlign w:val="bottom"/>
          </w:tcPr>
          <w:p>
            <w:pPr>
              <w:ind w:left="160"/>
              <w:spacing w:after="0" w:line="149" w:lineRule="exact"/>
              <w:rPr>
                <w:sz w:val="20"/>
                <w:szCs w:val="20"/>
                <w:color w:val="auto"/>
              </w:rPr>
            </w:pPr>
            <w:r>
              <w:rPr>
                <w:rFonts w:ascii="Arial" w:cs="Arial" w:eastAsia="Arial" w:hAnsi="Arial"/>
                <w:sz w:val="13"/>
                <w:szCs w:val="13"/>
                <w:color w:val="auto"/>
              </w:rPr>
              <w:t>Stewart Craig, Ph.D., joined the company in September 2008 with responsibilities for</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Senior Vice President,</w:t>
            </w: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Development, Manufacturing, Regulatory, Quality Systems and Facilities. From 2005 to 2008,</w:t>
            </w:r>
          </w:p>
        </w:tc>
      </w:tr>
      <w:tr>
        <w:trPr>
          <w:trHeight w:val="157"/>
        </w:trPr>
        <w:tc>
          <w:tcPr>
            <w:tcW w:w="680" w:type="dxa"/>
            <w:vAlign w:val="bottom"/>
          </w:tcPr>
          <w:p>
            <w:pPr>
              <w:spacing w:after="0"/>
              <w:rPr>
                <w:sz w:val="13"/>
                <w:szCs w:val="13"/>
                <w:color w:val="auto"/>
              </w:rPr>
            </w:pPr>
          </w:p>
        </w:tc>
        <w:tc>
          <w:tcPr>
            <w:tcW w:w="3780" w:type="dxa"/>
            <w:vAlign w:val="bottom"/>
          </w:tcPr>
          <w:p>
            <w:pPr>
              <w:ind w:left="140"/>
              <w:spacing w:after="0"/>
              <w:rPr>
                <w:sz w:val="20"/>
                <w:szCs w:val="20"/>
                <w:color w:val="auto"/>
              </w:rPr>
            </w:pPr>
            <w:r>
              <w:rPr>
                <w:rFonts w:ascii="Arial" w:cs="Arial" w:eastAsia="Arial" w:hAnsi="Arial"/>
                <w:sz w:val="13"/>
                <w:szCs w:val="13"/>
                <w:color w:val="auto"/>
              </w:rPr>
              <w:t>Development and Operations</w:t>
            </w: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Dr. Craig was Chief Technology Officer and Vice President of Progenitor Cell Therapy, a</w:t>
            </w: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contract services provider for research, development, manufacture and commercialization of</w:t>
            </w: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cell-based therapies, prior to which he has held executive positions at Xcyte Therapies, Osiris</w:t>
            </w:r>
          </w:p>
        </w:tc>
      </w:tr>
      <w:tr>
        <w:trPr>
          <w:trHeight w:val="165"/>
        </w:trPr>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20" w:type="dxa"/>
            <w:vAlign w:val="bottom"/>
            <w:gridSpan w:val="2"/>
          </w:tcPr>
          <w:p>
            <w:pPr>
              <w:ind w:left="160"/>
              <w:spacing w:after="0"/>
              <w:rPr>
                <w:sz w:val="20"/>
                <w:szCs w:val="20"/>
                <w:color w:val="auto"/>
              </w:rPr>
            </w:pPr>
            <w:r>
              <w:rPr>
                <w:rFonts w:ascii="Arial" w:cs="Arial" w:eastAsia="Arial" w:hAnsi="Arial"/>
                <w:sz w:val="13"/>
                <w:szCs w:val="13"/>
                <w:color w:val="auto"/>
              </w:rPr>
              <w:t>Therapeutics and SyStemix.</w:t>
            </w:r>
          </w:p>
        </w:tc>
      </w:tr>
      <w:tr>
        <w:trPr>
          <w:trHeight w:val="150"/>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Kenneth Stratton</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41</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2"/>
              </w:rPr>
              <w:t>Kenneth Stratton joined the company in February 2007 as General Counsel, with responsibility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4"/>
              </w:rPr>
              <w:t>for corporate compliance and legal affairs. In March 2008, he assumed responsibilities for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1"/>
              </w:rPr>
              <w:t>Human Resources function. Prior to StemCells, Mr. Stratton served as Deputy General Counsel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2"/>
              </w:rPr>
              <w:t>for Threshold Pharmaceuticals and as Senior Legal Counsel for Medtronic’s Vascular business</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20" w:type="dxa"/>
            <w:vAlign w:val="bottom"/>
          </w:tcPr>
          <w:p>
            <w:pPr>
              <w:ind w:left="18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Below are the name, age and principal occupations for the last five years of each Director of StemCells, Inc., as of February 29, 2010. Directors are elected to staggered three 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terms.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Eric H. Bjerkholt</w:t>
            </w:r>
          </w:p>
        </w:tc>
        <w:tc>
          <w:tcPr>
            <w:tcW w:w="1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50</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7"/>
              </w:rPr>
              <w:t>Eric H. Bjerkholt was elected to the Board of Directors in March 2004. Mr. Bjerkholt joined</w:t>
            </w:r>
          </w:p>
        </w:tc>
      </w:tr>
      <w:tr>
        <w:trPr>
          <w:trHeight w:val="157"/>
        </w:trPr>
        <w:tc>
          <w:tcPr>
            <w:tcW w:w="30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5"/>
              </w:rPr>
              <w:t>Sunesis Pharmaceuticals, Inc., in 2004 as Senior Vice President and Chief Financial Officer.</w:t>
            </w:r>
          </w:p>
        </w:tc>
      </w:tr>
      <w:tr>
        <w:trPr>
          <w:trHeight w:val="157"/>
        </w:trPr>
        <w:tc>
          <w:tcPr>
            <w:tcW w:w="30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5"/>
              </w:rPr>
              <w:t>Since February 2007, he has served as Senior Vice President, Corporate Development and</w:t>
            </w:r>
          </w:p>
        </w:tc>
      </w:tr>
      <w:tr>
        <w:trPr>
          <w:trHeight w:val="157"/>
        </w:trPr>
        <w:tc>
          <w:tcPr>
            <w:tcW w:w="30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Finance, and Chief Financial Officer. From 2002 to 2004, Mr. Bjerkholt was Senior Vice</w:t>
            </w:r>
          </w:p>
        </w:tc>
      </w:tr>
      <w:tr>
        <w:trPr>
          <w:trHeight w:val="166"/>
        </w:trPr>
        <w:tc>
          <w:tcPr>
            <w:tcW w:w="30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President and Chief Financial Officer at IntraBiotics Pharmaceuticals, Inc.</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3"/>
                <w:szCs w:val="13"/>
                <w:color w:val="auto"/>
              </w:rPr>
              <w:t>Ricardo B. Levy, Ph.D.</w:t>
            </w:r>
          </w:p>
        </w:tc>
        <w:tc>
          <w:tcPr>
            <w:tcW w:w="1700" w:type="dxa"/>
            <w:vAlign w:val="bottom"/>
          </w:tcPr>
          <w:p>
            <w:pPr>
              <w:jc w:val="right"/>
              <w:ind w:right="74"/>
              <w:spacing w:after="0" w:line="149" w:lineRule="exact"/>
              <w:rPr>
                <w:sz w:val="20"/>
                <w:szCs w:val="20"/>
                <w:color w:val="auto"/>
              </w:rPr>
            </w:pPr>
            <w:r>
              <w:rPr>
                <w:rFonts w:ascii="Arial" w:cs="Arial" w:eastAsia="Arial" w:hAnsi="Arial"/>
                <w:sz w:val="13"/>
                <w:szCs w:val="13"/>
                <w:color w:val="auto"/>
              </w:rPr>
              <w:t>65</w:t>
            </w:r>
          </w:p>
        </w:tc>
        <w:tc>
          <w:tcPr>
            <w:tcW w:w="5220" w:type="dxa"/>
            <w:vAlign w:val="bottom"/>
          </w:tcPr>
          <w:p>
            <w:pPr>
              <w:ind w:left="160"/>
              <w:spacing w:after="0" w:line="149" w:lineRule="exact"/>
              <w:rPr>
                <w:sz w:val="20"/>
                <w:szCs w:val="20"/>
                <w:color w:val="auto"/>
              </w:rPr>
            </w:pPr>
            <w:r>
              <w:rPr>
                <w:rFonts w:ascii="Arial" w:cs="Arial" w:eastAsia="Arial" w:hAnsi="Arial"/>
                <w:sz w:val="13"/>
                <w:szCs w:val="13"/>
                <w:color w:val="auto"/>
                <w:w w:val="93"/>
              </w:rPr>
              <w:t>Ricardo B. Levy, Ph.D. was elected to the Board of Directors in September 2001. He currently</w:t>
            </w:r>
          </w:p>
        </w:tc>
      </w:tr>
      <w:tr>
        <w:trPr>
          <w:trHeight w:val="165"/>
        </w:trPr>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20" w:type="dxa"/>
            <w:vAlign w:val="bottom"/>
          </w:tcPr>
          <w:p>
            <w:pPr>
              <w:ind w:left="160"/>
              <w:spacing w:after="0"/>
              <w:rPr>
                <w:sz w:val="20"/>
                <w:szCs w:val="20"/>
                <w:color w:val="auto"/>
              </w:rPr>
            </w:pPr>
            <w:r>
              <w:rPr>
                <w:rFonts w:ascii="Arial" w:cs="Arial" w:eastAsia="Arial" w:hAnsi="Arial"/>
                <w:sz w:val="13"/>
                <w:szCs w:val="13"/>
                <w:color w:val="auto"/>
              </w:rPr>
              <w:t>serves on several boards of directors.</w:t>
            </w:r>
          </w:p>
        </w:tc>
      </w:tr>
      <w:tr>
        <w:trPr>
          <w:trHeight w:val="150"/>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Martin M. McGlynn</w:t>
            </w:r>
          </w:p>
        </w:tc>
        <w:tc>
          <w:tcPr>
            <w:tcW w:w="1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63</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1"/>
              </w:rPr>
              <w:t>Martin M. McGlynn was elected to the Board of Directors in February 2001. He is President and</w:t>
            </w:r>
          </w:p>
        </w:tc>
      </w:tr>
      <w:tr>
        <w:trPr>
          <w:trHeight w:val="166"/>
        </w:trPr>
        <w:tc>
          <w:tcPr>
            <w:tcW w:w="30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Chief Executive Officer of the Company, a position he has held since January 2001.</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3"/>
                <w:szCs w:val="13"/>
                <w:color w:val="auto"/>
              </w:rPr>
              <w:t>Roger Perlmutter, M.D., Ph.D.</w:t>
            </w:r>
          </w:p>
        </w:tc>
        <w:tc>
          <w:tcPr>
            <w:tcW w:w="1700" w:type="dxa"/>
            <w:vAlign w:val="bottom"/>
          </w:tcPr>
          <w:p>
            <w:pPr>
              <w:jc w:val="right"/>
              <w:ind w:right="74"/>
              <w:spacing w:after="0" w:line="149" w:lineRule="exact"/>
              <w:rPr>
                <w:sz w:val="20"/>
                <w:szCs w:val="20"/>
                <w:color w:val="auto"/>
              </w:rPr>
            </w:pPr>
            <w:r>
              <w:rPr>
                <w:rFonts w:ascii="Arial" w:cs="Arial" w:eastAsia="Arial" w:hAnsi="Arial"/>
                <w:sz w:val="13"/>
                <w:szCs w:val="13"/>
                <w:color w:val="auto"/>
              </w:rPr>
              <w:t>57</w:t>
            </w:r>
          </w:p>
        </w:tc>
        <w:tc>
          <w:tcPr>
            <w:tcW w:w="5220" w:type="dxa"/>
            <w:vAlign w:val="bottom"/>
          </w:tcPr>
          <w:p>
            <w:pPr>
              <w:ind w:left="160"/>
              <w:spacing w:after="0" w:line="149" w:lineRule="exact"/>
              <w:rPr>
                <w:sz w:val="20"/>
                <w:szCs w:val="20"/>
                <w:color w:val="auto"/>
              </w:rPr>
            </w:pPr>
            <w:r>
              <w:rPr>
                <w:rFonts w:ascii="Arial" w:cs="Arial" w:eastAsia="Arial" w:hAnsi="Arial"/>
                <w:sz w:val="13"/>
                <w:szCs w:val="13"/>
                <w:color w:val="auto"/>
                <w:w w:val="92"/>
              </w:rPr>
              <w:t>Roger M. Perlmutter, M.D., Ph.D., was elected to the Board of Directors in December 2000. He</w:t>
            </w:r>
          </w:p>
        </w:tc>
      </w:tr>
      <w:tr>
        <w:trPr>
          <w:trHeight w:val="157"/>
        </w:trPr>
        <w:tc>
          <w:tcPr>
            <w:tcW w:w="3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220" w:type="dxa"/>
            <w:vAlign w:val="bottom"/>
          </w:tcPr>
          <w:p>
            <w:pPr>
              <w:ind w:left="160"/>
              <w:spacing w:after="0"/>
              <w:rPr>
                <w:sz w:val="20"/>
                <w:szCs w:val="20"/>
                <w:color w:val="auto"/>
              </w:rPr>
            </w:pPr>
            <w:r>
              <w:rPr>
                <w:rFonts w:ascii="Arial" w:cs="Arial" w:eastAsia="Arial" w:hAnsi="Arial"/>
                <w:sz w:val="13"/>
                <w:szCs w:val="13"/>
                <w:color w:val="auto"/>
                <w:w w:val="91"/>
              </w:rPr>
              <w:t>is Executive Vice President, Research and Development, of Amgen, Inc., a position he has held</w:t>
            </w:r>
          </w:p>
        </w:tc>
      </w:tr>
      <w:tr>
        <w:trPr>
          <w:trHeight w:val="165"/>
        </w:trPr>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20" w:type="dxa"/>
            <w:vAlign w:val="bottom"/>
          </w:tcPr>
          <w:p>
            <w:pPr>
              <w:ind w:left="160"/>
              <w:spacing w:after="0"/>
              <w:rPr>
                <w:sz w:val="20"/>
                <w:szCs w:val="20"/>
                <w:color w:val="auto"/>
              </w:rPr>
            </w:pPr>
            <w:r>
              <w:rPr>
                <w:rFonts w:ascii="Arial" w:cs="Arial" w:eastAsia="Arial" w:hAnsi="Arial"/>
                <w:sz w:val="13"/>
                <w:szCs w:val="13"/>
                <w:color w:val="auto"/>
              </w:rPr>
              <w:t>since January 2001.</w:t>
            </w:r>
          </w:p>
        </w:tc>
      </w:tr>
      <w:tr>
        <w:trPr>
          <w:trHeight w:val="150"/>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John J. Schwartz, Ph.D.</w:t>
            </w:r>
          </w:p>
        </w:tc>
        <w:tc>
          <w:tcPr>
            <w:tcW w:w="1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75</w:t>
            </w: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6"/>
              </w:rPr>
              <w:t>John J. Schwartz, Ph.D., was elected to the Board of Directors in December 1998 and was</w:t>
            </w:r>
          </w:p>
        </w:tc>
      </w:tr>
      <w:tr>
        <w:trPr>
          <w:trHeight w:val="157"/>
        </w:trPr>
        <w:tc>
          <w:tcPr>
            <w:tcW w:w="30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elected Chairman of the Board at the same time. He is currently President of Quantum Strategies</w:t>
            </w:r>
          </w:p>
        </w:tc>
      </w:tr>
      <w:tr>
        <w:trPr>
          <w:trHeight w:val="166"/>
        </w:trPr>
        <w:tc>
          <w:tcPr>
            <w:tcW w:w="30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Management Company.</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3"/>
                <w:szCs w:val="13"/>
                <w:color w:val="auto"/>
              </w:rPr>
              <w:t>Irving Weissman, M.D.</w:t>
            </w:r>
          </w:p>
        </w:tc>
        <w:tc>
          <w:tcPr>
            <w:tcW w:w="1700" w:type="dxa"/>
            <w:vAlign w:val="bottom"/>
          </w:tcPr>
          <w:p>
            <w:pPr>
              <w:jc w:val="right"/>
              <w:ind w:right="74"/>
              <w:spacing w:after="0" w:line="149" w:lineRule="exact"/>
              <w:rPr>
                <w:sz w:val="20"/>
                <w:szCs w:val="20"/>
                <w:color w:val="auto"/>
              </w:rPr>
            </w:pPr>
            <w:r>
              <w:rPr>
                <w:rFonts w:ascii="Arial" w:cs="Arial" w:eastAsia="Arial" w:hAnsi="Arial"/>
                <w:sz w:val="13"/>
                <w:szCs w:val="13"/>
                <w:color w:val="auto"/>
              </w:rPr>
              <w:t>70</w:t>
            </w:r>
          </w:p>
        </w:tc>
        <w:tc>
          <w:tcPr>
            <w:tcW w:w="5220" w:type="dxa"/>
            <w:vAlign w:val="bottom"/>
          </w:tcPr>
          <w:p>
            <w:pPr>
              <w:ind w:left="160"/>
              <w:spacing w:after="0" w:line="149" w:lineRule="exact"/>
              <w:rPr>
                <w:sz w:val="20"/>
                <w:szCs w:val="20"/>
                <w:color w:val="auto"/>
              </w:rPr>
            </w:pPr>
            <w:r>
              <w:rPr>
                <w:rFonts w:ascii="Arial" w:cs="Arial" w:eastAsia="Arial" w:hAnsi="Arial"/>
                <w:sz w:val="13"/>
                <w:szCs w:val="13"/>
                <w:color w:val="auto"/>
                <w:w w:val="93"/>
              </w:rPr>
              <w:t>Irving L. Weissman, M.D., was elected to the Board of Directors in September 1997. He is the</w:t>
            </w:r>
          </w:p>
        </w:tc>
      </w:tr>
      <w:tr>
        <w:trPr>
          <w:trHeight w:val="165"/>
        </w:trPr>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20" w:type="dxa"/>
            <w:vAlign w:val="bottom"/>
          </w:tcPr>
          <w:p>
            <w:pPr>
              <w:ind w:left="160"/>
              <w:spacing w:after="0"/>
              <w:rPr>
                <w:sz w:val="20"/>
                <w:szCs w:val="20"/>
                <w:color w:val="auto"/>
              </w:rPr>
            </w:pPr>
            <w:r>
              <w:rPr>
                <w:rFonts w:ascii="Arial" w:cs="Arial" w:eastAsia="Arial" w:hAnsi="Arial"/>
                <w:sz w:val="13"/>
                <w:szCs w:val="13"/>
                <w:color w:val="auto"/>
                <w:w w:val="98"/>
              </w:rPr>
              <w:t>Virginia and Daniel K. Ludwig Professor of Cancer Research, Professor of Pathology and</w:t>
            </w:r>
          </w:p>
        </w:tc>
      </w:tr>
    </w:tbl>
    <w:p>
      <w:pPr>
        <w:ind w:left="5600"/>
        <w:spacing w:after="0"/>
        <w:rPr>
          <w:sz w:val="20"/>
          <w:szCs w:val="20"/>
          <w:color w:val="auto"/>
        </w:rPr>
      </w:pPr>
      <w:r>
        <w:rPr>
          <w:rFonts w:ascii="Arial" w:cs="Arial" w:eastAsia="Arial" w:hAnsi="Arial"/>
          <w:sz w:val="12"/>
          <w:szCs w:val="12"/>
          <w:color w:val="auto"/>
        </w:rPr>
        <w:t>Professor of Developmental Biology at Stanford. Director, Institute of Stem Cell Biology and</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Regenerative Medicine,</w:t>
      </w:r>
    </w:p>
    <w:p>
      <w:pPr>
        <w:spacing w:after="0" w:line="8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Certain other information required by this Item regarding our officers, directors, and corporate governance is incorporated herein by reference to the information appearing under the headings “Information About Our Directors” and “Information About Ownership of Our Common Stock” in our definitive proxy statement to be filed with the Securities and Exchange Commission within 120 days of December 31, 2009 (the “2010 Proxy Statement”).</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our Proxy Statement for the 2010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from our Proxy Statement for the 2010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2010 Annual Meeting of Stockholders.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2010 Annual Meeting of Stockholders.</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96" w:lineRule="exact"/>
        <w:rPr>
          <w:sz w:val="20"/>
          <w:szCs w:val="20"/>
          <w:color w:val="auto"/>
        </w:rPr>
      </w:pPr>
    </w:p>
    <w:p>
      <w:pPr>
        <w:ind w:left="880" w:hanging="193"/>
        <w:spacing w:after="0"/>
        <w:tabs>
          <w:tab w:leader="none" w:pos="8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documents are included as part of this Annual Report on Form 10-K.</w:t>
      </w:r>
    </w:p>
    <w:p>
      <w:pPr>
        <w:spacing w:after="0" w:line="100" w:lineRule="exact"/>
        <w:rPr>
          <w:rFonts w:ascii="Arial" w:cs="Arial" w:eastAsia="Arial" w:hAnsi="Arial"/>
          <w:sz w:val="13"/>
          <w:szCs w:val="13"/>
          <w:b w:val="1"/>
          <w:bCs w:val="1"/>
          <w:color w:val="auto"/>
        </w:rPr>
      </w:pPr>
    </w:p>
    <w:p>
      <w:pPr>
        <w:ind w:left="1280" w:hanging="194"/>
        <w:spacing w:after="0"/>
        <w:tabs>
          <w:tab w:leader="none" w:pos="1280" w:val="left"/>
        </w:tabs>
        <w:numPr>
          <w:ilvl w:val="1"/>
          <w:numId w:val="45"/>
        </w:numPr>
        <w:rPr>
          <w:rFonts w:ascii="Arial" w:cs="Arial" w:eastAsia="Arial" w:hAnsi="Arial"/>
          <w:sz w:val="13"/>
          <w:szCs w:val="13"/>
          <w:color w:val="auto"/>
        </w:rPr>
      </w:pPr>
      <w:r>
        <w:rPr>
          <w:rFonts w:ascii="Arial" w:cs="Arial" w:eastAsia="Arial" w:hAnsi="Arial"/>
          <w:sz w:val="13"/>
          <w:szCs w:val="13"/>
          <w:i w:val="1"/>
          <w:iCs w:val="1"/>
          <w:color w:val="auto"/>
        </w:rPr>
        <w:t>Financial Statements.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financial statements filed as part of this Report are listed and indexed under Item 8 above.</w:t>
      </w:r>
    </w:p>
    <w:p>
      <w:pPr>
        <w:spacing w:after="0" w:line="96" w:lineRule="exact"/>
        <w:rPr>
          <w:sz w:val="20"/>
          <w:szCs w:val="20"/>
          <w:color w:val="auto"/>
        </w:rPr>
      </w:pPr>
    </w:p>
    <w:p>
      <w:pPr>
        <w:ind w:left="1280" w:hanging="194"/>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Schedules are not included herein because they are not applicable or the required information appears in the Financial Statements or Notes thereto.</w:t>
      </w:r>
    </w:p>
    <w:p>
      <w:pPr>
        <w:spacing w:after="0" w:line="96" w:lineRule="exact"/>
        <w:rPr>
          <w:sz w:val="20"/>
          <w:szCs w:val="20"/>
          <w:color w:val="auto"/>
        </w:rPr>
      </w:pPr>
    </w:p>
    <w:p>
      <w:pPr>
        <w:ind w:left="1280" w:hanging="194"/>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documents set forth below are filed herewith or incorporated by reference to the location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gridSpan w:val="2"/>
          </w:tcPr>
          <w:p>
            <w:pPr>
              <w:ind w:left="1140"/>
              <w:spacing w:after="0"/>
              <w:rPr>
                <w:sz w:val="20"/>
                <w:szCs w:val="20"/>
                <w:color w:val="auto"/>
              </w:rPr>
            </w:pPr>
            <w:r>
              <w:rPr>
                <w:rFonts w:ascii="Arial" w:cs="Arial" w:eastAsia="Arial" w:hAnsi="Arial"/>
                <w:sz w:val="10"/>
                <w:szCs w:val="10"/>
                <w:b w:val="1"/>
                <w:bCs w:val="1"/>
                <w:color w:val="auto"/>
              </w:rPr>
              <w:t>Exhibit No.</w:t>
            </w:r>
          </w:p>
        </w:tc>
        <w:tc>
          <w:tcPr>
            <w:tcW w:w="9740" w:type="dxa"/>
            <w:vAlign w:val="bottom"/>
            <w:gridSpan w:val="3"/>
          </w:tcPr>
          <w:p>
            <w:pPr>
              <w:ind w:left="4460"/>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1320" w:type="dxa"/>
            <w:vAlign w:val="bottom"/>
          </w:tcPr>
          <w:p>
            <w:pPr>
              <w:ind w:left="1140"/>
              <w:spacing w:after="0"/>
              <w:rPr>
                <w:sz w:val="20"/>
                <w:szCs w:val="20"/>
                <w:color w:val="auto"/>
              </w:rPr>
            </w:pPr>
            <w:r>
              <w:rPr>
                <w:rFonts w:ascii="Arial" w:cs="Arial" w:eastAsia="Arial" w:hAnsi="Arial"/>
                <w:sz w:val="13"/>
                <w:szCs w:val="13"/>
                <w:color w:val="auto"/>
                <w:w w:val="88"/>
              </w:rPr>
              <w:t>3.1</w:t>
            </w:r>
          </w:p>
        </w:tc>
        <w:tc>
          <w:tcPr>
            <w:tcW w:w="400" w:type="dxa"/>
            <w:vAlign w:val="bottom"/>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3"/>
                <w:szCs w:val="13"/>
                <w:color w:val="auto"/>
              </w:rPr>
              <w:t>Restated Certificate of Incorporation of the Registrant(1)</w:t>
            </w:r>
          </w:p>
        </w:tc>
        <w:tc>
          <w:tcPr>
            <w:tcW w:w="80" w:type="dxa"/>
            <w:vAlign w:val="bottom"/>
            <w:tcBorders>
              <w:top w:val="single" w:sz="8" w:color="auto"/>
            </w:tcBorders>
          </w:tcPr>
          <w:p>
            <w:pPr>
              <w:spacing w:after="0"/>
              <w:rPr>
                <w:sz w:val="15"/>
                <w:szCs w:val="15"/>
                <w:color w:val="auto"/>
              </w:rPr>
            </w:pPr>
          </w:p>
        </w:tc>
        <w:tc>
          <w:tcPr>
            <w:tcW w:w="5180" w:type="dxa"/>
            <w:vAlign w:val="bottom"/>
          </w:tcPr>
          <w:p>
            <w:pPr>
              <w:spacing w:after="0"/>
              <w:rPr>
                <w:sz w:val="15"/>
                <w:szCs w:val="15"/>
                <w:color w:val="auto"/>
              </w:rPr>
            </w:pP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3.2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Amended and Restated By-Laws of the Registrant(2)</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4.1</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Certificate(3)</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Warrant Certificate issued to certain purchasers of the Registrant’s common stock in November 2008(4)</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4.3</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Warrant Certificate issued to certain purchasers of the Registrant’s common stock in November 2009(5)</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10.1</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at-will Employment Agreement between the Registrant and most of its employees(6)</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Agreement for Consulting Services between the Registrant and the members of its Scientific Advisory Board(7)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10.3</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Cytotherapeutics, Inc. 1992 Equity Incentive Plan(7)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10.4</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1992 Stock Option Plan for Non-Employee Directors(7)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10.5</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Agreement, dated as of August 1, 1992, between the Registrant and the Rhode Island Industrial Facilities Corporation(8)</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10.6</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First Amendment to Lease Agreement, dated as of September 15, 1994, between Registrant and the Rhode Island Industrial Facilities Corporation(8)</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10.7</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Tenant(9)</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10.8</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Registrant(10)</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10.9</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StemCells, Inc. 1996 Stock Option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10.10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1997 StemCells Research Stock Option Plan (the “1997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10.11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Performance-Based Incentive Option Agreement issued under the 1997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 (the “1997 NeuroSpheres license agreement”)</w:t>
            </w:r>
          </w:p>
        </w:tc>
      </w:tr>
      <w:tr>
        <w:trPr>
          <w:trHeight w:val="157"/>
        </w:trPr>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ind w:lef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10.13 &amp;</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dated as of October 30, 2000, between the Registrant and NeuroSpheres Holdings Ltd. (the “2000 NeuroSpheres license agreement”)(13)</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10.14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January 2, 2001, between the Registrant and Martin McGlynn(13)</w:t>
            </w:r>
          </w:p>
        </w:tc>
      </w:tr>
      <w:tr>
        <w:trPr>
          <w:trHeight w:val="165"/>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10.15</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Registrant(13)</w:t>
            </w:r>
          </w:p>
        </w:tc>
      </w:tr>
      <w:tr>
        <w:trPr>
          <w:trHeight w:val="452"/>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3900"/>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3"/>
        </w:trPr>
        <w:tc>
          <w:tcPr>
            <w:tcW w:w="1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-2530475</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4400" w:type="dxa"/>
            <w:vAlign w:val="bottom"/>
            <w:gridSpan w:val="2"/>
          </w:tcPr>
          <w:p>
            <w:pPr>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78"/>
        </w:trPr>
        <w:tc>
          <w:tcPr>
            <w:tcW w:w="360" w:type="dxa"/>
            <w:vAlign w:val="bottom"/>
          </w:tcPr>
          <w:p>
            <w:pPr>
              <w:ind w:left="60"/>
              <w:spacing w:after="0"/>
              <w:rPr>
                <w:sz w:val="20"/>
                <w:szCs w:val="20"/>
                <w:color w:val="auto"/>
              </w:rPr>
            </w:pPr>
            <w:r>
              <w:rPr>
                <w:rFonts w:ascii="Arial" w:cs="Arial" w:eastAsia="Arial" w:hAnsi="Arial"/>
                <w:sz w:val="13"/>
                <w:szCs w:val="13"/>
                <w:color w:val="auto"/>
                <w:w w:val="85"/>
              </w:rPr>
              <w:t>10.16</w:t>
            </w:r>
          </w:p>
        </w:tc>
        <w:tc>
          <w:tcPr>
            <w:tcW w:w="320" w:type="dxa"/>
            <w:vAlign w:val="bottom"/>
          </w:tcPr>
          <w:p>
            <w:pPr>
              <w:spacing w:after="0"/>
              <w:rPr>
                <w:sz w:val="15"/>
                <w:szCs w:val="15"/>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Third Amendment to Lease, dated October 12, 2009, between Registrant and The Board of Trustees of the Leland Stanford Junior University(14)</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10.17</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2001 Equity Incentive Plan(15)</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10.18</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StemCells, Inc. Amended and Restated 2004 Equity Incentive Plan(16)</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10.19</w:t>
            </w:r>
          </w:p>
        </w:tc>
        <w:tc>
          <w:tcPr>
            <w:tcW w:w="320" w:type="dxa"/>
            <w:vAlign w:val="bottom"/>
          </w:tcPr>
          <w:p>
            <w:pPr>
              <w:ind w:left="20"/>
              <w:spacing w:after="0"/>
              <w:rPr>
                <w:sz w:val="20"/>
                <w:szCs w:val="20"/>
                <w:color w:val="auto"/>
              </w:rPr>
            </w:pPr>
            <w:r>
              <w:rPr>
                <w:rFonts w:ascii="Arial" w:cs="Arial" w:eastAsia="Arial" w:hAnsi="Arial"/>
                <w:sz w:val="13"/>
                <w:szCs w:val="13"/>
                <w:color w:val="auto"/>
              </w:rPr>
              <w:t>&amp;</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July 1, 2005, between the Registrant and ReNeuron Limited(17)</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10.20</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September 6, 2005, between the Registrant and Rodney K.B. Young(18)</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10.21</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8"/>
              </w:rPr>
              <w:t>Side Letter, dated October 30, 2000, between the Registrant and NeuroSpheres Ltd. regarding the 1997 and 2000 NeuroSpheres license agreements(13)</w:t>
            </w:r>
          </w:p>
        </w:tc>
      </w:tr>
      <w:tr>
        <w:trPr>
          <w:trHeight w:val="157"/>
        </w:trPr>
        <w:tc>
          <w:tcPr>
            <w:tcW w:w="680" w:type="dxa"/>
            <w:vAlign w:val="bottom"/>
            <w:gridSpan w:val="2"/>
          </w:tcPr>
          <w:p>
            <w:pPr>
              <w:ind w:left="60"/>
              <w:spacing w:after="0"/>
              <w:rPr>
                <w:sz w:val="20"/>
                <w:szCs w:val="20"/>
                <w:color w:val="auto"/>
              </w:rPr>
            </w:pPr>
            <w:r>
              <w:rPr>
                <w:rFonts w:ascii="Arial" w:cs="Arial" w:eastAsia="Arial" w:hAnsi="Arial"/>
                <w:sz w:val="13"/>
                <w:szCs w:val="13"/>
                <w:color w:val="auto"/>
              </w:rPr>
              <w:t>10.22*</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5"/>
              </w:rPr>
              <w:t>Side Letter, dated March 21, 2002, between the Registrant and NeuroSpheres Ltd. and NeuroSpheres Holdings Ltd. regarding the 2000 NeuroSpheres license</w:t>
            </w:r>
          </w:p>
        </w:tc>
      </w:t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agreement</w:t>
            </w:r>
          </w:p>
        </w:tc>
      </w:tr>
      <w:tr>
        <w:trPr>
          <w:trHeight w:val="157"/>
        </w:trPr>
        <w:tc>
          <w:tcPr>
            <w:tcW w:w="680" w:type="dxa"/>
            <w:vAlign w:val="bottom"/>
            <w:gridSpan w:val="2"/>
          </w:tcPr>
          <w:p>
            <w:pPr>
              <w:ind w:left="60"/>
              <w:spacing w:after="0"/>
              <w:rPr>
                <w:sz w:val="20"/>
                <w:szCs w:val="20"/>
                <w:color w:val="auto"/>
              </w:rPr>
            </w:pPr>
            <w:r>
              <w:rPr>
                <w:rFonts w:ascii="Arial" w:cs="Arial" w:eastAsia="Arial" w:hAnsi="Arial"/>
                <w:sz w:val="13"/>
                <w:szCs w:val="13"/>
                <w:color w:val="auto"/>
              </w:rPr>
              <w:t>10.23*</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1"/>
              </w:rPr>
              <w:t>Side Letter, dated July 2, 2003, between the Registrant and NeuroSpheres Ltd. and NeuroSpheres Holdings Ltd. regarding the 2000 NeuroSpheres license agreement</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10.24</w:t>
            </w:r>
          </w:p>
        </w:tc>
        <w:tc>
          <w:tcPr>
            <w:tcW w:w="320" w:type="dxa"/>
            <w:vAlign w:val="bottom"/>
          </w:tcPr>
          <w:p>
            <w:pPr>
              <w:ind w:left="20"/>
              <w:spacing w:after="0"/>
              <w:rPr>
                <w:sz w:val="20"/>
                <w:szCs w:val="20"/>
                <w:color w:val="auto"/>
              </w:rPr>
            </w:pPr>
            <w:r>
              <w:rPr>
                <w:rFonts w:ascii="Arial" w:cs="Arial" w:eastAsia="Arial" w:hAnsi="Arial"/>
                <w:sz w:val="13"/>
                <w:szCs w:val="13"/>
                <w:color w:val="auto"/>
              </w:rPr>
              <w:t>&amp;*</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0"/>
              </w:rPr>
              <w:t>Side Letter, dated March 9, 2005, between the Registrant and NeuroSpheres Ltd. and NeuroSpheres Holdings Ltd. regarding the 2000 NeuroSpheres license agreement</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10.25</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Indemnification Agreement, dated July 9, 2008, between the Registrant and NeuroSpheres Holdings, Ltd.(19)</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10.26</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Asset Purchase Agreement, dated March 1, 2009, between the Registrant and Stem Cell Sciences Plc(20)</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10.27</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February 2, 1998, between the Registrant and Ann Tsukamoto</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10.28</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Memorandum of Agreement, effective as of July 17, 2000, between the Registrant and Ann Tsukamoto</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10.29</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July 24, 2008, between the Registrant and Stewart Craig</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10.30</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February 2, 2007, between the Registrant and Kenneth B. Stratton</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10.31</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August 6, 2009, between the Registrant and Kenneth B. Stratton</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85"/>
              </w:rPr>
              <w:t>10.32</w:t>
            </w:r>
          </w:p>
        </w:tc>
        <w:tc>
          <w:tcPr>
            <w:tcW w:w="320" w:type="dxa"/>
            <w:vAlign w:val="bottom"/>
          </w:tcPr>
          <w:p>
            <w:pPr>
              <w:ind w:left="20"/>
              <w:spacing w:after="0"/>
              <w:rPr>
                <w:sz w:val="20"/>
                <w:szCs w:val="20"/>
                <w:color w:val="auto"/>
              </w:rPr>
            </w:pPr>
            <w:r>
              <w:rPr>
                <w:rFonts w:ascii="Arial" w:cs="Arial" w:eastAsia="Arial" w:hAnsi="Arial"/>
                <w:sz w:val="13"/>
                <w:szCs w:val="13"/>
                <w:color w:val="auto"/>
              </w:rPr>
              <w:t>&amp;*</w:t>
            </w: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January 31, 2006, between Stem Cell Sciences (Australia) Pty Limited and The University of Edinburgh</w:t>
            </w:r>
          </w:p>
        </w:tc>
      </w:tr>
      <w:tr>
        <w:trPr>
          <w:trHeight w:val="157"/>
        </w:trPr>
        <w:tc>
          <w:tcPr>
            <w:tcW w:w="360" w:type="dxa"/>
            <w:vAlign w:val="bottom"/>
          </w:tcPr>
          <w:p>
            <w:pPr>
              <w:spacing w:after="0"/>
              <w:rPr>
                <w:sz w:val="20"/>
                <w:szCs w:val="20"/>
                <w:color w:val="auto"/>
              </w:rPr>
            </w:pPr>
            <w:r>
              <w:rPr>
                <w:rFonts w:ascii="Arial" w:cs="Arial" w:eastAsia="Arial" w:hAnsi="Arial"/>
                <w:sz w:val="13"/>
                <w:szCs w:val="13"/>
                <w:color w:val="auto"/>
              </w:rPr>
              <w:t>21*</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92"/>
              </w:rPr>
              <w:t>23.1*</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Consent of Grant Thornton, LLP, Independent Registered Public Accounting Firm</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92"/>
              </w:rPr>
              <w:t>31.1*</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(Martin McGlynn, Chief</w:t>
            </w:r>
          </w:p>
        </w:tc>
      </w:t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Executive Officer)</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92"/>
              </w:rPr>
              <w:t>31.2*</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4"/>
              </w:rPr>
              <w:t>Certification Pursuant to Securities Exchange Act Rule 13(a)-14(a), as Adopted Pursuant to Section 302 of the Sarbanes-Oxley Act of 2002 (Rodney K.B. Young,</w:t>
            </w:r>
          </w:p>
        </w:tc>
      </w:t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Chief Financial Officer)</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92"/>
              </w:rPr>
              <w:t>32.1*</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Pursuant to 18 U.S.C. Section 1350, As Adopted Pursuant to Section 906 of the Sarbanes-Oxley Act of 2002 (Martin McGlynn, Chief Executive Officer)</w:t>
            </w:r>
          </w:p>
        </w:tc>
      </w:tr>
      <w:tr>
        <w:trPr>
          <w:trHeight w:val="157"/>
        </w:trPr>
        <w:tc>
          <w:tcPr>
            <w:tcW w:w="360" w:type="dxa"/>
            <w:vAlign w:val="bottom"/>
          </w:tcPr>
          <w:p>
            <w:pPr>
              <w:ind w:left="60"/>
              <w:spacing w:after="0"/>
              <w:rPr>
                <w:sz w:val="20"/>
                <w:szCs w:val="20"/>
                <w:color w:val="auto"/>
              </w:rPr>
            </w:pPr>
            <w:r>
              <w:rPr>
                <w:rFonts w:ascii="Arial" w:cs="Arial" w:eastAsia="Arial" w:hAnsi="Arial"/>
                <w:sz w:val="13"/>
                <w:szCs w:val="13"/>
                <w:color w:val="auto"/>
                <w:w w:val="92"/>
              </w:rPr>
              <w:t>32.2*</w:t>
            </w:r>
          </w:p>
        </w:tc>
        <w:tc>
          <w:tcPr>
            <w:tcW w:w="320" w:type="dxa"/>
            <w:vAlign w:val="bottom"/>
          </w:tcPr>
          <w:p>
            <w:pPr>
              <w:spacing w:after="0"/>
              <w:rPr>
                <w:sz w:val="13"/>
                <w:szCs w:val="13"/>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5"/>
              </w:rPr>
              <w:t>Certification Pursuant to 18 U.S.C. Section 1350, As Adopted Pursuant to Section 906 of the Sarbanes-Oxley Act of 2002 (Rodney K.B. Young, Chief Financial</w:t>
            </w:r>
          </w:p>
        </w:tc>
      </w:tr>
      <w:tr>
        <w:trPr>
          <w:trHeight w:val="165"/>
        </w:trPr>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-2726055</wp:posOffset>
            </wp:positionV>
            <wp:extent cx="63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Indicates management compensatory plan, contract or arrangement.</w:t>
      </w:r>
    </w:p>
    <w:p>
      <w:pPr>
        <w:spacing w:after="0" w:line="47" w:lineRule="exact"/>
        <w:rPr>
          <w:sz w:val="20"/>
          <w:szCs w:val="20"/>
          <w:color w:val="auto"/>
        </w:rPr>
      </w:pPr>
    </w:p>
    <w:p>
      <w:pPr>
        <w:ind w:left="900" w:right="3020" w:hanging="10"/>
        <w:spacing w:after="0" w:line="315" w:lineRule="auto"/>
        <w:tabs>
          <w:tab w:leader="none" w:pos="1096"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Material has been omitted and separately filed with the Commission. * Filed herewith.</w:t>
      </w:r>
    </w:p>
    <w:p>
      <w:pPr>
        <w:spacing w:after="0" w:line="1" w:lineRule="exact"/>
        <w:rPr>
          <w:sz w:val="20"/>
          <w:szCs w:val="20"/>
          <w:color w:val="auto"/>
        </w:rPr>
      </w:pPr>
    </w:p>
    <w:p>
      <w:pPr>
        <w:ind w:left="1080" w:hanging="241"/>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 for the fiscal year ended December 31, 2006 and filed on March 15, 2007.</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May 7, 2007.</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S-3, File No. 333-151891.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November 12, 2008.</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October 28, 2009.</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41"/>
        <w:spacing w:after="0"/>
        <w:tabs>
          <w:tab w:leader="none" w:pos="10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to the Registrant’s annual report on Form 10-K for the fiscal year ended December 31, 2008 and filed on March 16, 2009.</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S-1, File No. 33-45739.</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S-1, File No. 33-85494.</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to the Registrant’s annual report on Form 10-K for the fiscal year ended December 31, 1997 and filed on March 30, 1998.</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Incorporated by reference to the Registrant’s Quarterly Report on Form 10-Q for the quarter ended September 30, 1997 and filed on November 14, 1997.</w:t>
      </w:r>
    </w:p>
    <w:p>
      <w:pPr>
        <w:spacing w:after="0" w:line="70" w:lineRule="exact"/>
        <w:rPr>
          <w:rFonts w:ascii="Arial" w:cs="Arial" w:eastAsia="Arial" w:hAnsi="Arial"/>
          <w:sz w:val="11"/>
          <w:szCs w:val="11"/>
          <w:color w:val="auto"/>
        </w:rPr>
      </w:pPr>
    </w:p>
    <w:p>
      <w:pPr>
        <w:ind w:left="1080" w:hanging="302"/>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S-8, File No. 333-37313.</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to the Registrant’s Annual Report on Form 10-K/A for the fiscal year ended December 31, 2005 and filed on March 22, 2006.</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to the Registrant’s Annual Report on Form 10-K for the fiscal year ended December 31, 2000 and filed on April 2, 2001.</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September 30, 2009.</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definitive proxy statement filed May 1, 2001.</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S-8, File No. 333-118263.</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June 30, 2005.</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filed on September 7, 2005.</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September 30, 2008.</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Incorporated by reference to the Registrant’s annual report on Form 10-K for the fiscal year ended December 31, 2008 and filed on March 16, 2009.</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PRESIDENT AND CHIEF</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10, 2010</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04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ARTIN</w:t>
            </w:r>
            <w:r>
              <w:rPr>
                <w:rFonts w:ascii="Arial" w:cs="Arial" w:eastAsia="Arial" w:hAnsi="Arial"/>
                <w:sz w:val="13"/>
                <w:szCs w:val="13"/>
                <w:color w:val="auto"/>
              </w:rPr>
              <w:t xml:space="preserve"> M</w:t>
            </w:r>
            <w:r>
              <w:rPr>
                <w:rFonts w:ascii="Arial" w:cs="Arial" w:eastAsia="Arial" w:hAnsi="Arial"/>
                <w:sz w:val="8"/>
                <w:szCs w:val="8"/>
                <w:color w:val="auto"/>
              </w:rPr>
              <w:t>C</w:t>
            </w:r>
            <w:r>
              <w:rPr>
                <w:rFonts w:ascii="Arial" w:cs="Arial" w:eastAsia="Arial" w:hAnsi="Arial"/>
                <w:sz w:val="13"/>
                <w:szCs w:val="13"/>
                <w:color w:val="auto"/>
              </w:rPr>
              <w:t>G</w:t>
            </w:r>
            <w:r>
              <w:rPr>
                <w:rFonts w:ascii="Arial" w:cs="Arial" w:eastAsia="Arial" w:hAnsi="Arial"/>
                <w:sz w:val="8"/>
                <w:szCs w:val="8"/>
                <w:color w:val="auto"/>
              </w:rPr>
              <w:t>LYNN</w:t>
            </w:r>
          </w:p>
        </w:tc>
        <w:tc>
          <w:tcPr>
            <w:tcW w:w="4360" w:type="dxa"/>
            <w:vAlign w:val="bottom"/>
          </w:tcPr>
          <w:p>
            <w:pPr>
              <w:jc w:val="center"/>
              <w:spacing w:after="0"/>
              <w:rPr>
                <w:sz w:val="20"/>
                <w:szCs w:val="20"/>
                <w:color w:val="auto"/>
              </w:rPr>
            </w:pPr>
            <w:r>
              <w:rPr>
                <w:rFonts w:ascii="Arial" w:cs="Arial" w:eastAsia="Arial" w:hAnsi="Arial"/>
                <w:sz w:val="13"/>
                <w:szCs w:val="13"/>
                <w:color w:val="auto"/>
                <w:w w:val="92"/>
              </w:rPr>
              <w:t>President and Chief Executive Officer and Director (principal executive</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0"/>
              </w:rPr>
              <w:t>March 10, 2010</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8"/>
              </w:rPr>
              <w:t>Martin McGlynn</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rPr>
              <w:t>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ODNEY</w:t>
            </w:r>
            <w:r>
              <w:rPr>
                <w:rFonts w:ascii="Arial" w:cs="Arial" w:eastAsia="Arial" w:hAnsi="Arial"/>
                <w:sz w:val="13"/>
                <w:szCs w:val="13"/>
                <w:color w:val="auto"/>
              </w:rPr>
              <w:t xml:space="preserve"> K.B. Y</w:t>
            </w:r>
            <w:r>
              <w:rPr>
                <w:rFonts w:ascii="Arial" w:cs="Arial" w:eastAsia="Arial" w:hAnsi="Arial"/>
                <w:sz w:val="8"/>
                <w:szCs w:val="8"/>
                <w:color w:val="auto"/>
              </w:rPr>
              <w:t>OUNG</w:t>
            </w:r>
          </w:p>
        </w:tc>
        <w:tc>
          <w:tcPr>
            <w:tcW w:w="436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0"/>
              </w:rPr>
              <w:t>March 10, 2010</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Rodney K.B. Young</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financial 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K</w:t>
            </w:r>
            <w:r>
              <w:rPr>
                <w:rFonts w:ascii="Arial" w:cs="Arial" w:eastAsia="Arial" w:hAnsi="Arial"/>
                <w:sz w:val="8"/>
                <w:szCs w:val="8"/>
                <w:color w:val="auto"/>
              </w:rPr>
              <w:t>OSHY</w:t>
            </w:r>
          </w:p>
        </w:tc>
        <w:tc>
          <w:tcPr>
            <w:tcW w:w="4360" w:type="dxa"/>
            <w:vAlign w:val="bottom"/>
          </w:tcPr>
          <w:p>
            <w:pPr>
              <w:jc w:val="center"/>
              <w:spacing w:after="0"/>
              <w:rPr>
                <w:sz w:val="20"/>
                <w:szCs w:val="20"/>
                <w:color w:val="auto"/>
              </w:rPr>
            </w:pPr>
            <w:r>
              <w:rPr>
                <w:rFonts w:ascii="Arial" w:cs="Arial" w:eastAsia="Arial" w:hAnsi="Arial"/>
                <w:sz w:val="13"/>
                <w:szCs w:val="13"/>
                <w:color w:val="auto"/>
                <w:w w:val="95"/>
              </w:rPr>
              <w:t>Chief Accounting Officer</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0"/>
              </w:rPr>
              <w:t>March 10, 2010</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George Koshy</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w w:val="94"/>
              </w:rPr>
              <w:t>(principal accounting 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6"/>
              </w:rPr>
              <w:t>Eric Bjerkholt</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ICARDO</w:t>
            </w:r>
            <w:r>
              <w:rPr>
                <w:rFonts w:ascii="Arial" w:cs="Arial" w:eastAsia="Arial" w:hAnsi="Arial"/>
                <w:sz w:val="13"/>
                <w:szCs w:val="13"/>
                <w:color w:val="auto"/>
              </w:rPr>
              <w:t xml:space="preserve"> B. L</w:t>
            </w:r>
            <w:r>
              <w:rPr>
                <w:rFonts w:ascii="Arial" w:cs="Arial" w:eastAsia="Arial" w:hAnsi="Arial"/>
                <w:sz w:val="8"/>
                <w:szCs w:val="8"/>
                <w:color w:val="auto"/>
              </w:rPr>
              <w:t>EVY</w:t>
            </w:r>
            <w:r>
              <w:rPr>
                <w:rFonts w:ascii="Arial" w:cs="Arial" w:eastAsia="Arial" w:hAnsi="Arial"/>
                <w:sz w:val="13"/>
                <w:szCs w:val="13"/>
                <w:color w:val="auto"/>
              </w:rPr>
              <w:t>, P</w:t>
            </w:r>
            <w:r>
              <w:rPr>
                <w:rFonts w:ascii="Arial" w:cs="Arial" w:eastAsia="Arial" w:hAnsi="Arial"/>
                <w:sz w:val="8"/>
                <w:szCs w:val="8"/>
                <w:color w:val="auto"/>
              </w:rPr>
              <w:t>H</w:t>
            </w:r>
            <w:r>
              <w:rPr>
                <w:rFonts w:ascii="Arial" w:cs="Arial" w:eastAsia="Arial" w:hAnsi="Arial"/>
                <w:sz w:val="13"/>
                <w:szCs w:val="13"/>
                <w:color w:val="auto"/>
              </w:rPr>
              <w:t>.D.</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3"/>
              </w:rPr>
              <w:t>March 9,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Ricardo B. Levy, Ph.D.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OGER</w:t>
            </w:r>
            <w:r>
              <w:rPr>
                <w:rFonts w:ascii="Arial" w:cs="Arial" w:eastAsia="Arial" w:hAnsi="Arial"/>
                <w:sz w:val="13"/>
                <w:szCs w:val="13"/>
                <w:color w:val="auto"/>
              </w:rPr>
              <w:t xml:space="preserve"> M. P</w:t>
            </w:r>
            <w:r>
              <w:rPr>
                <w:rFonts w:ascii="Arial" w:cs="Arial" w:eastAsia="Arial" w:hAnsi="Arial"/>
                <w:sz w:val="8"/>
                <w:szCs w:val="8"/>
                <w:color w:val="auto"/>
              </w:rPr>
              <w:t>ERLMUTTER</w:t>
            </w:r>
            <w:r>
              <w:rPr>
                <w:rFonts w:ascii="Arial" w:cs="Arial" w:eastAsia="Arial" w:hAnsi="Arial"/>
                <w:sz w:val="13"/>
                <w:szCs w:val="13"/>
                <w:color w:val="auto"/>
              </w:rPr>
              <w:t>, M.D.</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0"/>
              </w:rPr>
              <w:t>March 10,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Roger M. Perlmutter, M.D.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w:t>
            </w:r>
            <w:r>
              <w:rPr>
                <w:rFonts w:ascii="Arial" w:cs="Arial" w:eastAsia="Arial" w:hAnsi="Arial"/>
                <w:sz w:val="8"/>
                <w:szCs w:val="8"/>
                <w:color w:val="auto"/>
                <w:w w:val="97"/>
              </w:rPr>
              <w:t>OHN</w:t>
            </w:r>
            <w:r>
              <w:rPr>
                <w:rFonts w:ascii="Arial" w:cs="Arial" w:eastAsia="Arial" w:hAnsi="Arial"/>
                <w:sz w:val="13"/>
                <w:szCs w:val="13"/>
                <w:color w:val="auto"/>
                <w:w w:val="97"/>
              </w:rPr>
              <w:t xml:space="preserve"> J. S</w:t>
            </w:r>
            <w:r>
              <w:rPr>
                <w:rFonts w:ascii="Arial" w:cs="Arial" w:eastAsia="Arial" w:hAnsi="Arial"/>
                <w:sz w:val="8"/>
                <w:szCs w:val="8"/>
                <w:color w:val="auto"/>
                <w:w w:val="97"/>
              </w:rPr>
              <w:t>CHWARTZ</w:t>
            </w:r>
            <w:r>
              <w:rPr>
                <w:rFonts w:ascii="Arial" w:cs="Arial" w:eastAsia="Arial" w:hAnsi="Arial"/>
                <w:sz w:val="13"/>
                <w:szCs w:val="13"/>
                <w:color w:val="auto"/>
                <w:w w:val="97"/>
              </w:rPr>
              <w:t>, P</w:t>
            </w:r>
            <w:r>
              <w:rPr>
                <w:rFonts w:ascii="Arial" w:cs="Arial" w:eastAsia="Arial" w:hAnsi="Arial"/>
                <w:sz w:val="8"/>
                <w:szCs w:val="8"/>
                <w:color w:val="auto"/>
                <w:w w:val="97"/>
              </w:rPr>
              <w:t>H</w:t>
            </w:r>
            <w:r>
              <w:rPr>
                <w:rFonts w:ascii="Arial" w:cs="Arial" w:eastAsia="Arial" w:hAnsi="Arial"/>
                <w:sz w:val="13"/>
                <w:szCs w:val="13"/>
                <w:color w:val="auto"/>
                <w:w w:val="97"/>
              </w:rPr>
              <w:t>. D.</w:t>
            </w:r>
          </w:p>
        </w:tc>
        <w:tc>
          <w:tcPr>
            <w:tcW w:w="4360" w:type="dxa"/>
            <w:vAlign w:val="bottom"/>
          </w:tcPr>
          <w:p>
            <w:pPr>
              <w:jc w:val="center"/>
              <w:spacing w:after="0"/>
              <w:rPr>
                <w:sz w:val="20"/>
                <w:szCs w:val="20"/>
                <w:color w:val="auto"/>
              </w:rPr>
            </w:pPr>
            <w:r>
              <w:rPr>
                <w:rFonts w:ascii="Arial" w:cs="Arial" w:eastAsia="Arial" w:hAnsi="Arial"/>
                <w:sz w:val="13"/>
                <w:szCs w:val="13"/>
                <w:color w:val="auto"/>
                <w:w w:val="92"/>
              </w:rPr>
              <w:t>Director, Chairman of the Board</w:t>
            </w:r>
          </w:p>
        </w:tc>
        <w:tc>
          <w:tcPr>
            <w:tcW w:w="2200" w:type="dxa"/>
            <w:vAlign w:val="bottom"/>
          </w:tcPr>
          <w:p>
            <w:pPr>
              <w:jc w:val="center"/>
              <w:ind w:right="714"/>
              <w:spacing w:after="0"/>
              <w:rPr>
                <w:sz w:val="20"/>
                <w:szCs w:val="20"/>
                <w:color w:val="auto"/>
              </w:rPr>
            </w:pPr>
            <w:r>
              <w:rPr>
                <w:rFonts w:ascii="Arial" w:cs="Arial" w:eastAsia="Arial" w:hAnsi="Arial"/>
                <w:sz w:val="13"/>
                <w:szCs w:val="13"/>
                <w:color w:val="auto"/>
                <w:w w:val="93"/>
              </w:rPr>
              <w:t>March 9,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9"/>
              </w:rPr>
              <w:t>John J. Schwartz, Ph. 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5"/>
              </w:rPr>
              <w:t>Irving L. Weissman, M.D.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360" w:type="dxa"/>
            <w:vAlign w:val="bottom"/>
          </w:tcPr>
          <w:p>
            <w:pPr>
              <w:jc w:val="right"/>
              <w:ind w:right="3454"/>
              <w:spacing w:after="0"/>
              <w:rPr>
                <w:sz w:val="20"/>
                <w:szCs w:val="20"/>
                <w:color w:val="auto"/>
              </w:rPr>
            </w:pPr>
            <w:r>
              <w:rPr>
                <w:rFonts w:ascii="Arial" w:cs="Arial" w:eastAsia="Arial" w:hAnsi="Arial"/>
                <w:sz w:val="13"/>
                <w:szCs w:val="13"/>
                <w:color w:val="auto"/>
              </w:rPr>
              <w:t>94</w:t>
            </w:r>
          </w:p>
        </w:tc>
        <w:tc>
          <w:tcPr>
            <w:tcW w:w="22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740" w:type="dxa"/>
            <w:vAlign w:val="bottom"/>
            <w:gridSpan w:val="3"/>
          </w:tcPr>
          <w:p>
            <w:pPr>
              <w:ind w:left="358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720" w:type="dxa"/>
            <w:vAlign w:val="bottom"/>
            <w:gridSpan w:val="2"/>
          </w:tcPr>
          <w:p>
            <w:pPr>
              <w:ind w:left="1140"/>
              <w:spacing w:after="0"/>
              <w:rPr>
                <w:sz w:val="20"/>
                <w:szCs w:val="20"/>
                <w:color w:val="auto"/>
              </w:rPr>
            </w:pPr>
            <w:r>
              <w:rPr>
                <w:rFonts w:ascii="Arial" w:cs="Arial" w:eastAsia="Arial" w:hAnsi="Arial"/>
                <w:sz w:val="10"/>
                <w:szCs w:val="10"/>
                <w:b w:val="1"/>
                <w:bCs w:val="1"/>
                <w:color w:val="auto"/>
              </w:rPr>
              <w:t>Exhibit No.</w:t>
            </w:r>
          </w:p>
        </w:tc>
        <w:tc>
          <w:tcPr>
            <w:tcW w:w="9740" w:type="dxa"/>
            <w:vAlign w:val="bottom"/>
            <w:gridSpan w:val="3"/>
          </w:tcPr>
          <w:p>
            <w:pPr>
              <w:ind w:left="4460"/>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1320" w:type="dxa"/>
            <w:vAlign w:val="bottom"/>
          </w:tcPr>
          <w:p>
            <w:pPr>
              <w:ind w:left="1140"/>
              <w:spacing w:after="0"/>
              <w:rPr>
                <w:sz w:val="20"/>
                <w:szCs w:val="20"/>
                <w:color w:val="auto"/>
              </w:rPr>
            </w:pPr>
            <w:r>
              <w:rPr>
                <w:rFonts w:ascii="Arial" w:cs="Arial" w:eastAsia="Arial" w:hAnsi="Arial"/>
                <w:sz w:val="13"/>
                <w:szCs w:val="13"/>
                <w:color w:val="auto"/>
                <w:w w:val="88"/>
              </w:rPr>
              <w:t>3.1</w:t>
            </w:r>
          </w:p>
        </w:tc>
        <w:tc>
          <w:tcPr>
            <w:tcW w:w="400" w:type="dxa"/>
            <w:vAlign w:val="bottom"/>
          </w:tcPr>
          <w:p>
            <w:pPr>
              <w:spacing w:after="0"/>
              <w:rPr>
                <w:sz w:val="15"/>
                <w:szCs w:val="15"/>
                <w:color w:val="auto"/>
              </w:rPr>
            </w:pPr>
          </w:p>
        </w:tc>
        <w:tc>
          <w:tcPr>
            <w:tcW w:w="4480" w:type="dxa"/>
            <w:vAlign w:val="bottom"/>
          </w:tcPr>
          <w:p>
            <w:pPr>
              <w:ind w:left="80"/>
              <w:spacing w:after="0"/>
              <w:rPr>
                <w:sz w:val="20"/>
                <w:szCs w:val="20"/>
                <w:color w:val="auto"/>
              </w:rPr>
            </w:pPr>
            <w:r>
              <w:rPr>
                <w:rFonts w:ascii="Arial" w:cs="Arial" w:eastAsia="Arial" w:hAnsi="Arial"/>
                <w:sz w:val="13"/>
                <w:szCs w:val="13"/>
                <w:color w:val="auto"/>
              </w:rPr>
              <w:t>Restated Certificate of Incorporation of the Registrant(1)</w:t>
            </w:r>
          </w:p>
        </w:tc>
        <w:tc>
          <w:tcPr>
            <w:tcW w:w="80" w:type="dxa"/>
            <w:vAlign w:val="bottom"/>
            <w:tcBorders>
              <w:top w:val="single" w:sz="8" w:color="auto"/>
            </w:tcBorders>
          </w:tcPr>
          <w:p>
            <w:pPr>
              <w:spacing w:after="0"/>
              <w:rPr>
                <w:sz w:val="15"/>
                <w:szCs w:val="15"/>
                <w:color w:val="auto"/>
              </w:rPr>
            </w:pPr>
          </w:p>
        </w:tc>
        <w:tc>
          <w:tcPr>
            <w:tcW w:w="5180" w:type="dxa"/>
            <w:vAlign w:val="bottom"/>
          </w:tcPr>
          <w:p>
            <w:pPr>
              <w:spacing w:after="0"/>
              <w:rPr>
                <w:sz w:val="15"/>
                <w:szCs w:val="15"/>
                <w:color w:val="auto"/>
              </w:rPr>
            </w:pP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3.2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Amended and Restated By-Laws of the Registrant(2)</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4.1</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Certificate(3)</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Warrant Certificate issued to certain purchasers of the Registrant’s common stock in November 2008(4)</w:t>
            </w:r>
          </w:p>
        </w:tc>
      </w:tr>
      <w:tr>
        <w:trPr>
          <w:trHeight w:val="157"/>
        </w:trPr>
        <w:tc>
          <w:tcPr>
            <w:tcW w:w="1320" w:type="dxa"/>
            <w:vAlign w:val="bottom"/>
          </w:tcPr>
          <w:p>
            <w:pPr>
              <w:ind w:left="1140"/>
              <w:spacing w:after="0"/>
              <w:rPr>
                <w:sz w:val="20"/>
                <w:szCs w:val="20"/>
                <w:color w:val="auto"/>
              </w:rPr>
            </w:pPr>
            <w:r>
              <w:rPr>
                <w:rFonts w:ascii="Arial" w:cs="Arial" w:eastAsia="Arial" w:hAnsi="Arial"/>
                <w:sz w:val="13"/>
                <w:szCs w:val="13"/>
                <w:color w:val="auto"/>
                <w:w w:val="88"/>
              </w:rPr>
              <w:t>4.3</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Warrant Certificate issued to certain purchasers of the Registrant’s common stock in November 2009(5)</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10.1</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at-will Employment Agreement between the Registrant and most of its employees(6)</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10.2</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Agreement for Consulting Services between the Registrant and the members of its Scientific Advisory Board(7)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10.3</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Cytotherapeutics, Inc. 1992 Equity Incentive Plan(7)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10.4</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1992 Stock Option Plan for Non-Employee Directors(7)</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10.5</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Agreement, dated as of August 1, 1992, between the Registrant and the Rhode Island Industrial Facilities Corporation(8)</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10.6</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First Amendment to Lease Agreement, dated as of September 15, 1994, between Registrant and the Rhode Island Industrial Facilities Corporation(8)</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10.7</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Tenant(9)</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10.8</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Registrant(10)</w:t>
            </w:r>
          </w:p>
        </w:tc>
      </w:tr>
      <w:tr>
        <w:trPr>
          <w:trHeight w:val="157"/>
        </w:trPr>
        <w:tc>
          <w:tcPr>
            <w:tcW w:w="1320" w:type="dxa"/>
            <w:vAlign w:val="bottom"/>
          </w:tcPr>
          <w:p>
            <w:pPr>
              <w:ind w:left="1080"/>
              <w:spacing w:after="0"/>
              <w:rPr>
                <w:sz w:val="20"/>
                <w:szCs w:val="20"/>
                <w:color w:val="auto"/>
              </w:rPr>
            </w:pPr>
            <w:r>
              <w:rPr>
                <w:rFonts w:ascii="Arial" w:cs="Arial" w:eastAsia="Arial" w:hAnsi="Arial"/>
                <w:sz w:val="13"/>
                <w:szCs w:val="13"/>
                <w:color w:val="auto"/>
                <w:w w:val="86"/>
              </w:rPr>
              <w:t>10.9</w:t>
            </w:r>
          </w:p>
        </w:tc>
        <w:tc>
          <w:tcPr>
            <w:tcW w:w="40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StemCells, Inc. 1996 Stock Option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10.10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1997 StemCells Research Stock Option Plan (the “1997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10.11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of Performance-Based Incentive Option Agreement issued under the 1997 Plan(11)</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 (the “1997 NeuroSpheres license agreement”)</w:t>
            </w:r>
          </w:p>
        </w:tc>
      </w:tr>
      <w:tr>
        <w:trPr>
          <w:trHeight w:val="157"/>
        </w:trPr>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ind w:lef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10.13 &amp;</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dated as of October 30, 2000, between the Registrant and NeuroSpheres Holdings Ltd. (the “2000 NeuroSpheres license agreement”)(13)</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10.14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Letter Agreement, dated January 2, 2001, between the Registrant and Martin McGlynn(13)</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10.15</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Registrant(13)</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10.16</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Third Amendment to Lease, dated October 12, 2009, between Registrant and The Board of Trustees of the Leland Stanford Junior University(14)</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10.17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2001 Equity Incentive Plan(15)</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10.18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StemCells, Inc. Amended and Restated 2004 Equity Incentive Plan(16)</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10.19 &amp;</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dated as of July 1, 2005, between the Registrant and ReNeuron Limited(17)</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10.20 #</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Letter Agreement, effective as of September 6, 2005, between the Registrant and Rodney K.B. Young(18)</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10.21</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Side Letter, dated October 30, 2000, between the Registrant and NeuroSpheres Ltd. regarding the 1997 and 2000 NeuroSpheres license agreements(13)</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10.22*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w w:val="98"/>
              </w:rPr>
              <w:t>Side Letter, dated March 21, 2002, between the Registrant and NeuroSpheres Ltd. and NeuroSpheres Holdings Ltd. regarding the 2000 NeuroSpheres license agreement</w:t>
            </w:r>
          </w:p>
        </w:tc>
      </w:tr>
      <w:tr>
        <w:trPr>
          <w:trHeight w:val="157"/>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10.23*</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Side Letter, dated July 2, 2003, between the Registrant and NeuroSpheres Ltd. and NeuroSpheres Holdings Ltd. regarding the 2000 NeuroSpheres license agreement</w:t>
            </w:r>
          </w:p>
        </w:tc>
      </w:tr>
      <w:tr>
        <w:trPr>
          <w:trHeight w:val="165"/>
        </w:trPr>
        <w:tc>
          <w:tcPr>
            <w:tcW w:w="1720" w:type="dxa"/>
            <w:vAlign w:val="bottom"/>
            <w:gridSpan w:val="2"/>
          </w:tcPr>
          <w:p>
            <w:pPr>
              <w:ind w:left="1080"/>
              <w:spacing w:after="0"/>
              <w:rPr>
                <w:sz w:val="20"/>
                <w:szCs w:val="20"/>
                <w:color w:val="auto"/>
              </w:rPr>
            </w:pPr>
            <w:r>
              <w:rPr>
                <w:rFonts w:ascii="Arial" w:cs="Arial" w:eastAsia="Arial" w:hAnsi="Arial"/>
                <w:sz w:val="13"/>
                <w:szCs w:val="13"/>
                <w:color w:val="auto"/>
              </w:rPr>
              <w:t>10.24 &amp;*</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w w:val="99"/>
              </w:rPr>
              <w:t>Side Letter, dated March 9, 2005, between the Registrant and NeuroSpheres Ltd. and NeuroSpheres Holdings Ltd. regarding the 2000 NeuroSpheres license agreement</w:t>
            </w:r>
          </w:p>
        </w:tc>
      </w:tr>
      <w:tr>
        <w:trPr>
          <w:trHeight w:val="452"/>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ind w:left="390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3"/>
        </w:trPr>
        <w:tc>
          <w:tcPr>
            <w:tcW w:w="1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-3429000</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4360" w:type="dxa"/>
            <w:vAlign w:val="bottom"/>
            <w:gridSpan w:val="2"/>
          </w:tcPr>
          <w:p>
            <w:pPr>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8"/>
        </w:trPr>
        <w:tc>
          <w:tcPr>
            <w:tcW w:w="360" w:type="dxa"/>
            <w:vAlign w:val="bottom"/>
          </w:tcPr>
          <w:p>
            <w:pPr>
              <w:jc w:val="right"/>
              <w:spacing w:after="0"/>
              <w:rPr>
                <w:sz w:val="20"/>
                <w:szCs w:val="20"/>
                <w:color w:val="auto"/>
              </w:rPr>
            </w:pPr>
            <w:r>
              <w:rPr>
                <w:rFonts w:ascii="Arial" w:cs="Arial" w:eastAsia="Arial" w:hAnsi="Arial"/>
                <w:sz w:val="13"/>
                <w:szCs w:val="13"/>
                <w:color w:val="auto"/>
              </w:rPr>
              <w:t>10.25</w:t>
            </w:r>
          </w:p>
        </w:tc>
        <w:tc>
          <w:tcPr>
            <w:tcW w:w="320" w:type="dxa"/>
            <w:vAlign w:val="bottom"/>
          </w:tcPr>
          <w:p>
            <w:pPr>
              <w:spacing w:after="0"/>
              <w:rPr>
                <w:sz w:val="15"/>
                <w:szCs w:val="15"/>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Indemnification Agreement, dated July 9, 2008, between the Registrant and NeuroSpheres Holdings, Ltd.(19)</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10.26</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Asset Purchase Agreement, dated March 1, 2009, between the Registrant and Stem Cell Sciences Plc(20)</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10.27</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February 2, 1998, between the Registrant and Ann Tsukamoto</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10.28</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Memorandum of Agreement, effective as of July 17, 2000, between the Registrant and Ann Tsukamoto</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10.29</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July 24, 2008, between the Registrant and Stewart Craig</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10.30</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February 2, 2007, between the Registrant and Kenneth B. Stratton</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10.31</w:t>
            </w: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August 6, 2009, between the Registrant and Kenneth B. Stratton</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10.32</w:t>
            </w:r>
          </w:p>
        </w:tc>
        <w:tc>
          <w:tcPr>
            <w:tcW w:w="320" w:type="dxa"/>
            <w:vAlign w:val="bottom"/>
          </w:tcPr>
          <w:p>
            <w:pPr>
              <w:ind w:left="20"/>
              <w:spacing w:after="0"/>
              <w:rPr>
                <w:sz w:val="20"/>
                <w:szCs w:val="20"/>
                <w:color w:val="auto"/>
              </w:rPr>
            </w:pPr>
            <w:r>
              <w:rPr>
                <w:rFonts w:ascii="Arial" w:cs="Arial" w:eastAsia="Arial" w:hAnsi="Arial"/>
                <w:sz w:val="13"/>
                <w:szCs w:val="13"/>
                <w:color w:val="auto"/>
              </w:rPr>
              <w:t>&amp;*</w:t>
            </w: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January 31, 2006, between Stem Cell Sciences (Australia) Pty Limited and The University of Edinburgh</w:t>
            </w:r>
          </w:p>
        </w:tc>
      </w:tr>
      <w:tr>
        <w:trPr>
          <w:trHeight w:val="157"/>
        </w:trPr>
        <w:tc>
          <w:tcPr>
            <w:tcW w:w="360" w:type="dxa"/>
            <w:vAlign w:val="bottom"/>
          </w:tcPr>
          <w:p>
            <w:pPr>
              <w:jc w:val="right"/>
              <w:ind w:right="115"/>
              <w:spacing w:after="0"/>
              <w:rPr>
                <w:sz w:val="20"/>
                <w:szCs w:val="20"/>
                <w:color w:val="auto"/>
              </w:rPr>
            </w:pPr>
            <w:r>
              <w:rPr>
                <w:rFonts w:ascii="Arial" w:cs="Arial" w:eastAsia="Arial" w:hAnsi="Arial"/>
                <w:sz w:val="13"/>
                <w:szCs w:val="13"/>
                <w:color w:val="auto"/>
                <w:w w:val="81"/>
              </w:rPr>
              <w:t>21*</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23.1*</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Consent of Grant Thornton, LLP, Independent Registered Public Accounting Firm</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31.1*</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Pursuant to Securities Exchange Act Rule 13(a)-14(a), as Adopted Pursuant to Section 302 of the Sarbanes-Oxley Act of 2002 (Martin McGlynn, Chief</w:t>
            </w:r>
          </w:p>
        </w:tc>
      </w:t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Executive Officer)</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31.2*</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(Rodney K.B. Young,</w:t>
            </w:r>
          </w:p>
        </w:tc>
      </w:t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Chief Financial Officer)</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32.1*</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Pursuant to 18 U.S.C. Section 1350, As Adopted Pursuant to Section 906 of the Sarbanes-Oxley Act of 2002 (Martin McGlynn, Chief Executive Officer)</w:t>
            </w:r>
          </w:p>
        </w:tc>
      </w:tr>
      <w:tr>
        <w:trPr>
          <w:trHeight w:val="157"/>
        </w:trPr>
        <w:tc>
          <w:tcPr>
            <w:tcW w:w="360" w:type="dxa"/>
            <w:vAlign w:val="bottom"/>
          </w:tcPr>
          <w:p>
            <w:pPr>
              <w:jc w:val="right"/>
              <w:spacing w:after="0"/>
              <w:rPr>
                <w:sz w:val="20"/>
                <w:szCs w:val="20"/>
                <w:color w:val="auto"/>
              </w:rPr>
            </w:pPr>
            <w:r>
              <w:rPr>
                <w:rFonts w:ascii="Arial" w:cs="Arial" w:eastAsia="Arial" w:hAnsi="Arial"/>
                <w:sz w:val="13"/>
                <w:szCs w:val="13"/>
                <w:color w:val="auto"/>
              </w:rPr>
              <w:t>32.2*</w:t>
            </w:r>
          </w:p>
        </w:tc>
        <w:tc>
          <w:tcPr>
            <w:tcW w:w="320" w:type="dxa"/>
            <w:vAlign w:val="bottom"/>
          </w:tcPr>
          <w:p>
            <w:pPr>
              <w:spacing w:after="0"/>
              <w:rPr>
                <w:sz w:val="13"/>
                <w:szCs w:val="13"/>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w w:val="95"/>
              </w:rPr>
              <w:t>Certification Pursuant to 18 U.S.C. Section 1350, As Adopted Pursuant to Section 906 of the Sarbanes-Oxley Act of 2002 (Rodney K.B. Young, Chief Financial</w:t>
            </w:r>
          </w:p>
        </w:tc>
      </w:tr>
      <w:tr>
        <w:trPr>
          <w:trHeight w:val="165"/>
        </w:trPr>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20" w:type="dxa"/>
            <w:vAlign w:val="bottom"/>
            <w:gridSpan w:val="3"/>
          </w:tcPr>
          <w:p>
            <w:pPr>
              <w:ind w:left="10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-1727200</wp:posOffset>
            </wp:positionV>
            <wp:extent cx="63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Indicates management compensatory plan, contract or arrangement.</w:t>
      </w:r>
    </w:p>
    <w:p>
      <w:pPr>
        <w:spacing w:after="0" w:line="47" w:lineRule="exact"/>
        <w:rPr>
          <w:sz w:val="20"/>
          <w:szCs w:val="20"/>
          <w:color w:val="auto"/>
        </w:rPr>
      </w:pPr>
    </w:p>
    <w:p>
      <w:pPr>
        <w:ind w:left="900" w:right="2980" w:hanging="10"/>
        <w:spacing w:after="0" w:line="315" w:lineRule="auto"/>
        <w:tabs>
          <w:tab w:leader="none" w:pos="1096"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Material has been omitted and separately filed with the Commission. * Filed herewith.</w:t>
      </w:r>
    </w:p>
    <w:p>
      <w:pPr>
        <w:spacing w:after="0" w:line="1" w:lineRule="exact"/>
        <w:rPr>
          <w:sz w:val="20"/>
          <w:szCs w:val="20"/>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 for the fiscal year ended December 31, 2006 and filed on March 15, 2007.</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May 7, 2007.</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S-3, File No. 333-151891.</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November 12, 2008.</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on October 28, 2009.</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 for the fiscal year ended December 31, 2008 and filed on March 16, 2009.</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S-1, File No. 33-45739.</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S-1, File No. 33-85494.</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 for the fiscal year ended December 31, 1997 and filed on March 30, 1998.</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September 30, 1997 and filed on November 14, 1997.</w:t>
      </w:r>
    </w:p>
    <w:p>
      <w:pPr>
        <w:spacing w:after="0" w:line="47" w:lineRule="exact"/>
        <w:rPr>
          <w:rFonts w:ascii="Arial" w:cs="Arial" w:eastAsia="Arial" w:hAnsi="Arial"/>
          <w:sz w:val="13"/>
          <w:szCs w:val="13"/>
          <w:color w:val="auto"/>
        </w:rPr>
      </w:pPr>
    </w:p>
    <w:p>
      <w:pPr>
        <w:ind w:left="1080" w:hanging="302"/>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S-8, File No. 333-37313.</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10-K/A for the fiscal year ended December 31, 2005 and filed on March 22, 2006.</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Incorporated by reference to the Registrant’s Annual Report on Form 10-K for the fiscal year ended December 31, 2000 and filed on April 2, 2001.</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September 30, 2009.</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definitive proxy statement filed May 1, 2001.</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Registration Statement on Form S-8, File No. 333-118263.</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June 30, 2005.</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current report on Form 8-K filed on September 7, 2005.</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Incorporated by reference to the Registrant’s Quarterly Report on Form 10-Q for the quarter ended September 30, 2008.</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to the Registrant’s annual report on Form 10-K for the fiscal year ended December 31, 2008 and filed on March 16, 2009.</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0239"/>
          </w:cols>
          <w:pgMar w:left="220" w:top="343"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804035" cy="3746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21, 2002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Oleh S. Hnatiuk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NeuroSpheres Ltd. and Neurospheres Holdings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 University Technologies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130, 3553 31 St. N.W.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T2L 2K7 Canada</w:t>
      </w:r>
    </w:p>
    <w:p>
      <w:pPr>
        <w:spacing w:after="0" w:line="158"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color w:val="auto"/>
        </w:rPr>
        <w:t>License Agreement, NeuroSpheres LTD, NeuroSpheres Holdings LTD, and StemCells, Inc., dated October 30, 2000 (the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Mr. Hnatiuk:</w:t>
      </w:r>
    </w:p>
    <w:p>
      <w:pPr>
        <w:spacing w:after="0" w:line="86"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This letter (the “Letter Amendment”) will, if accepted by NeuroSpheres Ltd. and Neurospheres Holdings Ltd., constitute an amendment to the Agreement referenced above. As we have discussed, StemCells, Inc. (“StemCells”) proposes to enter a sublicense with BioWhittaker, Inc., (“BioWhittaker) under which BioWhittaker would be granted the right (retroactively, upon payment of royalties for past sales) to sell the product listed in its catalogue as CC2259 “Neural Progenitor Cells.” We ask that NeuroSpheres Ltd. and Neurospheres Holdings Ltd. agree to amend Section 3.08 of the Agreement to add the following words to the end of the first sentence: “, provided, however, that neither the entry of a sublicense between SCI and BioWhittaker, Inc. or any parent or subsidiary thereof concerning activity in the research market, nor any sales or other activity pursuant to such sublicense, shall constitute commercial sales of any licensed Product for the purposes of this Section 3.08.” That section would accordingly read, in its entirety: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3.08 </w:t>
      </w:r>
      <w:r>
        <w:rPr>
          <w:rFonts w:ascii="Arial" w:cs="Arial" w:eastAsia="Arial" w:hAnsi="Arial"/>
          <w:sz w:val="13"/>
          <w:szCs w:val="13"/>
          <w:u w:val="single" w:color="auto"/>
          <w:color w:val="auto"/>
        </w:rPr>
        <w:t>Annual Payments</w:t>
      </w:r>
    </w:p>
    <w:p>
      <w:pPr>
        <w:spacing w:after="0" w:line="86" w:lineRule="exact"/>
        <w:rPr>
          <w:sz w:val="20"/>
          <w:szCs w:val="20"/>
          <w:color w:val="auto"/>
        </w:rPr>
      </w:pPr>
    </w:p>
    <w:p>
      <w:pPr>
        <w:ind w:left="220" w:right="200"/>
        <w:spacing w:after="0" w:line="260" w:lineRule="auto"/>
        <w:rPr>
          <w:sz w:val="20"/>
          <w:szCs w:val="20"/>
          <w:color w:val="auto"/>
        </w:rPr>
      </w:pPr>
      <w:r>
        <w:rPr>
          <w:rFonts w:ascii="Arial" w:cs="Arial" w:eastAsia="Arial" w:hAnsi="Arial"/>
          <w:sz w:val="13"/>
          <w:szCs w:val="13"/>
          <w:color w:val="auto"/>
        </w:rPr>
        <w:t>SCI shall make annual payments to NS in the amount of fifty thousand Dollars ($50,000) during the term hereof (the “Annual Payments”), beginning with the first of the following years: (i) the first full year of commercial sales of any licensed Product are made, and (ii) the year 2004, provided, however, that neither the entry of a sublicense between SCI and BioWhittaker, Inc. or any parent or subsidiary thereof concerning activity in the research market, nor any sales or other activity pursuant to such sublicense, shall constitute commercial sales of any licensed Product for the purposes of this Section 3.08. Each Annual Payment due hereunder shall be payable on or before the last day of the year for which it is due.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3155 Porter Drive • Palo Alto, CA 94304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(650) 475-3100 • (650) 475-3101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auto"/>
        </w:rPr>
        <w:t>March 21, 2002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Annual Payment in this section 3.08 shall be fully creditable on an accumulated basis against any royalty income due to NS under section 3.01 or 3.02. Annual Payments are not refundable.</w:t>
      </w:r>
    </w:p>
    <w:p>
      <w:pPr>
        <w:spacing w:after="0" w:line="86"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Except as modified above, all other terms, conditions and covenants of the Agreement, specifically but without limitation including the provisions of Section 3.12 regarding sublicensing fees, remain in full force and effect.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If NeuroSpheres Ltd. and Neurospheres Holdings Ltd. agree to this Letter Amendment, please have the enclosed copy dated and signed on their behalves and return it to me.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Iris Brest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Iris Brest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terms of the Letter Agreement set forth above are hereby accepted: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NeuroSpheres Ltd.</w:t>
            </w:r>
          </w:p>
        </w:tc>
        <w:tc>
          <w:tcPr>
            <w:tcW w:w="6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5"/>
        </w:trPr>
        <w:tc>
          <w:tcPr>
            <w:tcW w:w="5420" w:type="dxa"/>
            <w:vAlign w:val="bottom"/>
          </w:tcPr>
          <w:p>
            <w:pPr>
              <w:spacing w:after="0"/>
              <w:rPr>
                <w:sz w:val="20"/>
                <w:szCs w:val="20"/>
                <w:color w:val="auto"/>
              </w:rPr>
            </w:pPr>
            <w:r>
              <w:rPr>
                <w:rFonts w:ascii="Arial" w:cs="Arial" w:eastAsia="Arial" w:hAnsi="Arial"/>
                <w:sz w:val="13"/>
                <w:szCs w:val="13"/>
                <w:color w:val="auto"/>
              </w:rPr>
              <w:t>/s/ Oleh S. Hnatiuk</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04/01/2002</w:t>
            </w:r>
          </w:p>
        </w:tc>
      </w:tr>
      <w:tr>
        <w:trPr>
          <w:trHeight w:val="156"/>
        </w:trPr>
        <w:tc>
          <w:tcPr>
            <w:tcW w:w="5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by: Oleh S. Hnatiuk</w:t>
            </w:r>
          </w:p>
        </w:tc>
        <w:tc>
          <w:tcPr>
            <w:tcW w:w="600" w:type="dxa"/>
            <w:vAlign w:val="bottom"/>
          </w:tcPr>
          <w:p>
            <w:pPr>
              <w:spacing w:after="0"/>
              <w:rPr>
                <w:sz w:val="13"/>
                <w:szCs w:val="13"/>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r>
        <w:trPr>
          <w:trHeight w:val="315"/>
        </w:trPr>
        <w:tc>
          <w:tcPr>
            <w:tcW w:w="5420" w:type="dxa"/>
            <w:vAlign w:val="bottom"/>
          </w:tcPr>
          <w:p>
            <w:pPr>
              <w:spacing w:after="0"/>
              <w:rPr>
                <w:sz w:val="20"/>
                <w:szCs w:val="20"/>
                <w:color w:val="auto"/>
              </w:rPr>
            </w:pPr>
            <w:r>
              <w:rPr>
                <w:rFonts w:ascii="Arial" w:cs="Arial" w:eastAsia="Arial" w:hAnsi="Arial"/>
                <w:sz w:val="13"/>
                <w:szCs w:val="13"/>
                <w:color w:val="auto"/>
              </w:rPr>
              <w:t>NeuroSpheres Holdings Ltd.</w:t>
            </w:r>
          </w:p>
        </w:tc>
        <w:tc>
          <w:tcPr>
            <w:tcW w:w="6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15"/>
        </w:trPr>
        <w:tc>
          <w:tcPr>
            <w:tcW w:w="5420" w:type="dxa"/>
            <w:vAlign w:val="bottom"/>
          </w:tcPr>
          <w:p>
            <w:pPr>
              <w:spacing w:after="0"/>
              <w:rPr>
                <w:sz w:val="20"/>
                <w:szCs w:val="20"/>
                <w:color w:val="auto"/>
              </w:rPr>
            </w:pPr>
            <w:r>
              <w:rPr>
                <w:rFonts w:ascii="Arial" w:cs="Arial" w:eastAsia="Arial" w:hAnsi="Arial"/>
                <w:sz w:val="13"/>
                <w:szCs w:val="13"/>
                <w:color w:val="auto"/>
              </w:rPr>
              <w:t>/s/ Oleh S. Hnatiuk</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04/01/2002</w:t>
            </w:r>
          </w:p>
        </w:tc>
      </w:tr>
      <w:tr>
        <w:trPr>
          <w:trHeight w:val="156"/>
        </w:trPr>
        <w:tc>
          <w:tcPr>
            <w:tcW w:w="5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by: Oleh S. Hnatiuk</w:t>
            </w:r>
          </w:p>
        </w:tc>
        <w:tc>
          <w:tcPr>
            <w:tcW w:w="600" w:type="dxa"/>
            <w:vAlign w:val="bottom"/>
          </w:tcPr>
          <w:p>
            <w:pPr>
              <w:spacing w:after="0"/>
              <w:rPr>
                <w:sz w:val="13"/>
                <w:szCs w:val="13"/>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720"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804035" cy="374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July 2, 2003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NeuroSpheres Ltd. and Neurospheres Holdings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 University Technologies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130, 3553 31 St. N.W.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T2L 2K7 Canada</w:t>
      </w:r>
    </w:p>
    <w:p>
      <w:pPr>
        <w:spacing w:after="0" w:line="158"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color w:val="auto"/>
        </w:rPr>
        <w:t>License Agreement, NeuroSpheres LTD, NeuroSpheres Holdings LTD, and StemCells, Inc., dated October 30, 2000 (the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Mr. Jones:</w:t>
      </w:r>
    </w:p>
    <w:p>
      <w:pPr>
        <w:spacing w:after="0" w:line="8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This letter (the “Second Letter Amendment”) will, if accepted by NeuroSpheres Ltd. and Neurospheres Holdings Ltd., constitute an amendment to the Agreement referenced above. You are aware that StemCells has entered a short-term sublicence with StemCell Technologies, Inc. (STI), a Canadian corporation located in Vancouver; as we have discussed, StemCells proposes to enter a long-term sublicense with them (the “New Sublicense”. Under the New Sublicense, STI would be granted the right to make and sell certain products (at this point, we’re in discussion about the products, but they would be non-human cells and media which could include media for culturing human cells, all for the research market only) under patent rights that include patents licensed to StemCells by NeuroSpheres as well as patents of which StemCells is the owner. In order to avoid the need to enter into two separate agreements (one covering NeuroSpheres technology and the other covering StemCells’ technology), we request an amendment to provide that in calculating payments to NeuroSpheres under the New Sublicense, receipts due to the StemCells’ technology be excluded.</w:t>
      </w:r>
    </w:p>
    <w:p>
      <w:pPr>
        <w:spacing w:after="0" w:line="62"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In particular, we ask that NeuroSpheres Ltd. and Neurospheres Holdings Ltd. agree to amend Section 3.12 of the Agreement to add “(the ‘Sublicense Receipts’)” to the end of the first sentence and to insert the following after the second sentence: “In the event SCI enters an agreement with StemCell Technologies, Inc., that includes the sublicense of rights in the New Patent Rights and/or the New Cell Technology in combination with the license or sublicense of any other intellectual property, that fraction of the Sublicense Receipts representing the value of such other intellectual property to the total intellectual property so licensed or sublicensed for the purposes of such agreement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3155 Porter Drive • Palo Alto, CA 94304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(650) 475-3100 • (650) 475-3101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2, 2003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with StemCell Technologies, Inc., shall be excluded from the Sublicense Receipts. The determination of said fraction shall be made in good faith by SCI, provided that SCI shall furnish NS with a full description of the scope of the license, a report on the rationale used in the determination of said fraction and the specific technology included in such agreement with StemCell Technologies, Inc.” Section 3.12 would accordingly read, in its entirety:</w:t>
      </w:r>
    </w:p>
    <w:p>
      <w:pPr>
        <w:spacing w:after="0" w:line="57"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1"/>
          <w:szCs w:val="11"/>
          <w:color w:val="auto"/>
        </w:rPr>
        <w:t>Sublicensing Fee</w:t>
      </w:r>
    </w:p>
    <w:p>
      <w:pPr>
        <w:spacing w:after="0" w:line="96"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SCI shall pay to NS an amount equal to twenty five percent (25%) of any cash payments and 25% of any securities of a third party, including upfront, milestone and royalty cash payments, that SCI shall receive in respect of its issuance of sublicenses of rights in the New Patent Rights and/or the New Cell Technology (the “Sublicense Receipts”). Notwithstanding the foregoing, SCI shall have no obligation to make any payment to NS based on its receipt of funds for equity investments in SCI, loans to SCI, including without limitation loans which are convertible into equity in SCI, or research and development or sponsored research funding, whether or not paid to SCI in connection with such a sublicense, including any product candidate utilizing New Patent Rights and/or the New Cell Technology. In the event SCI enters an agreement with StemCell Technologies, Inc., that includes the sublicense of rights in the New Patent Rights and/or the New Cell Technology in combination with the license or sublicense of any other intellectual property, that fraction of the Sublicense Receipts representing the value of such other intellectual property to the total intellectual property so licensed or sublicensed for the purposes of such agreement with StemCell Technologies, Inc., shall be excluded from the Sublicense Receipts. The determination of said fraction shall be made in good faith by SCI, provided that SCI shall furnish NS with a full description of the scope of the license, a report on the rationale used in the determination of said fraction and the specific technology included in such agreement with StemCell Technologies, Inc. For the purposes of this Section 3.12 reference to any cash payment shall, to the extent consistent with the preceding sentence hereof, include any cheque, money order or other negotiable instrument that may be provided in lieu of cash.</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Except as modified above, all other terms, conditions and covenants of the Agreement remain in full force and effect. Further, Section 3.12 as amended would apply only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2, 2003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New Sublicense, and not to the interim agreement currently in place between StemCells and StemCell Technologies,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If NeuroSpheres Ltd. and Neurospheres Holdings Ltd. agree to this Second Letter Amendment, please have the enclosed copy dated and signed on their behalves and return it to me.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Iris Brest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Iris Brest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terms of the Second Letter Amendment set forth above are hereby accepted: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NeuroSpheres Ltd.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Hugh Jones</w:t>
            </w:r>
          </w:p>
        </w:tc>
        <w:tc>
          <w:tcPr>
            <w:tcW w:w="600" w:type="dxa"/>
            <w:vAlign w:val="bottom"/>
          </w:tcPr>
          <w:p>
            <w:pPr>
              <w:spacing w:after="0"/>
              <w:rPr>
                <w:sz w:val="14"/>
                <w:szCs w:val="1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July 3, 2003</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by: Hugh Jones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r>
        <w:trPr>
          <w:trHeight w:val="315"/>
        </w:trPr>
        <w:tc>
          <w:tcPr>
            <w:tcW w:w="5420" w:type="dxa"/>
            <w:vAlign w:val="bottom"/>
          </w:tcPr>
          <w:p>
            <w:pPr>
              <w:spacing w:after="0"/>
              <w:rPr>
                <w:sz w:val="20"/>
                <w:szCs w:val="20"/>
                <w:color w:val="auto"/>
              </w:rPr>
            </w:pPr>
            <w:r>
              <w:rPr>
                <w:rFonts w:ascii="Arial" w:cs="Arial" w:eastAsia="Arial" w:hAnsi="Arial"/>
                <w:sz w:val="13"/>
                <w:szCs w:val="13"/>
                <w:color w:val="auto"/>
              </w:rPr>
              <w:t>NeuroSpheres Holdings Ltd.</w:t>
            </w:r>
          </w:p>
        </w:tc>
        <w:tc>
          <w:tcPr>
            <w:tcW w:w="6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1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Hugh Jones</w:t>
            </w:r>
          </w:p>
        </w:tc>
        <w:tc>
          <w:tcPr>
            <w:tcW w:w="6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July 3, 2003</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by: Hugh Jones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7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804035" cy="3746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9, 2005</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NeuroSpheres Ltd. and Neurospheres Holdings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 University Technologies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130, 3553 31 St. N.W.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T2L 2K7 Canada</w:t>
      </w:r>
    </w:p>
    <w:p>
      <w:pPr>
        <w:spacing w:after="0" w:line="158"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color w:val="auto"/>
        </w:rPr>
        <w:t>License Agreement, NeuroSpheres LTD, NeuroSpheres Holdings LTD, and StemCells, Inc., dated October 30, 2000 (the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Mr. Jones: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This letter (the “Third Letter Amendment”) will, if accepted by NeuroSpheres Ltd. and Neurospheres Holdings Ltd., constitute an amendment to the Agreement referenced above.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Section 3.08 of the Agreement is amended to add the words “and any amounts due to NS on account of sublicenses under section 3.12” at the end of the third sentence, so that the Section reads in full:</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3.08 </w:t>
      </w:r>
      <w:r>
        <w:rPr>
          <w:rFonts w:ascii="Arial" w:cs="Arial" w:eastAsia="Arial" w:hAnsi="Arial"/>
          <w:sz w:val="13"/>
          <w:szCs w:val="13"/>
          <w:u w:val="single" w:color="auto"/>
          <w:color w:val="auto"/>
        </w:rPr>
        <w:t>Annual Payments</w:t>
      </w:r>
    </w:p>
    <w:p>
      <w:pPr>
        <w:spacing w:after="0" w:line="86" w:lineRule="exact"/>
        <w:rPr>
          <w:sz w:val="20"/>
          <w:szCs w:val="20"/>
          <w:color w:val="auto"/>
        </w:rPr>
      </w:pPr>
    </w:p>
    <w:p>
      <w:pPr>
        <w:ind w:left="220" w:right="40"/>
        <w:spacing w:after="0" w:line="260" w:lineRule="auto"/>
        <w:rPr>
          <w:sz w:val="20"/>
          <w:szCs w:val="20"/>
          <w:color w:val="auto"/>
        </w:rPr>
      </w:pPr>
      <w:r>
        <w:rPr>
          <w:rFonts w:ascii="Arial" w:cs="Arial" w:eastAsia="Arial" w:hAnsi="Arial"/>
          <w:sz w:val="13"/>
          <w:szCs w:val="13"/>
          <w:color w:val="auto"/>
        </w:rPr>
        <w:t>SCI shall make annual payments to NS in the amount of fifty thousand Dollars ($50,000) during the term hereof (the “Annual Payments”), beginning with the first of the following years: (i) the first full year of commercial sales of any licensed Product are made, and (ii) the year 2004. Each Annual Payment due hereunder shall be payable on or before the last day of the year for which it is due. The Annual Payment in this section 3.08 shall be fully creditable on an accumulated basis against any royalty income due to NS under section 3.01 or 3.02 and any amounts due to NS on account of sublicenses under section 3.12. Annual Payments are not refundable.</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Section 3.12 of the Agreement is amended to add the words “(the “Sublicense Receipts”)” at the end of the first sentence, and inserting the following material before the last sentence: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3155 Porter Drive • Palo Alto, CA 94304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(650) 475-3100 • (650) 475-3101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9, 2005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left="220" w:right="120"/>
        <w:spacing w:after="0" w:line="264" w:lineRule="auto"/>
        <w:rPr>
          <w:sz w:val="20"/>
          <w:szCs w:val="20"/>
          <w:color w:val="auto"/>
        </w:rPr>
      </w:pPr>
      <w:r>
        <w:rPr>
          <w:rFonts w:ascii="Arial" w:cs="Arial" w:eastAsia="Arial" w:hAnsi="Arial"/>
          <w:sz w:val="13"/>
          <w:szCs w:val="13"/>
          <w:color w:val="auto"/>
        </w:rPr>
        <w:t>In the event SCI enters an agreement with a third party that includes the sublicense of rights in the New Patent Rights and/or the New Cell Technology in combination with the license or sublicense of any other intellectual property, that fraction of the Sublicense Receipts representing the value of such other intellectual property to the total intellectual property so licensed or sublicensed for the purposes of such agreement shall be excluded from the Sublicense Receipts. The determination of said fraction shall be made in good faith by SCI, provided that:</w:t>
      </w:r>
    </w:p>
    <w:p>
      <w:pPr>
        <w:spacing w:after="0" w:line="57" w:lineRule="exact"/>
        <w:rPr>
          <w:sz w:val="20"/>
          <w:szCs w:val="20"/>
          <w:color w:val="auto"/>
        </w:rPr>
      </w:pPr>
    </w:p>
    <w:p>
      <w:pPr>
        <w:ind w:left="1140" w:hanging="453"/>
        <w:spacing w:after="0" w:line="258" w:lineRule="auto"/>
        <w:tabs>
          <w:tab w:leader="none" w:pos="1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SCI shall first furnish NS with a full description of the scope of each such agreement, the specific technology included in such agreement, the fraction SCI believes the New Patent Rights and/or the New Cell Technology constitute of the total intellectual property covered by such agreement, and the rationale used by SCI in the determination of said fraction, and shall then afford NS the opportunity to confer before SCI makes its determination of such fraction. Related information requested by NS and necessary for NS to understand SCI’s proposal as to said fraction shall not be unreasonably withheld by SCI,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SCI shall be under no obligation to create or obtain information not in its possession and that any such information, unless otherwise publicly disclosed by SCI, shall be Confidential Information, and</w:t>
      </w:r>
    </w:p>
    <w:p>
      <w:pPr>
        <w:spacing w:after="0" w:line="71" w:lineRule="exact"/>
        <w:rPr>
          <w:rFonts w:ascii="Arial" w:cs="Arial" w:eastAsia="Arial" w:hAnsi="Arial"/>
          <w:sz w:val="13"/>
          <w:szCs w:val="13"/>
          <w:color w:val="auto"/>
        </w:rPr>
      </w:pPr>
    </w:p>
    <w:p>
      <w:pPr>
        <w:ind w:left="1140" w:hanging="453"/>
        <w:spacing w:after="0"/>
        <w:tabs>
          <w:tab w:leader="none" w:pos="11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the event that such a sublicense includes transplantation uses of the New Patent Rights and/or the New Cell Technology, the fraction shall not be less than [****].</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so that the Section reads in full: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Sublicensing Fee</w:t>
      </w:r>
    </w:p>
    <w:p>
      <w:pPr>
        <w:spacing w:after="0" w:line="86" w:lineRule="exact"/>
        <w:rPr>
          <w:sz w:val="20"/>
          <w:szCs w:val="20"/>
          <w:color w:val="auto"/>
        </w:rPr>
      </w:pPr>
    </w:p>
    <w:p>
      <w:pPr>
        <w:ind w:left="220" w:right="440"/>
        <w:spacing w:after="0" w:line="276" w:lineRule="auto"/>
        <w:rPr>
          <w:sz w:val="20"/>
          <w:szCs w:val="20"/>
          <w:color w:val="auto"/>
        </w:rPr>
      </w:pPr>
      <w:r>
        <w:rPr>
          <w:rFonts w:ascii="Arial" w:cs="Arial" w:eastAsia="Arial" w:hAnsi="Arial"/>
          <w:sz w:val="13"/>
          <w:szCs w:val="13"/>
          <w:color w:val="auto"/>
        </w:rPr>
        <w:t>SCI shall pay to NS an amount equal to [****], that SCI shall receive in respect of its issuance of sublicenses of rights in the New Patent Rights and/or the New Cell Technology (the “Sublicense Receipts”). Notwithstanding the foregoing, SCI shall have no</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Certain information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9, 2005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220"/>
        <w:spacing w:after="0" w:line="258" w:lineRule="auto"/>
        <w:rPr>
          <w:sz w:val="20"/>
          <w:szCs w:val="20"/>
          <w:color w:val="auto"/>
        </w:rPr>
      </w:pPr>
      <w:r>
        <w:rPr>
          <w:rFonts w:ascii="Arial" w:cs="Arial" w:eastAsia="Arial" w:hAnsi="Arial"/>
          <w:sz w:val="13"/>
          <w:szCs w:val="13"/>
          <w:color w:val="auto"/>
        </w:rPr>
        <w:t>obligation to make any payment to NS based on its receipt of funds for equity investments in SCI, loans to SCI, including without limitation loans which are convertible into equity in SCI, or research and development or sponsored research funding, whether or not paid to SCI in connection with such a sublicense, including any product candidate utilizing New Patent Rights and/or the New Cell Technology. In the event SCI enters an agreement with a third party that includes the sublicense of rights in the New Patent Rights and/or the New Cell Technology in combination with the license or sublicense of any other intellectual property, that fraction of the Sublicense Receipts representing the value of such other intellectual property to the total intellectual property so licensed or sublicensed for the purposes of such agreement shall be excluded from the Sublicense Receipts. The determination of said fraction shall be made in good faith by SCI, provided that</w:t>
      </w:r>
    </w:p>
    <w:p>
      <w:pPr>
        <w:spacing w:after="0" w:line="61" w:lineRule="exact"/>
        <w:rPr>
          <w:sz w:val="20"/>
          <w:szCs w:val="20"/>
          <w:color w:val="auto"/>
        </w:rPr>
      </w:pPr>
    </w:p>
    <w:p>
      <w:pPr>
        <w:ind w:left="1140" w:hanging="453"/>
        <w:spacing w:after="0" w:line="258" w:lineRule="auto"/>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 xml:space="preserve">SCI shall first furnish NS with a full description of the scope of each such agreement, the specific technology included in such agreement, the fraction SCI believes the New Patent Rights and/or the New Cell Technology constitute of the total intellectual property covered by such agreement, and the rationale used by SCI in the determination of said fraction, and shall then afford NS the opportunity to confer before SCI makes its determination of such fraction. Related information requested by NS and necessary for NS to understand SCI’s proposal as to said fraction shall not be unreasonably withheld by SCI,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SCI shall be under no obligation to create or obtain information not in its possession and that any such information, unless otherwise publicly disclosed by SCI, shall be Confidential Information, and</w:t>
      </w:r>
    </w:p>
    <w:p>
      <w:pPr>
        <w:spacing w:after="0" w:line="71" w:lineRule="exact"/>
        <w:rPr>
          <w:rFonts w:ascii="Arial" w:cs="Arial" w:eastAsia="Arial" w:hAnsi="Arial"/>
          <w:sz w:val="13"/>
          <w:szCs w:val="13"/>
          <w:color w:val="auto"/>
        </w:rPr>
      </w:pPr>
    </w:p>
    <w:p>
      <w:pPr>
        <w:ind w:left="1140" w:hanging="453"/>
        <w:spacing w:after="0"/>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the event that such a sublicense includes transplantation uses of the New Patent Rights and/or the New Cell Technology, the fraction shall not be less than [****].</w:t>
      </w:r>
    </w:p>
    <w:p>
      <w:pPr>
        <w:spacing w:after="0" w:line="86" w:lineRule="exact"/>
        <w:rPr>
          <w:sz w:val="20"/>
          <w:szCs w:val="20"/>
          <w:color w:val="auto"/>
        </w:rPr>
      </w:pPr>
    </w:p>
    <w:p>
      <w:pPr>
        <w:ind w:left="220" w:right="200"/>
        <w:spacing w:after="0" w:line="276" w:lineRule="auto"/>
        <w:rPr>
          <w:sz w:val="20"/>
          <w:szCs w:val="20"/>
          <w:color w:val="auto"/>
        </w:rPr>
      </w:pPr>
      <w:r>
        <w:rPr>
          <w:rFonts w:ascii="Arial" w:cs="Arial" w:eastAsia="Arial" w:hAnsi="Arial"/>
          <w:sz w:val="13"/>
          <w:szCs w:val="13"/>
          <w:color w:val="auto"/>
        </w:rPr>
        <w:t>For the purposes of this Section 3.12 reference to any cash payment shall, to the extent consistent with the preceding sentence hereof, include any cheque, money order or other negotiable instrument that may be provided in lieu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auto"/>
        </w:rPr>
        <w:t>Hugh Jones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9, 2005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Except as modified above, all other terms, conditions and covenants of the Agreement remain in full force and effect. Further, Section 3.12 as amended would apply only to the New Sublicense, and not to the interim agreement currently in place between StemCells and StemCell Technologies, Inc.</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If NeuroSpheres Ltd. and Neurospheres Holdings Ltd. agree to this Third Letter Amendment, please have the enclosed copy dated and signed on their behalves and return it to me.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Iris Brest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Iris Brest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terms of the Second Letter Amendment set forth above are hereby accepted: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NeuroSpheres Ltd.</w:t>
            </w:r>
          </w:p>
        </w:tc>
        <w:tc>
          <w:tcPr>
            <w:tcW w:w="6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Hugh Jones</w:t>
            </w:r>
          </w:p>
        </w:tc>
        <w:tc>
          <w:tcPr>
            <w:tcW w:w="6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March 17, 2005</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by: Hugh Jones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r>
        <w:trPr>
          <w:trHeight w:val="315"/>
        </w:trPr>
        <w:tc>
          <w:tcPr>
            <w:tcW w:w="5420" w:type="dxa"/>
            <w:vAlign w:val="bottom"/>
          </w:tcPr>
          <w:p>
            <w:pPr>
              <w:spacing w:after="0"/>
              <w:rPr>
                <w:sz w:val="20"/>
                <w:szCs w:val="20"/>
                <w:color w:val="auto"/>
              </w:rPr>
            </w:pPr>
            <w:r>
              <w:rPr>
                <w:rFonts w:ascii="Arial" w:cs="Arial" w:eastAsia="Arial" w:hAnsi="Arial"/>
                <w:sz w:val="13"/>
                <w:szCs w:val="13"/>
                <w:color w:val="auto"/>
              </w:rPr>
              <w:t>NeuroSpheres Holdings Ltd.</w:t>
            </w:r>
          </w:p>
        </w:tc>
        <w:tc>
          <w:tcPr>
            <w:tcW w:w="6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1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Hugh Jones</w:t>
            </w:r>
          </w:p>
        </w:tc>
        <w:tc>
          <w:tcPr>
            <w:tcW w:w="6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March 17, 2005</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by: Hugh Jones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720"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10.27</w:t>
      </w:r>
    </w:p>
    <w:p>
      <w:pPr>
        <w:spacing w:after="0" w:line="86"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auto"/>
        </w:rPr>
        <w:t>StemCells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6826 La Valle Plateada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P.O. Box 567</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Rancho Santa Fe, CA 92067</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619-759-0290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As of February 2, 1998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Ann Tsukamoto, Ph.D.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888 La Mesa Drive Portola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Valley, CA 94028</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Dear Ann:</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On behalf of StemCells (the “Company”), I am pleased to invite you to join the Company as Senior Director of Scientific Operations. In this position, you will report to CytoTherapeutics, Inc. Vice President of Research. However, until such time as this individual is hired, you will report directly to me. As Senior Director of Scientific Operations, you will be expected to devote your full business time, attention and energies to the performance of your duties with the Company. The effective date of your employment will be February 2, 1998.</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The terms of this offer of employment are as follows:</w:t>
      </w:r>
    </w:p>
    <w:p>
      <w:pPr>
        <w:spacing w:after="0" w:line="82" w:lineRule="exact"/>
        <w:rPr>
          <w:sz w:val="20"/>
          <w:szCs w:val="20"/>
          <w:color w:val="auto"/>
        </w:rPr>
      </w:pPr>
    </w:p>
    <w:p>
      <w:pPr>
        <w:ind w:right="120" w:firstLine="162"/>
        <w:spacing w:after="0" w:line="283" w:lineRule="auto"/>
        <w:tabs>
          <w:tab w:leader="none" w:pos="295"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color w:val="auto"/>
        </w:rPr>
        <w:t>Your Base Salary will be $5,000 biweekly ($130,000 per year) subject to review and adjustment from time to time. Your salary will begin as of the effective date of employment. You will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eligible to participate in the Company’s bonus plan, with a target bonus of 10% of your base salary.</w:t>
      </w:r>
    </w:p>
    <w:p>
      <w:pPr>
        <w:spacing w:after="0" w:line="40" w:lineRule="exact"/>
        <w:rPr>
          <w:rFonts w:ascii="Arial" w:cs="Arial" w:eastAsia="Arial" w:hAnsi="Arial"/>
          <w:sz w:val="13"/>
          <w:szCs w:val="13"/>
          <w:b w:val="1"/>
          <w:bCs w:val="1"/>
          <w:color w:val="auto"/>
        </w:rPr>
      </w:pPr>
    </w:p>
    <w:p>
      <w:pPr>
        <w:ind w:right="420" w:firstLine="162"/>
        <w:spacing w:after="0" w:line="283" w:lineRule="auto"/>
        <w:tabs>
          <w:tab w:leader="none" w:pos="295"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Benefits</w:t>
      </w:r>
      <w:r>
        <w:rPr>
          <w:rFonts w:ascii="Arial" w:cs="Arial" w:eastAsia="Arial" w:hAnsi="Arial"/>
          <w:sz w:val="13"/>
          <w:szCs w:val="13"/>
          <w:color w:val="auto"/>
        </w:rPr>
        <w:t>. Our benefits program is outlined in the attached summary. Insurance coverage, which will be provided to you as a Company employee, includes life insurance and health and dental coverage.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will provide you with $750,000 of term life insurance during the term of your employment.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During the first year of employment, you will be entitled to three (3) weeks of paid vacation. Yearly increases in vacation time will be made and accrued according to the Company’s established policies.</w:t>
      </w:r>
    </w:p>
    <w:p>
      <w:pPr>
        <w:spacing w:after="0" w:line="98" w:lineRule="exact"/>
        <w:rPr>
          <w:sz w:val="20"/>
          <w:szCs w:val="20"/>
          <w:color w:val="auto"/>
        </w:rPr>
      </w:pPr>
    </w:p>
    <w:p>
      <w:pPr>
        <w:ind w:right="160" w:firstLine="157"/>
        <w:spacing w:after="0" w:line="276" w:lineRule="auto"/>
        <w:rPr>
          <w:sz w:val="20"/>
          <w:szCs w:val="20"/>
          <w:color w:val="auto"/>
        </w:rPr>
      </w:pPr>
      <w:r>
        <w:rPr>
          <w:rFonts w:ascii="Arial" w:cs="Arial" w:eastAsia="Arial" w:hAnsi="Arial"/>
          <w:sz w:val="13"/>
          <w:szCs w:val="13"/>
          <w:color w:val="auto"/>
        </w:rPr>
        <w:t>As you know, the Company has not yet established its health and dental insurance. Therefore, you should exercise your COBRA rights and elect to continue your current health and dental insurance. The Company will reimburse you for your COBRA premiums.</w:t>
      </w:r>
    </w:p>
    <w:p>
      <w:pPr>
        <w:spacing w:after="0" w:line="45" w:lineRule="exact"/>
        <w:rPr>
          <w:sz w:val="20"/>
          <w:szCs w:val="20"/>
          <w:color w:val="auto"/>
        </w:rPr>
      </w:pPr>
    </w:p>
    <w:p>
      <w:pPr>
        <w:ind w:right="200" w:firstLine="162"/>
        <w:spacing w:after="0" w:line="300" w:lineRule="auto"/>
        <w:tabs>
          <w:tab w:leader="none" w:pos="295"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Stock Options</w:t>
      </w:r>
      <w:r>
        <w:rPr>
          <w:rFonts w:ascii="Arial" w:cs="Arial" w:eastAsia="Arial" w:hAnsi="Arial"/>
          <w:sz w:val="12"/>
          <w:szCs w:val="12"/>
          <w:color w:val="auto"/>
        </w:rPr>
        <w:t>. Subject to the approval of the Board of Directors of CytoTherapeutics, you will be granted a time-vesting option for 20,000 shares of CytoTherapeutics stock at a price equal to the fair market</w:t>
      </w:r>
      <w:r>
        <w:rPr>
          <w:rFonts w:ascii="Arial" w:cs="Arial" w:eastAsia="Arial" w:hAnsi="Arial"/>
          <w:sz w:val="12"/>
          <w:szCs w:val="12"/>
          <w:b w:val="1"/>
          <w:bCs w:val="1"/>
          <w:color w:val="auto"/>
        </w:rPr>
        <w:t xml:space="preserve"> </w:t>
      </w:r>
      <w:r>
        <w:rPr>
          <w:rFonts w:ascii="Arial" w:cs="Arial" w:eastAsia="Arial" w:hAnsi="Arial"/>
          <w:sz w:val="12"/>
          <w:szCs w:val="12"/>
          <w:color w:val="auto"/>
        </w:rPr>
        <w:t>value at the time of your start date. The vesting of these shares will commence after the first twelve months of your employment. At the end of twelve months, 12/48 will vest and 1/48 will vest monthly thereafter. In addition, and subject to the approval of the SCI Research Committee, you will be granted an additional performance-based stock option for 40,000 shares at a price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8" w:name="page109"/>
    <w:bookmarkEnd w:id="108"/>
    <w:p>
      <w:pPr>
        <w:ind w:right="600"/>
        <w:spacing w:after="0" w:line="276" w:lineRule="auto"/>
        <w:rPr>
          <w:sz w:val="20"/>
          <w:szCs w:val="20"/>
          <w:color w:val="auto"/>
        </w:rPr>
      </w:pPr>
      <w:r>
        <w:rPr>
          <w:rFonts w:ascii="Arial" w:cs="Arial" w:eastAsia="Arial" w:hAnsi="Arial"/>
          <w:sz w:val="13"/>
          <w:szCs w:val="13"/>
          <w:color w:val="auto"/>
        </w:rPr>
        <w:t>fair market value at the time of your start date based upon achievement of these milestones: 1) establishing a fully operational StemCells unit (13,333 shares vest); 2) discovery and patent filing describing the composition of a human stem cell (13,333 shares vest); 3) discovery and patent filing describing the composition of a mammalian stem cell (13,333 shares vest).</w:t>
      </w:r>
    </w:p>
    <w:p>
      <w:pPr>
        <w:spacing w:after="0" w:line="45" w:lineRule="exact"/>
        <w:rPr>
          <w:sz w:val="20"/>
          <w:szCs w:val="20"/>
          <w:color w:val="auto"/>
        </w:rPr>
      </w:pPr>
    </w:p>
    <w:p>
      <w:pPr>
        <w:ind w:right="20" w:firstLine="162"/>
        <w:spacing w:after="0" w:line="267"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At Will Employment</w:t>
      </w:r>
      <w:r>
        <w:rPr>
          <w:rFonts w:ascii="Arial" w:cs="Arial" w:eastAsia="Arial" w:hAnsi="Arial"/>
          <w:sz w:val="13"/>
          <w:szCs w:val="13"/>
          <w:color w:val="auto"/>
        </w:rPr>
        <w:t>. You should be aware that your employment with the Company is for no specified period and constitutes “at-will” employment. As a result, you are free to terminate your employment at any</w:t>
      </w:r>
      <w:r>
        <w:rPr>
          <w:rFonts w:ascii="Arial" w:cs="Arial" w:eastAsia="Arial" w:hAnsi="Arial"/>
          <w:sz w:val="13"/>
          <w:szCs w:val="13"/>
          <w:b w:val="1"/>
          <w:bCs w:val="1"/>
          <w:color w:val="auto"/>
        </w:rPr>
        <w:t xml:space="preserve"> </w:t>
      </w:r>
      <w:r>
        <w:rPr>
          <w:rFonts w:ascii="Arial" w:cs="Arial" w:eastAsia="Arial" w:hAnsi="Arial"/>
          <w:sz w:val="13"/>
          <w:szCs w:val="13"/>
          <w:color w:val="auto"/>
        </w:rPr>
        <w:t>time, for any reason or for no reason. Similarly, the Company is free to terminate your employment at any time, for any reason or for no reason. In the event of termination of your employment, you will not be entitled to any payments, benefits, damages or compensation other than as may otherwise be available in accordance with Section 5.</w:t>
      </w:r>
    </w:p>
    <w:p>
      <w:pPr>
        <w:spacing w:after="0" w:line="51" w:lineRule="exact"/>
        <w:rPr>
          <w:rFonts w:ascii="Arial" w:cs="Arial" w:eastAsia="Arial" w:hAnsi="Arial"/>
          <w:sz w:val="13"/>
          <w:szCs w:val="13"/>
          <w:color w:val="auto"/>
        </w:rPr>
      </w:pPr>
    </w:p>
    <w:p>
      <w:pPr>
        <w:ind w:firstLine="162"/>
        <w:spacing w:after="0" w:line="280" w:lineRule="auto"/>
        <w:tabs>
          <w:tab w:leader="none" w:pos="295"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Severance Agreement</w:t>
      </w:r>
      <w:r>
        <w:rPr>
          <w:rFonts w:ascii="Arial" w:cs="Arial" w:eastAsia="Arial" w:hAnsi="Arial"/>
          <w:sz w:val="12"/>
          <w:szCs w:val="12"/>
          <w:color w:val="auto"/>
        </w:rPr>
        <w:t>. While the Company is free to terminate your employment at any time, for any reason or for no reason, in the event of termination of your employment by the Company without Justifiable</w:t>
      </w:r>
      <w:r>
        <w:rPr>
          <w:rFonts w:ascii="Arial" w:cs="Arial" w:eastAsia="Arial" w:hAnsi="Arial"/>
          <w:sz w:val="12"/>
          <w:szCs w:val="12"/>
          <w:b w:val="1"/>
          <w:bCs w:val="1"/>
          <w:color w:val="auto"/>
        </w:rPr>
        <w:t xml:space="preserve"> </w:t>
      </w:r>
      <w:r>
        <w:rPr>
          <w:rFonts w:ascii="Arial" w:cs="Arial" w:eastAsia="Arial" w:hAnsi="Arial"/>
          <w:sz w:val="12"/>
          <w:szCs w:val="12"/>
          <w:color w:val="auto"/>
        </w:rPr>
        <w:t>Cause (as defined below) during the first year of your employment, you will be entitled to your monthly base salary paid each month for the lesser of twelve (12) months or the number of months until you have accepted an offer of employment elsewhere. In the event of termination of your employment by the Company without Justifiable Cause during the second year of your employment, you will be entitled to your monthly base salary paid each month for the lesser of six (6) months or the number of months until you have accepted an offer of employment elsewhere. In the event that you terminate your employment with the Company, or the Company terminates your employment for Justifiable Cause, or the Company terminates your employment for any reason or no reason after the second year of your employment, you will not be entitled to any payments, benefits, damages, awards or compensation other than as may be available in accordance with the Company’s established plans and policies at the time of termination. The “Justifiable Cause” shall include the occurrence of any of the following events: (I) the conviction of, plea or nolo contendere in, a felony or a crime involving moral turpitude, (ii) the commission of an intentional act of personal dishonesty or breach of fiduciary duty involving personal profit in connection with the Company, (iii) the commission of an act, or failure to act, which the Board of Directors of the Company shall reasonably have found to have involved gross misconduct or gross negligence in the conduct of your duties, and (iv) alcoholism, drug dependency, or habitual absenteeism which interferes with the performance of your duties.</w:t>
      </w:r>
    </w:p>
    <w:p>
      <w:pPr>
        <w:spacing w:after="0" w:line="45" w:lineRule="exact"/>
        <w:rPr>
          <w:rFonts w:ascii="Arial" w:cs="Arial" w:eastAsia="Arial" w:hAnsi="Arial"/>
          <w:sz w:val="12"/>
          <w:szCs w:val="12"/>
          <w:color w:val="auto"/>
        </w:rPr>
      </w:pPr>
    </w:p>
    <w:p>
      <w:pPr>
        <w:ind w:right="100" w:firstLine="162"/>
        <w:spacing w:after="0" w:line="283"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Proprietary Information Agreement</w:t>
      </w:r>
      <w:r>
        <w:rPr>
          <w:rFonts w:ascii="Arial" w:cs="Arial" w:eastAsia="Arial" w:hAnsi="Arial"/>
          <w:sz w:val="13"/>
          <w:szCs w:val="13"/>
          <w:color w:val="auto"/>
        </w:rPr>
        <w:t>. As a condition of accepting this offer of employment, you will be required to complete, sign and return the Company’s standard form of Employee Proprietary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w:t>
      </w:r>
    </w:p>
    <w:p>
      <w:pPr>
        <w:spacing w:after="0" w:line="40" w:lineRule="exact"/>
        <w:rPr>
          <w:rFonts w:ascii="Arial" w:cs="Arial" w:eastAsia="Arial" w:hAnsi="Arial"/>
          <w:sz w:val="13"/>
          <w:szCs w:val="13"/>
          <w:color w:val="auto"/>
        </w:rPr>
      </w:pPr>
    </w:p>
    <w:p>
      <w:pPr>
        <w:ind w:right="100" w:firstLine="162"/>
        <w:spacing w:after="0" w:line="267" w:lineRule="auto"/>
        <w:tabs>
          <w:tab w:leader="none" w:pos="295"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Immigration Laws. </w:t>
      </w:r>
      <w:r>
        <w:rPr>
          <w:rFonts w:ascii="Arial" w:cs="Arial" w:eastAsia="Arial" w:hAnsi="Arial"/>
          <w:sz w:val="13"/>
          <w:szCs w:val="13"/>
          <w:color w:val="auto"/>
        </w:rPr>
        <w:t>For the purposes of federal immigration laws, you will be required to provide to the Company documentary evidence of your identity and eligibility for employment in the United States.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will assist you, if needed, to obtain the appropriate documentation. Such documentation must be provided within 3 (three) business days of the effective date of your employment, or your employment relationship with the Company may be terminated.</w:t>
      </w:r>
    </w:p>
    <w:p>
      <w:pPr>
        <w:spacing w:after="0" w:line="51" w:lineRule="exact"/>
        <w:rPr>
          <w:rFonts w:ascii="Arial" w:cs="Arial" w:eastAsia="Arial" w:hAnsi="Arial"/>
          <w:sz w:val="13"/>
          <w:szCs w:val="13"/>
          <w:color w:val="auto"/>
        </w:rPr>
      </w:pPr>
    </w:p>
    <w:p>
      <w:pPr>
        <w:ind w:left="300" w:hanging="138"/>
        <w:spacing w:after="0"/>
        <w:tabs>
          <w:tab w:leader="none" w:pos="30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Physical Exam</w:t>
      </w:r>
      <w:r>
        <w:rPr>
          <w:rFonts w:ascii="Arial" w:cs="Arial" w:eastAsia="Arial" w:hAnsi="Arial"/>
          <w:sz w:val="13"/>
          <w:szCs w:val="13"/>
          <w:color w:val="auto"/>
        </w:rPr>
        <w:t>. This offer of employment is contingent upon successful completion of a medical exam which will be paid for by the Company. You will begin employment only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successfully passing a medical exam. The results are generally available within 72 hours and you will be notified of the results.</w:t>
      </w:r>
    </w:p>
    <w:p>
      <w:pPr>
        <w:spacing w:after="0" w:line="82" w:lineRule="exact"/>
        <w:rPr>
          <w:sz w:val="20"/>
          <w:szCs w:val="20"/>
          <w:color w:val="auto"/>
        </w:rPr>
      </w:pPr>
    </w:p>
    <w:p>
      <w:pPr>
        <w:ind w:right="60" w:firstLine="162"/>
        <w:spacing w:after="0" w:line="262" w:lineRule="auto"/>
        <w:tabs>
          <w:tab w:leader="none" w:pos="295"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 xml:space="preserve">General. </w:t>
      </w:r>
      <w:r>
        <w:rPr>
          <w:rFonts w:ascii="Arial" w:cs="Arial" w:eastAsia="Arial" w:hAnsi="Arial"/>
          <w:sz w:val="13"/>
          <w:szCs w:val="13"/>
          <w:color w:val="auto"/>
        </w:rPr>
        <w:t>This offer letter, the Employee Proprietary Information Agreement and the Employee Stock Option Agreement, when signed by you, sets forth the terms of your employment with the Company and</w:t>
      </w:r>
      <w:r>
        <w:rPr>
          <w:rFonts w:ascii="Arial" w:cs="Arial" w:eastAsia="Arial" w:hAnsi="Arial"/>
          <w:sz w:val="13"/>
          <w:szCs w:val="13"/>
          <w:b w:val="1"/>
          <w:bCs w:val="1"/>
          <w:color w:val="auto"/>
        </w:rPr>
        <w:t xml:space="preserve"> </w:t>
      </w:r>
      <w:r>
        <w:rPr>
          <w:rFonts w:ascii="Arial" w:cs="Arial" w:eastAsia="Arial" w:hAnsi="Arial"/>
          <w:sz w:val="13"/>
          <w:szCs w:val="13"/>
          <w:color w:val="auto"/>
        </w:rPr>
        <w:t>supersedes any and all prior representations and agreements, whether written or oral. This agreement can only be amended in a written document signed by you and an officer of the Company. This agreement will be governed by California law. Upon acceptance of this offer we will request from the Board of Directors that you be provided a severance package and accelerated vesting of options in the event of a Change of Control consistent with current Company policies applicable to Officers.</w:t>
      </w:r>
    </w:p>
    <w:p>
      <w:pPr>
        <w:spacing w:after="0" w:line="5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We look forward to you joining the Company. If the foregoing terms are agreeable, please indicate your acceptance by signing both enclosed copies of this letter in the space below, keeping one copy for your files and returning one copy to me. I will have your Employee Proprietary Information and Employee Stock Option Agreements sent separately.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Richard M. Rose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Richard M. Rose, M.D.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CEO</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AGREED AND ACCEPTED: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Ann Tsukamoto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Ann Tsukamoto, Ph.D.</w:t>
      </w:r>
    </w:p>
    <w:p>
      <w:pPr>
        <w:sectPr>
          <w:pgSz w:w="11900" w:h="16838" w:orient="portrait"/>
          <w:cols w:equalWidth="0" w:num="1">
            <w:col w:w="11340"/>
          </w:cols>
          <w:pgMar w:left="220" w:top="72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10.28</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-88900</wp:posOffset>
            </wp:positionV>
            <wp:extent cx="1410335" cy="2000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10335" cy="200025"/>
                    </a:xfrm>
                    <a:prstGeom prst="rect">
                      <a:avLst/>
                    </a:prstGeom>
                    <a:noFill/>
                  </pic:spPr>
                </pic:pic>
              </a:graphicData>
            </a:graphic>
          </wp:anchor>
        </w:drawing>
      </w:r>
    </w:p>
    <w:p>
      <w:pPr>
        <w:sectPr>
          <w:pgSz w:w="11900" w:h="16838" w:orient="portrait"/>
          <w:cols w:equalWidth="0" w:num="1">
            <w:col w:w="11000"/>
          </w:cols>
          <w:pgMar w:left="680" w:top="127" w:right="21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Dr. Ann Tsukamoto, Vice President of Scientific Operations</w:t>
      </w:r>
    </w:p>
    <w:p>
      <w:pPr>
        <w:spacing w:after="0" w:line="188" w:lineRule="exact"/>
        <w:rPr>
          <w:sz w:val="20"/>
          <w:szCs w:val="20"/>
          <w:color w:val="auto"/>
        </w:rPr>
      </w:pPr>
    </w:p>
    <w:p>
      <w:pPr>
        <w:sectPr>
          <w:pgSz w:w="11900" w:h="16838" w:orient="portrait"/>
          <w:cols w:equalWidth="0" w:num="2">
            <w:col w:w="300" w:space="720"/>
            <w:col w:w="9980"/>
          </w:cols>
          <w:pgMar w:left="680" w:top="127" w:right="219" w:bottom="1440" w:gutter="0" w:footer="0" w:header="0"/>
          <w:type w:val="continuous"/>
        </w:sectPr>
      </w:pPr>
    </w:p>
    <w:p>
      <w:pPr>
        <w:spacing w:after="0"/>
        <w:rPr>
          <w:sz w:val="20"/>
          <w:szCs w:val="20"/>
          <w:color w:val="auto"/>
        </w:rPr>
      </w:pPr>
      <w:r>
        <w:rPr>
          <w:rFonts w:ascii="Arial" w:cs="Arial" w:eastAsia="Arial" w:hAnsi="Arial"/>
          <w:sz w:val="12"/>
          <w:szCs w:val="12"/>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Marie Berticevich, Manager of Human Resources &amp; Administration</w:t>
      </w:r>
    </w:p>
    <w:p>
      <w:pPr>
        <w:spacing w:after="0" w:line="177" w:lineRule="exact"/>
        <w:rPr>
          <w:sz w:val="20"/>
          <w:szCs w:val="20"/>
          <w:color w:val="auto"/>
        </w:rPr>
      </w:pPr>
    </w:p>
    <w:p>
      <w:pPr>
        <w:sectPr>
          <w:pgSz w:w="11900" w:h="16838" w:orient="portrait"/>
          <w:cols w:equalWidth="0" w:num="2">
            <w:col w:w="400" w:space="620"/>
            <w:col w:w="9980"/>
          </w:cols>
          <w:pgMar w:left="680" w:top="127" w:right="219" w:bottom="1440" w:gutter="0" w:footer="0" w:header="0"/>
          <w:type w:val="continuous"/>
        </w:sectPr>
      </w:pPr>
    </w:p>
    <w:p>
      <w:pPr>
        <w:spacing w:after="0"/>
        <w:rPr>
          <w:sz w:val="20"/>
          <w:szCs w:val="20"/>
          <w:color w:val="auto"/>
        </w:rPr>
      </w:pPr>
      <w:r>
        <w:rPr>
          <w:rFonts w:ascii="Arial" w:cs="Arial" w:eastAsia="Arial" w:hAnsi="Arial"/>
          <w:sz w:val="11"/>
          <w:szCs w:val="1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Amendment to Offer Letter</w:t>
      </w:r>
    </w:p>
    <w:p>
      <w:pPr>
        <w:spacing w:after="0" w:line="177" w:lineRule="exact"/>
        <w:rPr>
          <w:sz w:val="20"/>
          <w:szCs w:val="20"/>
          <w:color w:val="auto"/>
        </w:rPr>
      </w:pPr>
    </w:p>
    <w:p>
      <w:pPr>
        <w:sectPr>
          <w:pgSz w:w="11900" w:h="16838" w:orient="portrait"/>
          <w:cols w:equalWidth="0" w:num="2">
            <w:col w:w="580" w:space="440"/>
            <w:col w:w="9980"/>
          </w:cols>
          <w:pgMar w:left="680" w:top="127"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July 17, 2000</w:t>
      </w:r>
    </w:p>
    <w:p>
      <w:pPr>
        <w:spacing w:after="0" w:line="188" w:lineRule="exact"/>
        <w:rPr>
          <w:sz w:val="20"/>
          <w:szCs w:val="20"/>
          <w:color w:val="auto"/>
        </w:rPr>
      </w:pPr>
    </w:p>
    <w:p>
      <w:pPr>
        <w:sectPr>
          <w:pgSz w:w="11900" w:h="16838" w:orient="portrait"/>
          <w:cols w:equalWidth="0" w:num="2">
            <w:col w:w="380" w:space="640"/>
            <w:col w:w="9980"/>
          </w:cols>
          <w:pgMar w:left="680" w:top="127" w:right="219" w:bottom="1440" w:gutter="0" w:footer="0" w:header="0"/>
          <w:type w:val="continuous"/>
        </w:sectPr>
      </w:pPr>
    </w:p>
    <w:p>
      <w:pPr>
        <w:spacing w:after="0"/>
        <w:rPr>
          <w:sz w:val="20"/>
          <w:szCs w:val="20"/>
          <w:color w:val="auto"/>
        </w:rPr>
      </w:pPr>
      <w:r>
        <w:rPr>
          <w:rFonts w:ascii="Arial" w:cs="Arial" w:eastAsia="Arial" w:hAnsi="Arial"/>
          <w:sz w:val="13"/>
          <w:szCs w:val="13"/>
          <w:color w:val="auto"/>
        </w:rPr>
        <w:t>Following is an amendment to your offer of employment dated February 2, 1998:</w:t>
      </w:r>
    </w:p>
    <w:p>
      <w:pPr>
        <w:spacing w:after="0" w:line="86" w:lineRule="exact"/>
        <w:rPr>
          <w:sz w:val="20"/>
          <w:szCs w:val="20"/>
          <w:color w:val="auto"/>
        </w:rPr>
      </w:pPr>
    </w:p>
    <w:p>
      <w:pPr>
        <w:ind w:right="160"/>
        <w:spacing w:after="0" w:line="289" w:lineRule="auto"/>
        <w:rPr>
          <w:sz w:val="20"/>
          <w:szCs w:val="20"/>
          <w:color w:val="auto"/>
        </w:rPr>
      </w:pPr>
      <w:r>
        <w:rPr>
          <w:rFonts w:ascii="Arial" w:cs="Arial" w:eastAsia="Arial" w:hAnsi="Arial"/>
          <w:sz w:val="12"/>
          <w:szCs w:val="12"/>
          <w:color w:val="auto"/>
        </w:rPr>
        <w:t>Either you or StemCells may terminate your employment relationship at any time with or without cause. However, if your employment with StemCells is involuntarily terminated without cause at any time, including a Change of Control, you will be provided with salary continuation and benefits continuation under COBRA from the date of termination until the date twelve (12) months after the effective date of the termination equal to the salary which you were receiving at the time of such termination; payments shall be paid in accordance with the Company’s standard payroll practices. In addition, any Change of Control or involuntary termination as stated, will result in the accelerated vesting of your 1992 Equity Incentive Plan Time-Based options to acquire 100% of such shares.</w:t>
      </w:r>
    </w:p>
    <w:p>
      <w:pPr>
        <w:spacing w:after="0" w:line="43"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As used in this agreement, termination for cause shall mean (I) gross negligence or willful misconduct in the performance of the Employee’s duties to the Company where such gross negligence or willful misconduct has resulted or is likely to result in substantial and material damage to the company; (II) repeated unexplained or justified absence from the Company; (III) a material and willful violation of any federal or state law; (lV) commission of any act of fraud with respect to the Company; or (V) conviction of a felony or a crime involuntary moral turpitude causing material harm to the standing and reputation of the Company.</w:t>
      </w:r>
    </w:p>
    <w:p>
      <w:pPr>
        <w:spacing w:after="0" w:line="60"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As used in this agreement, change of control shall mean (I) a merger or consolidation of the Company which results in the voting securities of the Company representing less that fifty percent (50%) of the total voting securities of the Company or such surviving entity outstanding immediately after such a merger, (II) liquidation or sale of substantially all of the Company’s assets.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STEMCELLS, INC.</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By:</w:t>
        <w:tab/>
        <w:t>/s/ George Dunbar</w:t>
      </w:r>
    </w:p>
    <w:p>
      <w:pPr>
        <w:spacing w:after="0" w:line="15"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Acting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-93345</wp:posOffset>
            </wp:positionV>
            <wp:extent cx="243395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33955" cy="63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Dated: July 17, 2000</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EMPLOYEE:  </w:t>
      </w:r>
      <w:r>
        <w:rPr>
          <w:rFonts w:ascii="Arial" w:cs="Arial" w:eastAsia="Arial" w:hAnsi="Arial"/>
          <w:sz w:val="13"/>
          <w:szCs w:val="13"/>
          <w:color w:val="auto"/>
        </w:rPr>
        <w:t>/s/ Ann Tsukamoto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235331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Dated: September 5, 2000</w:t>
      </w: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 xml:space="preserve">525 Del Rey Avenue, Suite C </w:t>
      </w:r>
      <w:r>
        <w:rPr>
          <w:rFonts w:ascii="Arial" w:cs="Arial" w:eastAsia="Arial" w:hAnsi="Arial"/>
          <w:sz w:val="13"/>
          <w:szCs w:val="13"/>
          <w:b w:val="1"/>
          <w:bCs w:val="1"/>
          <w:color w:val="auto"/>
        </w:rPr>
        <w:t>•</w:t>
      </w:r>
      <w:r>
        <w:rPr>
          <w:rFonts w:ascii="Arial" w:cs="Arial" w:eastAsia="Arial" w:hAnsi="Arial"/>
          <w:sz w:val="13"/>
          <w:szCs w:val="13"/>
          <w:color w:val="auto"/>
        </w:rPr>
        <w:t xml:space="preserve"> Sunnyvale, CA</w:t>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 xml:space="preserve">94085 408.731.8670 </w:t>
      </w:r>
      <w:r>
        <w:rPr>
          <w:rFonts w:ascii="Arial" w:cs="Arial" w:eastAsia="Arial" w:hAnsi="Arial"/>
          <w:sz w:val="13"/>
          <w:szCs w:val="13"/>
          <w:b w:val="1"/>
          <w:bCs w:val="1"/>
          <w:color w:val="auto"/>
        </w:rPr>
        <w:t>•</w:t>
      </w:r>
      <w:r>
        <w:rPr>
          <w:rFonts w:ascii="Arial" w:cs="Arial" w:eastAsia="Arial" w:hAnsi="Arial"/>
          <w:sz w:val="13"/>
          <w:szCs w:val="13"/>
          <w:color w:val="auto"/>
        </w:rPr>
        <w:t xml:space="preserve"> Fax 408.731.8674</w:t>
      </w:r>
    </w:p>
    <w:p>
      <w:pPr>
        <w:sectPr>
          <w:pgSz w:w="11900" w:h="16838" w:orient="portrait"/>
          <w:cols w:equalWidth="0" w:num="1">
            <w:col w:w="11000"/>
          </w:cols>
          <w:pgMar w:left="680" w:top="127" w:right="21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162560</wp:posOffset>
            </wp:positionV>
            <wp:extent cx="1804035" cy="3746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July 24, 2008</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Stewart Craig, Ph.D.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960 North California Avenue</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Palo Alto, CA 94303</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Stewart,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On behalf of StemCells, Inc., I am pleased to offer you the position of Senior Vice President, Development and Operations, on the following terms and conditions:</w:t>
      </w:r>
    </w:p>
    <w:p>
      <w:pPr>
        <w:spacing w:after="0" w:line="82" w:lineRule="exact"/>
        <w:rPr>
          <w:sz w:val="20"/>
          <w:szCs w:val="20"/>
          <w:color w:val="auto"/>
        </w:rPr>
      </w:pPr>
    </w:p>
    <w:p>
      <w:pPr>
        <w:ind w:left="261" w:right="100" w:hanging="261"/>
        <w:spacing w:after="0" w:line="260" w:lineRule="auto"/>
        <w:tabs>
          <w:tab w:leader="none" w:pos="261"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Job Responsibilities</w:t>
      </w:r>
      <w:r>
        <w:rPr>
          <w:rFonts w:ascii="Arial" w:cs="Arial" w:eastAsia="Arial" w:hAnsi="Arial"/>
          <w:sz w:val="13"/>
          <w:szCs w:val="13"/>
          <w:color w:val="auto"/>
        </w:rPr>
        <w:t>. Unless otherwise agreed in writing, and subject to the provisions outlined below, your first day of employment will be September 15, 2008. You will report directly to me and work at our</w:t>
      </w:r>
      <w:r>
        <w:rPr>
          <w:rFonts w:ascii="Arial" w:cs="Arial" w:eastAsia="Arial" w:hAnsi="Arial"/>
          <w:sz w:val="13"/>
          <w:szCs w:val="13"/>
          <w:b w:val="1"/>
          <w:bCs w:val="1"/>
          <w:color w:val="auto"/>
        </w:rPr>
        <w:t xml:space="preserve"> </w:t>
      </w:r>
      <w:r>
        <w:rPr>
          <w:rFonts w:ascii="Arial" w:cs="Arial" w:eastAsia="Arial" w:hAnsi="Arial"/>
          <w:sz w:val="13"/>
          <w:szCs w:val="13"/>
          <w:color w:val="auto"/>
        </w:rPr>
        <w:t>offices located at 3155 Porter Drive in Palo Alto, California. Initially your duties and responsibilities will include, but will not be limited to, oversight and management of the following functions: (1) cell process design and engineering; (2) clinical and commercial manufacturing; (3) facilities (Rhode Island and California); (4) regulatory affairs; (5) quality systems; and (6) supply chain management As we discussed, you have made previous commitments to external speaking engagements. The Company will allow you the time to complete these commitments, as we may mutually agree upon from time to time, provided that these activities do not directly conflict with Company business.</w:t>
      </w:r>
    </w:p>
    <w:p>
      <w:pPr>
        <w:spacing w:after="0" w:line="55" w:lineRule="exact"/>
        <w:rPr>
          <w:rFonts w:ascii="Arial" w:cs="Arial" w:eastAsia="Arial" w:hAnsi="Arial"/>
          <w:sz w:val="13"/>
          <w:szCs w:val="13"/>
          <w:color w:val="auto"/>
        </w:rPr>
      </w:pPr>
    </w:p>
    <w:p>
      <w:pPr>
        <w:ind w:left="261" w:hanging="261"/>
        <w:spacing w:after="0" w:line="260" w:lineRule="auto"/>
        <w:tabs>
          <w:tab w:leader="none" w:pos="261"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Salary</w:t>
      </w:r>
      <w:r>
        <w:rPr>
          <w:rFonts w:ascii="Arial" w:cs="Arial" w:eastAsia="Arial" w:hAnsi="Arial"/>
          <w:sz w:val="13"/>
          <w:szCs w:val="13"/>
          <w:color w:val="auto"/>
        </w:rPr>
        <w:t>. Your base salary will be at the rate of $275,000 per year, paid bi-weekly, every other Friday. In addition, you will be eligible for a bonus of up to 25% of your annual base salary (calculated as of January 1</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the year for which bonuses are awarded). Funding of the bonus program is at the discretion of the Company’s Board of Directors and is based upon their evaluation of the Company’s performance in consideration of, among other things, previously determined goals for the year. You will be eligible for inclusion in the Bonus Plan for the 2008 fiscal year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based on your performance from your date of hire through December 31, 2008. Your salary will normally be reviewed early each calendar year; it is possible that your salary will be reviewed in 2009, but there can be no assurance that you will receive a salary increase then or at any other time.</w:t>
      </w:r>
    </w:p>
    <w:p>
      <w:pPr>
        <w:spacing w:after="0" w:line="55" w:lineRule="exact"/>
        <w:rPr>
          <w:rFonts w:ascii="Arial" w:cs="Arial" w:eastAsia="Arial" w:hAnsi="Arial"/>
          <w:sz w:val="13"/>
          <w:szCs w:val="13"/>
          <w:color w:val="auto"/>
        </w:rPr>
      </w:pPr>
    </w:p>
    <w:p>
      <w:pPr>
        <w:ind w:left="261" w:right="60" w:hanging="261"/>
        <w:spacing w:after="0" w:line="260" w:lineRule="auto"/>
        <w:tabs>
          <w:tab w:leader="none" w:pos="261"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Stock Options</w:t>
      </w:r>
      <w:r>
        <w:rPr>
          <w:rFonts w:ascii="Arial" w:cs="Arial" w:eastAsia="Arial" w:hAnsi="Arial"/>
          <w:sz w:val="13"/>
          <w:szCs w:val="13"/>
          <w:color w:val="auto"/>
        </w:rPr>
        <w:t>. Subject to the approval of the Board of Directors, you will be granted an option, pursuant to the Company’s 2006 Amended and Restated Equity Incentive Plan (the “2006 Plan”), to purchase two</w:t>
      </w:r>
      <w:r>
        <w:rPr>
          <w:rFonts w:ascii="Arial" w:cs="Arial" w:eastAsia="Arial" w:hAnsi="Arial"/>
          <w:sz w:val="13"/>
          <w:szCs w:val="13"/>
          <w:b w:val="1"/>
          <w:bCs w:val="1"/>
          <w:color w:val="auto"/>
        </w:rPr>
        <w:t xml:space="preserve"> </w:t>
      </w:r>
      <w:r>
        <w:rPr>
          <w:rFonts w:ascii="Arial" w:cs="Arial" w:eastAsia="Arial" w:hAnsi="Arial"/>
          <w:sz w:val="13"/>
          <w:szCs w:val="13"/>
          <w:color w:val="auto"/>
        </w:rPr>
        <w:t>hundred thousand shares (200,000) shares of StemCells common stock, with an exercise price per share equal to the closing price of the stock on the Nasdaq Global Market on the date you begin your employment with the Company. The vesting of these shares will commence after the first twelve months of your employment. At the end of twelve months, 1/4 will vest and 1/48 will vest monthly thereafter. In all other respects, the grant will be subject to the terms of the 2006 Plan, including the requirement that you be an employee at the date on which option shares vest. A copy of the Prospectus for the 2006 Plan will be provided to you when your employment begins.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3155 Porter Drive • Palo Alto, CA 94304 • Phone 650.475.3100 • Fax 650.475.3101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www.stemcellsinc.com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12" w:name="page113"/>
    <w:bookmarkEnd w:id="112"/>
    <w:p>
      <w:pPr>
        <w:ind w:left="1"/>
        <w:spacing w:after="0"/>
        <w:rPr>
          <w:sz w:val="20"/>
          <w:szCs w:val="20"/>
          <w:color w:val="auto"/>
        </w:rPr>
      </w:pPr>
      <w:r>
        <w:rPr>
          <w:rFonts w:ascii="Arial" w:cs="Arial" w:eastAsia="Arial" w:hAnsi="Arial"/>
          <w:sz w:val="13"/>
          <w:szCs w:val="13"/>
          <w:color w:val="auto"/>
        </w:rPr>
        <w:t>Stewart Craig</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July 24, 2008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2</w:t>
      </w:r>
    </w:p>
    <w:p>
      <w:pPr>
        <w:spacing w:after="0" w:line="75" w:lineRule="exact"/>
        <w:rPr>
          <w:sz w:val="20"/>
          <w:szCs w:val="20"/>
          <w:color w:val="auto"/>
        </w:rPr>
      </w:pPr>
    </w:p>
    <w:p>
      <w:pPr>
        <w:ind w:left="261" w:right="60" w:hanging="261"/>
        <w:spacing w:after="0" w:line="260" w:lineRule="auto"/>
        <w:tabs>
          <w:tab w:leader="none" w:pos="261" w:val="left"/>
        </w:tabs>
        <w:numPr>
          <w:ilvl w:val="0"/>
          <w:numId w:val="61"/>
        </w:numPr>
        <w:rPr>
          <w:rFonts w:ascii="Arial" w:cs="Arial" w:eastAsia="Arial" w:hAnsi="Arial"/>
          <w:sz w:val="13"/>
          <w:szCs w:val="13"/>
          <w:color w:val="auto"/>
        </w:rPr>
      </w:pPr>
      <w:r>
        <w:rPr>
          <w:rFonts w:ascii="Arial" w:cs="Arial" w:eastAsia="Arial" w:hAnsi="Arial"/>
          <w:sz w:val="13"/>
          <w:szCs w:val="13"/>
          <w:b w:val="1"/>
          <w:bCs w:val="1"/>
          <w:color w:val="auto"/>
        </w:rPr>
        <w:t xml:space="preserve">Benefits. </w:t>
      </w:r>
      <w:r>
        <w:rPr>
          <w:rFonts w:ascii="Arial" w:cs="Arial" w:eastAsia="Arial" w:hAnsi="Arial"/>
          <w:sz w:val="13"/>
          <w:szCs w:val="13"/>
          <w:color w:val="auto"/>
        </w:rPr>
        <w:t>As an employee of StemCells, you will be eligible to participate in a comprehensive benefits program which currently includes: medical, dental and vision benefits for you and your dependents; term life</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equivalent to your annual base salary up to $400,000; short and long-term disability insurance; and a 401(k) savings plan and employer match, which is currently made in Company stock. You will be eligible to participate in these plans on the first of the month following your start date, except that you may elect to participate in the 401(k) plan immediately. Details of these benefit plans will be provided to you upon your employment. Your paid time off (PTO) as a full-time employee will be 25 days (200 hours) per year, accrued at a rate of 7.69 hours per pay period, up to the maximum accrual permitted by Company policy. In addition, the Company currently offers eight paid holidays per year.</w:t>
      </w:r>
    </w:p>
    <w:p>
      <w:pPr>
        <w:spacing w:after="0" w:line="55" w:lineRule="exact"/>
        <w:rPr>
          <w:rFonts w:ascii="Arial" w:cs="Arial" w:eastAsia="Arial" w:hAnsi="Arial"/>
          <w:sz w:val="13"/>
          <w:szCs w:val="13"/>
          <w:color w:val="auto"/>
        </w:rPr>
      </w:pPr>
    </w:p>
    <w:p>
      <w:pPr>
        <w:ind w:left="261" w:hanging="261"/>
        <w:spacing w:after="0" w:line="284" w:lineRule="auto"/>
        <w:tabs>
          <w:tab w:leader="none" w:pos="261"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Employment Documentation; Fitness to Work</w:t>
      </w:r>
      <w:r>
        <w:rPr>
          <w:rFonts w:ascii="Arial" w:cs="Arial" w:eastAsia="Arial" w:hAnsi="Arial"/>
          <w:sz w:val="12"/>
          <w:szCs w:val="12"/>
          <w:color w:val="auto"/>
        </w:rPr>
        <w:t>. As a condition of employment with StemCells, you will be required to: (1) sign and return both a copy of this letter and a copy of the enclosed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which prohibits among other things the unauthorized use or disclosure of Company proprietary information and requires the assignment of intellectual property (IP) rights to any invention made by you as part of your work at StemCells; and (2) on or before the first day of your employment, provide documents from the enclosed List of Acceptable Documents which prove your identity and right to work in the United States. You will also be expected to (i) abide by Company rules and regulations, (ii) sign and comply with the Company’s Code of Ethics and Conduct, Harassment Policy and Publication Policy, and (iii) acknowledge in writing that you will read and comply with the Company’s Employee Handbook. You also must sign and return at least one week before your first day of employment the enclosed employment application and release authorization for a background check. This offer is contingent on satisfactory completion of reference checking by the Company.</w:t>
      </w:r>
    </w:p>
    <w:p>
      <w:pPr>
        <w:spacing w:after="0" w:line="47" w:lineRule="exact"/>
        <w:rPr>
          <w:sz w:val="20"/>
          <w:szCs w:val="20"/>
          <w:color w:val="auto"/>
        </w:rPr>
      </w:pPr>
    </w:p>
    <w:p>
      <w:pPr>
        <w:ind w:left="221"/>
        <w:spacing w:after="0"/>
        <w:rPr>
          <w:sz w:val="20"/>
          <w:szCs w:val="20"/>
          <w:color w:val="auto"/>
        </w:rPr>
      </w:pPr>
      <w:r>
        <w:rPr>
          <w:rFonts w:ascii="Arial" w:cs="Arial" w:eastAsia="Arial" w:hAnsi="Arial"/>
          <w:sz w:val="13"/>
          <w:szCs w:val="13"/>
          <w:color w:val="auto"/>
        </w:rPr>
        <w:t>You have an option to receive the Hepatitis B vaccine which is paid for by the Company. A form to elect or decline the vaccine is enclosed. Please fill out the form, sign and return it to me.</w:t>
      </w:r>
    </w:p>
    <w:p>
      <w:pPr>
        <w:spacing w:after="0" w:line="82" w:lineRule="exact"/>
        <w:rPr>
          <w:sz w:val="20"/>
          <w:szCs w:val="20"/>
          <w:color w:val="auto"/>
        </w:rPr>
      </w:pPr>
    </w:p>
    <w:p>
      <w:pPr>
        <w:ind w:left="261" w:right="240" w:hanging="261"/>
        <w:spacing w:after="0" w:line="260" w:lineRule="auto"/>
        <w:tabs>
          <w:tab w:leader="none" w:pos="261" w:val="left"/>
        </w:tabs>
        <w:numPr>
          <w:ilvl w:val="0"/>
          <w:numId w:val="62"/>
        </w:numPr>
        <w:rPr>
          <w:rFonts w:ascii="Arial" w:cs="Arial" w:eastAsia="Arial" w:hAnsi="Arial"/>
          <w:sz w:val="13"/>
          <w:szCs w:val="13"/>
          <w:color w:val="auto"/>
        </w:rPr>
      </w:pPr>
      <w:r>
        <w:rPr>
          <w:rFonts w:ascii="Arial" w:cs="Arial" w:eastAsia="Arial" w:hAnsi="Arial"/>
          <w:sz w:val="13"/>
          <w:szCs w:val="13"/>
          <w:b w:val="1"/>
          <w:bCs w:val="1"/>
          <w:color w:val="auto"/>
        </w:rPr>
        <w:t>Confidentiality</w:t>
      </w:r>
      <w:r>
        <w:rPr>
          <w:rFonts w:ascii="Arial" w:cs="Arial" w:eastAsia="Arial" w:hAnsi="Arial"/>
          <w:sz w:val="13"/>
          <w:szCs w:val="13"/>
          <w:color w:val="auto"/>
        </w:rPr>
        <w:t>. As a Company employee, you will be expected not to use or disclose any confidential information, including trade secrets, of any former or current employer or any other person to whom you</w:t>
      </w:r>
      <w:r>
        <w:rPr>
          <w:rFonts w:ascii="Arial" w:cs="Arial" w:eastAsia="Arial" w:hAnsi="Arial"/>
          <w:sz w:val="13"/>
          <w:szCs w:val="13"/>
          <w:b w:val="1"/>
          <w:bCs w:val="1"/>
          <w:color w:val="auto"/>
        </w:rPr>
        <w:t xml:space="preserve"> </w:t>
      </w:r>
      <w:r>
        <w:rPr>
          <w:rFonts w:ascii="Arial" w:cs="Arial" w:eastAsia="Arial" w:hAnsi="Arial"/>
          <w:sz w:val="13"/>
          <w:szCs w:val="13"/>
          <w:color w:val="auto"/>
        </w:rPr>
        <w:t>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or current employer or other person to whom you have an obligation of confidentiality. During our discussions about your proposed job duties, you assured us that you would be able to perform your responsibilities within the guidelines just described.</w:t>
      </w:r>
    </w:p>
    <w:p>
      <w:pPr>
        <w:spacing w:after="0" w:line="55" w:lineRule="exact"/>
        <w:rPr>
          <w:rFonts w:ascii="Arial" w:cs="Arial" w:eastAsia="Arial" w:hAnsi="Arial"/>
          <w:sz w:val="13"/>
          <w:szCs w:val="13"/>
          <w:color w:val="auto"/>
        </w:rPr>
      </w:pPr>
    </w:p>
    <w:p>
      <w:pPr>
        <w:ind w:left="261" w:hanging="261"/>
        <w:spacing w:after="0"/>
        <w:tabs>
          <w:tab w:leader="none" w:pos="261"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Board Ratification; At-Will Employment</w:t>
      </w:r>
      <w:r>
        <w:rPr>
          <w:rFonts w:ascii="Arial" w:cs="Arial" w:eastAsia="Arial" w:hAnsi="Arial"/>
          <w:sz w:val="12"/>
          <w:szCs w:val="12"/>
          <w:color w:val="auto"/>
        </w:rPr>
        <w:t>. This conditional employment offer will be submitted to the Company’s Board of Directors for ratification at its regularly scheduled meeting on August 4, 2008.</w:t>
      </w:r>
    </w:p>
    <w:p>
      <w:pPr>
        <w:spacing w:after="0" w:line="102" w:lineRule="exact"/>
        <w:rPr>
          <w:sz w:val="20"/>
          <w:szCs w:val="20"/>
          <w:color w:val="auto"/>
        </w:rPr>
      </w:pPr>
    </w:p>
    <w:p>
      <w:pPr>
        <w:jc w:val="both"/>
        <w:ind w:left="221" w:right="40"/>
        <w:spacing w:after="0" w:line="264" w:lineRule="auto"/>
        <w:rPr>
          <w:sz w:val="20"/>
          <w:szCs w:val="20"/>
          <w:color w:val="auto"/>
        </w:rPr>
      </w:pPr>
      <w:r>
        <w:rPr>
          <w:rFonts w:ascii="Arial" w:cs="Arial" w:eastAsia="Arial" w:hAnsi="Arial"/>
          <w:sz w:val="13"/>
          <w:szCs w:val="13"/>
          <w:color w:val="auto"/>
        </w:rPr>
        <w:t>Also, as set forth in your Employment Agreement, your employment with StemCells will be on an at-will basis and for an unspecified duration, which means that neither this offer letter nor any policy or procedure of StemCells (including the stock vesting and other payments made to you by the Company over time based on your continued employment with the Company), nor any verbal representation, shall confer any right to continuing employment. Either you or StemCells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auto"/>
        </w:rPr>
        <w:t>Stewart Craig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24, 2008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220"/>
        <w:spacing w:after="0" w:line="276" w:lineRule="auto"/>
        <w:rPr>
          <w:sz w:val="20"/>
          <w:szCs w:val="20"/>
          <w:color w:val="auto"/>
        </w:rPr>
      </w:pPr>
      <w:r>
        <w:rPr>
          <w:rFonts w:ascii="Arial" w:cs="Arial" w:eastAsia="Arial" w:hAnsi="Arial"/>
          <w:sz w:val="13"/>
          <w:szCs w:val="13"/>
          <w:color w:val="auto"/>
        </w:rPr>
        <w:t>terminate your employment relationship at any time with or without cause. In addition, the Company expressly reserves the right to modify your compensation and benefits from time to time as it deems necessary or advisable.</w:t>
      </w:r>
    </w:p>
    <w:p>
      <w:pPr>
        <w:spacing w:after="0" w:line="49" w:lineRule="exact"/>
        <w:rPr>
          <w:sz w:val="20"/>
          <w:szCs w:val="20"/>
          <w:color w:val="auto"/>
        </w:rPr>
      </w:pPr>
    </w:p>
    <w:p>
      <w:pPr>
        <w:ind w:left="220" w:right="300"/>
        <w:spacing w:after="0" w:line="296" w:lineRule="auto"/>
        <w:rPr>
          <w:sz w:val="20"/>
          <w:szCs w:val="20"/>
          <w:color w:val="auto"/>
        </w:rPr>
      </w:pPr>
      <w:r>
        <w:rPr>
          <w:rFonts w:ascii="Arial" w:cs="Arial" w:eastAsia="Arial" w:hAnsi="Arial"/>
          <w:sz w:val="12"/>
          <w:szCs w:val="12"/>
          <w:color w:val="auto"/>
        </w:rPr>
        <w:t>However, if your employment with StemCells is involuntarily terminated without cause at any time, including a change of control, you will be provided with salary continuation and benefits continuation under COBRA from the date of termination until the date six (6) months after the effective date of termination equal to the salary which you were receiving at the time of such termination; payments shall be paid in accordance with the Company’s standard payroll practices upon the Company’s receipt of a signed general release of any claims, whether known or unknown, against the Company and its agents.</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This letter, which includes your Employment Agreement, supersedes all prior discussions, agreements and writings with regard to your employment and any related matters. The terms of this conditional offer can only be amended in a written document signed by you and an officer of the Company.</w:t>
      </w:r>
    </w:p>
    <w:p>
      <w:pPr>
        <w:spacing w:after="0" w:line="49"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Please indicate your acceptance of the terms and conditions of this conditional employment offer by signing this letter and the enclosed Employment Agreement and returning them both to me. This offer will remain open until July 31, 2008.</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On behalf of the entire Company, I am delighted at the prospect of your joining us, as we work together to deliver the promise of this exciting technology to physicians and patients, while at the same time creating value for our employees and shareholders alike. We truly believe that you will greatly contribute to the success of StemCells, and we all look forward to working with you.</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CEO</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color w:val="auto"/>
        </w:rPr>
        <w:t>Enclosures:</w:t>
      </w:r>
      <w:r>
        <w:rPr>
          <w:sz w:val="20"/>
          <w:szCs w:val="20"/>
          <w:color w:val="auto"/>
        </w:rPr>
        <w:tab/>
      </w:r>
      <w:r>
        <w:rPr>
          <w:rFonts w:ascii="Arial" w:cs="Arial" w:eastAsia="Arial" w:hAnsi="Arial"/>
          <w:sz w:val="12"/>
          <w:szCs w:val="12"/>
          <w:color w:val="auto"/>
        </w:rPr>
        <w:t>Employment Agreement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3"/>
          <w:szCs w:val="13"/>
          <w:color w:val="auto"/>
        </w:rPr>
        <w:t>List of Acceptable Documents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Form to elect or decline Hepatitis B vaccine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Release Authorization</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Employment Application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20"/>
                <w:szCs w:val="20"/>
                <w:color w:val="auto"/>
              </w:rPr>
            </w:pPr>
            <w:r>
              <w:rPr>
                <w:rFonts w:ascii="Arial" w:cs="Arial" w:eastAsia="Arial" w:hAnsi="Arial"/>
                <w:sz w:val="13"/>
                <w:szCs w:val="13"/>
                <w:color w:val="auto"/>
                <w:w w:val="95"/>
              </w:rPr>
              <w:t>I accept the foregoing conditional offer of employment on the terms and conditions outlined above.</w:t>
            </w:r>
          </w:p>
        </w:tc>
        <w:tc>
          <w:tcPr>
            <w:tcW w:w="6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Stewart Craig</w:t>
            </w:r>
          </w:p>
        </w:tc>
        <w:tc>
          <w:tcPr>
            <w:tcW w:w="6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July 27, 2008</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Stewart Craig</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799"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162560</wp:posOffset>
            </wp:positionV>
            <wp:extent cx="1804035" cy="3746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February 2, 2007</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Kenneth B. Stratton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2724 Clifford Avenue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Carlos, CA 94070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Dear Ken,</w:t>
      </w:r>
    </w:p>
    <w:p>
      <w:pPr>
        <w:spacing w:after="0" w:line="86"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We are delighted to offer you the position of General Counsel of StemCells, Inc., effective February 28, 2007. As General Counsel, you will report directly to me and will be responsible for the Company’s legal affairs; your primary responsibility to advise me about, and to oversee, the legal affairs of the Company. These will be among your specific responsibilities: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Working closely with the CEO, COO, CFO, the Director of HR and heads of the Company’s various programs on internal and external matters that have legal or policy aspects;</w:t>
      </w:r>
    </w:p>
    <w:p>
      <w:pPr>
        <w:spacing w:after="0" w:line="86" w:lineRule="exact"/>
        <w:rPr>
          <w:sz w:val="20"/>
          <w:szCs w:val="20"/>
          <w:color w:val="auto"/>
        </w:rPr>
      </w:pPr>
    </w:p>
    <w:p>
      <w:pPr>
        <w:ind w:left="220" w:right="260"/>
        <w:spacing w:after="0" w:line="320" w:lineRule="auto"/>
        <w:rPr>
          <w:sz w:val="20"/>
          <w:szCs w:val="20"/>
          <w:color w:val="auto"/>
        </w:rPr>
      </w:pPr>
      <w:r>
        <w:rPr>
          <w:rFonts w:ascii="Arial" w:cs="Arial" w:eastAsia="Arial" w:hAnsi="Arial"/>
          <w:sz w:val="12"/>
          <w:szCs w:val="12"/>
          <w:color w:val="auto"/>
        </w:rPr>
        <w:t>Providing legal support to all staff members on matters such as patent disclosure, Company insider trading and other policies, and review of proposed contractual agreements with providers of goods or services (including, where necessary, editing agreements and negotiating changes in their terms. Note that entering any agreement requires sign-off by Company officers including CEO);</w:t>
      </w:r>
    </w:p>
    <w:p>
      <w:pPr>
        <w:spacing w:after="0" w:line="25" w:lineRule="exact"/>
        <w:rPr>
          <w:sz w:val="20"/>
          <w:szCs w:val="20"/>
          <w:color w:val="auto"/>
        </w:rPr>
      </w:pPr>
    </w:p>
    <w:p>
      <w:pPr>
        <w:ind w:left="220" w:right="360"/>
        <w:spacing w:after="0" w:line="276" w:lineRule="auto"/>
        <w:rPr>
          <w:sz w:val="20"/>
          <w:szCs w:val="20"/>
          <w:color w:val="auto"/>
        </w:rPr>
      </w:pPr>
      <w:r>
        <w:rPr>
          <w:rFonts w:ascii="Arial" w:cs="Arial" w:eastAsia="Arial" w:hAnsi="Arial"/>
          <w:sz w:val="13"/>
          <w:szCs w:val="13"/>
          <w:color w:val="auto"/>
        </w:rPr>
        <w:t>Participating in the drafting, and reviewing the non-financial aspects, of StemCells’ periodic reports to the SEC, making appropriate reports on Form 8-K, and generally overseeing the Company’s activities in compliance with securities laws and regulations;</w:t>
      </w:r>
    </w:p>
    <w:p>
      <w:pPr>
        <w:spacing w:after="0" w:line="49" w:lineRule="exact"/>
        <w:rPr>
          <w:sz w:val="20"/>
          <w:szCs w:val="20"/>
          <w:color w:val="auto"/>
        </w:rPr>
      </w:pPr>
    </w:p>
    <w:p>
      <w:pPr>
        <w:ind w:left="220" w:right="440"/>
        <w:spacing w:after="0" w:line="276" w:lineRule="auto"/>
        <w:rPr>
          <w:sz w:val="20"/>
          <w:szCs w:val="20"/>
          <w:color w:val="auto"/>
        </w:rPr>
      </w:pPr>
      <w:r>
        <w:rPr>
          <w:rFonts w:ascii="Arial" w:cs="Arial" w:eastAsia="Arial" w:hAnsi="Arial"/>
          <w:sz w:val="13"/>
          <w:szCs w:val="13"/>
          <w:color w:val="auto"/>
        </w:rPr>
        <w:t>Drafting term sheets and various types of agreements, including licenses, material transfer agreements, research agreements, clinical trial agreements, and confidentiality agreements, and participating in and overseeing the drafting of the documentation of major collaborations and financings; and</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Overseeing the work of outside counsel, including patent counsel.</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You will be a member of the Company’s leadership team and, ex officio, of each of its standing committees: the StemCells Operating Committee, the StemCells Executive Officers Committee, the Patent Committee and the Public Disclosure Committee. You will also, upon appointment by the Board of Directors, be expected to serve as Secretary to the Board, which entails attending all meetings of the Board and its Committees and drafting minutes as well as helping to schedule those meetings.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3155 Porter Drive • Palo Alto, CA 94304 • Phone 650.475.3100 • Fax 650.475.3101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www.stemcellsinc.com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5" w:name="page116"/>
    <w:bookmarkEnd w:id="115"/>
    <w:p>
      <w:pPr>
        <w:ind w:left="1"/>
        <w:spacing w:after="0"/>
        <w:rPr>
          <w:sz w:val="20"/>
          <w:szCs w:val="20"/>
          <w:color w:val="auto"/>
        </w:rPr>
      </w:pPr>
      <w:r>
        <w:rPr>
          <w:rFonts w:ascii="Arial" w:cs="Arial" w:eastAsia="Arial" w:hAnsi="Arial"/>
          <w:sz w:val="13"/>
          <w:szCs w:val="13"/>
          <w:color w:val="auto"/>
        </w:rPr>
        <w:t>Ken Stratton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February 2, 2007</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Your compensation package for this position will consist of:</w:t>
      </w:r>
    </w:p>
    <w:p>
      <w:pPr>
        <w:spacing w:after="0" w:line="82" w:lineRule="exact"/>
        <w:rPr>
          <w:sz w:val="20"/>
          <w:szCs w:val="20"/>
          <w:color w:val="auto"/>
        </w:rPr>
      </w:pPr>
    </w:p>
    <w:p>
      <w:pPr>
        <w:jc w:val="both"/>
        <w:ind w:left="261" w:right="20" w:hanging="261"/>
        <w:spacing w:after="0" w:line="291" w:lineRule="auto"/>
        <w:tabs>
          <w:tab w:leader="none" w:pos="261"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Salary</w:t>
      </w:r>
      <w:r>
        <w:rPr>
          <w:rFonts w:ascii="Arial" w:cs="Arial" w:eastAsia="Arial" w:hAnsi="Arial"/>
          <w:sz w:val="12"/>
          <w:szCs w:val="12"/>
          <w:color w:val="auto"/>
        </w:rPr>
        <w:t>. Your base salary will be at the rate of $220,000 per year paid bi-weekly, every other Friday. In addition, you will be eligible for a bonus of up to 20% of your annual base salary. Funding the bonus program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is at the discretion of the Board of Directors and is based upon their evaluation of company goals met for the year. Employee awards are based on meeting individual goals and on salaries effective January 1 of the year for which bonuses are awarded. You will be eligible for inclusion in the Bonus Plan for the 2007 fiscal year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based on your performance from your date of hire through December 31, 2007. While salaries are normally reviewed each calendar year after the first full year of service, there is no assurance that you will receive a salary increase any time in the future.</w:t>
      </w:r>
    </w:p>
    <w:p>
      <w:pPr>
        <w:spacing w:after="0" w:line="38" w:lineRule="exact"/>
        <w:rPr>
          <w:rFonts w:ascii="Arial" w:cs="Arial" w:eastAsia="Arial" w:hAnsi="Arial"/>
          <w:sz w:val="12"/>
          <w:szCs w:val="12"/>
          <w:color w:val="auto"/>
        </w:rPr>
      </w:pPr>
    </w:p>
    <w:p>
      <w:pPr>
        <w:ind w:left="261" w:right="40" w:hanging="261"/>
        <w:spacing w:after="0" w:line="260" w:lineRule="auto"/>
        <w:tabs>
          <w:tab w:leader="none" w:pos="261"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Stock Options</w:t>
      </w:r>
      <w:r>
        <w:rPr>
          <w:rFonts w:ascii="Arial" w:cs="Arial" w:eastAsia="Arial" w:hAnsi="Arial"/>
          <w:sz w:val="13"/>
          <w:szCs w:val="13"/>
          <w:color w:val="auto"/>
        </w:rPr>
        <w:t>. Subject to the approval of the Board of Directors of StemCells, you will be granted an option, pursuant to the Company’s 2001 Equity Incentive Plan (the “2001 Plan”) for the purchase of one</w:t>
      </w:r>
      <w:r>
        <w:rPr>
          <w:rFonts w:ascii="Arial" w:cs="Arial" w:eastAsia="Arial" w:hAnsi="Arial"/>
          <w:sz w:val="13"/>
          <w:szCs w:val="13"/>
          <w:b w:val="1"/>
          <w:bCs w:val="1"/>
          <w:color w:val="auto"/>
        </w:rPr>
        <w:t xml:space="preserve"> </w:t>
      </w:r>
      <w:r>
        <w:rPr>
          <w:rFonts w:ascii="Arial" w:cs="Arial" w:eastAsia="Arial" w:hAnsi="Arial"/>
          <w:sz w:val="13"/>
          <w:szCs w:val="13"/>
          <w:color w:val="auto"/>
        </w:rPr>
        <w:t>hundred fifty thousand (150,000) shares of StemCells stock at the closing price of the stock on February 28, 2007 or on the date on which you begin your employment, if later. The vesting of these shares will commence after the first twelve months of your employment. At the end of twelve months, 1/4 will vest and 1/48 will vest monthly thereafter. In all other respects, the grant is subject to the terms of the 2001 Plan, including the requirement that you be an employee at the date on which option shares vest. You will qualify to receive additional stock option grants from time to time, usually on an annual basis. A copy of the Prospectus for the 2001 Plan will be provided to you when your employment begins.</w:t>
      </w:r>
    </w:p>
    <w:p>
      <w:pPr>
        <w:spacing w:after="0" w:line="59" w:lineRule="exact"/>
        <w:rPr>
          <w:sz w:val="20"/>
          <w:szCs w:val="20"/>
          <w:color w:val="auto"/>
        </w:rPr>
      </w:pPr>
    </w:p>
    <w:p>
      <w:pPr>
        <w:ind w:left="221" w:right="100"/>
        <w:spacing w:after="0" w:line="264" w:lineRule="auto"/>
        <w:rPr>
          <w:sz w:val="20"/>
          <w:szCs w:val="20"/>
          <w:color w:val="auto"/>
        </w:rPr>
      </w:pPr>
      <w:r>
        <w:rPr>
          <w:rFonts w:ascii="Arial" w:cs="Arial" w:eastAsia="Arial" w:hAnsi="Arial"/>
          <w:sz w:val="13"/>
          <w:szCs w:val="13"/>
          <w:color w:val="auto"/>
        </w:rPr>
        <w:t>In recognition of your forfeiture of stock options from your current employer, the Company will provide you with a $25,000 loan, payable within 30 days of your hire date, which will be forgiven upon completion of 12 months of continuous employment with StemCells, or in the event of involuntary termination prior to the completion of one year of continuous service, the loan will be forgiven upon execution of a signed release.</w:t>
      </w:r>
    </w:p>
    <w:p>
      <w:pPr>
        <w:spacing w:after="0" w:line="53" w:lineRule="exact"/>
        <w:rPr>
          <w:sz w:val="20"/>
          <w:szCs w:val="20"/>
          <w:color w:val="auto"/>
        </w:rPr>
      </w:pPr>
    </w:p>
    <w:p>
      <w:pPr>
        <w:ind w:left="261" w:hanging="261"/>
        <w:spacing w:after="0" w:line="260" w:lineRule="auto"/>
        <w:tabs>
          <w:tab w:leader="none" w:pos="26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Benefits. </w:t>
      </w:r>
      <w:r>
        <w:rPr>
          <w:rFonts w:ascii="Arial" w:cs="Arial" w:eastAsia="Arial" w:hAnsi="Arial"/>
          <w:sz w:val="13"/>
          <w:szCs w:val="13"/>
          <w:color w:val="auto"/>
        </w:rPr>
        <w:t>As an employee of StemCells, you will be eligible to participate in a comprehensive benefits program which currently includes: medical, dental, and vision benefits for you and your dependents; term life</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equivalent to one time your annual base salary up to $400,000 with a statement of good health; short and long-term disability insurance; and a 401(k) savings plan and employer match in company stock. You will be eligible to participate in these plans on the first of the month following your start date, except that you may elect to participate in the 401(k) plan immediately. Details of these benefit plans will be provided to you upon your employment. Your paid time off (PTO) as a full-time employee will be 25 days (five weeks) per year, accrued at a rate of 7.69 hours per pay period, up to the maximum accrual permitted by Company policy. In addition, the company currently offers eight paid holidays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Ken Stratton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 2007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right="80"/>
        <w:spacing w:after="0" w:line="289" w:lineRule="auto"/>
        <w:rPr>
          <w:sz w:val="20"/>
          <w:szCs w:val="20"/>
          <w:color w:val="auto"/>
        </w:rPr>
      </w:pPr>
      <w:r>
        <w:rPr>
          <w:rFonts w:ascii="Arial" w:cs="Arial" w:eastAsia="Arial" w:hAnsi="Arial"/>
          <w:sz w:val="12"/>
          <w:szCs w:val="12"/>
          <w:color w:val="auto"/>
        </w:rPr>
        <w:t>The Company will pay your yearly California bar dues and any other professional dues or fees required for you to maintain your legal accreditation in California and in any other state necessary for your job, in each case for so long as you are employed by StemCells. This will include reimbursement for professional memberships (ACCA, etc.) and continuing legal education (MCLE coursework) not supplied by StemCells, as we may jointly determine necessary or advisable. You will also be a named person under the Company’s D&amp;O insurance policy, for your information, there is no exclusion from the policy for derivative claims of legal malpractice. In the event that the Company adopts an indemnification policy covering any management employees, you will be included among those covered by that policy.</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As a condition of employment with StemCells, you will be required to: (1) sign and return one copy of the enclosed Employment Agreement, along with a signed copy of this letter; and (2) on the first day of your employment, provide documents from the enclosed List of Acceptable Documents which prove your identity and right to work in the United States. You will also be required to acknowledge receipt and understanding of certain company documents and policies such as Employee Certification and Agreement of Compliance (Code of Ethics and Conduct), Harassment, Publication Policy, Employment Handbook, Cobra Notice, Equity Incentive Plan, and Release Authorization for a background check. This offer is also contingent on satisfactory completion of reference checking by the Company.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You have an option to receive the Hepatitis B vaccine which is paid for by the Company. A form to elect or decline the vaccine is enclosed. Please fill out the form, sign and return it.</w:t>
      </w:r>
    </w:p>
    <w:p>
      <w:pPr>
        <w:spacing w:after="0" w:line="86" w:lineRule="exact"/>
        <w:rPr>
          <w:sz w:val="20"/>
          <w:szCs w:val="20"/>
          <w:color w:val="auto"/>
        </w:rPr>
      </w:pPr>
    </w:p>
    <w:p>
      <w:pPr>
        <w:ind w:right="340"/>
        <w:spacing w:after="0" w:line="264" w:lineRule="auto"/>
        <w:rPr>
          <w:sz w:val="20"/>
          <w:szCs w:val="20"/>
          <w:color w:val="auto"/>
        </w:rPr>
      </w:pPr>
      <w:r>
        <w:rPr>
          <w:rFonts w:ascii="Arial" w:cs="Arial" w:eastAsia="Arial" w:hAnsi="Arial"/>
          <w:sz w:val="13"/>
          <w:szCs w:val="13"/>
          <w:color w:val="auto"/>
        </w:rPr>
        <w:t>To underscore an important aspect of the enclosed Employment Agreement, it is the strong expectation of StemCells that you hold in strictest confidence the confidential business and scientific information of the Company, and that you also refrain from any improper use of or disclosure of proprietary information of your current employer or those with whom you might have an agreement or duty to keep information in confidence.</w:t>
      </w:r>
    </w:p>
    <w:p>
      <w:pPr>
        <w:spacing w:after="0" w:line="57" w:lineRule="exact"/>
        <w:rPr>
          <w:sz w:val="20"/>
          <w:szCs w:val="20"/>
          <w:color w:val="auto"/>
        </w:rPr>
      </w:pPr>
    </w:p>
    <w:p>
      <w:pPr>
        <w:ind w:right="240"/>
        <w:spacing w:after="0" w:line="289" w:lineRule="auto"/>
        <w:rPr>
          <w:sz w:val="20"/>
          <w:szCs w:val="20"/>
          <w:color w:val="auto"/>
        </w:rPr>
      </w:pPr>
      <w:r>
        <w:rPr>
          <w:rFonts w:ascii="Arial" w:cs="Arial" w:eastAsia="Arial" w:hAnsi="Arial"/>
          <w:sz w:val="12"/>
          <w:szCs w:val="12"/>
          <w:color w:val="auto"/>
        </w:rPr>
        <w:t>As set forth in your Employment Agreement, your employment with StemCells will be on an at-will basis and for an unspecified duration, which means that neither this offer letter nor any policy or procedure of StemCells (including the stock vesting and other payments made to you by the Company over time based on your continued employment with the Company), nor any verbal representation, shall confer any right to continuing employment. Either you or StemCells may terminate your employment relationship at any time with or without cause. In the event of termination of your employment, you will not be entitled to any payments, benefits, damages or compensation. This paragraph regarding at-will employment can only be amended in a written document signed by you and an officer of the Company.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This letter supersedes all prior discussions, agreements and writings with regard to your employment and any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99" w:right="27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Ken Stratton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 2007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It is understood that if you accept this offer, your start date will be February 28, 2007. Please indicate your acceptance by signing this letter and the Employment Agreement and returning a copy of the letter together with the original Employment Agreement. This offer will remain open until February 7, 2007.</w:t>
      </w:r>
    </w:p>
    <w:p>
      <w:pPr>
        <w:spacing w:after="0" w:line="49"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Ken, I am personally thrilled at the prospect of your joining us, and I hope you will agree that we have been very responsive to your comments, suggestions and feedback! I truly believe that you will greatly contribute to the success of StemCells Inc., and your soon-to-be colleagues are enthusiastically looking forward to working with you.</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color w:val="auto"/>
        </w:rPr>
        <w:t>Enclosures:</w:t>
      </w:r>
      <w:r>
        <w:rPr>
          <w:sz w:val="20"/>
          <w:szCs w:val="20"/>
          <w:color w:val="auto"/>
        </w:rPr>
        <w:tab/>
      </w:r>
      <w:r>
        <w:rPr>
          <w:rFonts w:ascii="Arial" w:cs="Arial" w:eastAsia="Arial" w:hAnsi="Arial"/>
          <w:sz w:val="12"/>
          <w:szCs w:val="12"/>
          <w:color w:val="auto"/>
        </w:rPr>
        <w:t>Employment Agreement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3"/>
          <w:szCs w:val="13"/>
          <w:color w:val="auto"/>
        </w:rPr>
        <w:t>List of Acceptable Documents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Form to elect or decline Hepatitis B vaccine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I accept the foregoing offer and shall commence employment on February 28, 2007.</w:t>
            </w:r>
          </w:p>
        </w:tc>
        <w:tc>
          <w:tcPr>
            <w:tcW w:w="6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5"/>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 Stratton</w:t>
            </w:r>
          </w:p>
        </w:tc>
        <w:tc>
          <w:tcPr>
            <w:tcW w:w="60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February 5, 2007</w:t>
            </w:r>
          </w:p>
        </w:tc>
      </w:tr>
      <w:tr>
        <w:trPr>
          <w:trHeight w:val="156"/>
        </w:trPr>
        <w:tc>
          <w:tcPr>
            <w:tcW w:w="5420" w:type="dxa"/>
            <w:vAlign w:val="bottom"/>
          </w:tcPr>
          <w:p>
            <w:pPr>
              <w:spacing w:after="0"/>
              <w:rPr>
                <w:sz w:val="20"/>
                <w:szCs w:val="20"/>
                <w:color w:val="auto"/>
              </w:rPr>
            </w:pPr>
            <w:r>
              <w:rPr>
                <w:rFonts w:ascii="Arial" w:cs="Arial" w:eastAsia="Arial" w:hAnsi="Arial"/>
                <w:sz w:val="13"/>
                <w:szCs w:val="13"/>
                <w:color w:val="auto"/>
              </w:rPr>
              <w:t>Signature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720"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162560</wp:posOffset>
            </wp:positionV>
            <wp:extent cx="1804035" cy="3746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403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August 6, 2009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Ken Stratton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774 Knoll Drive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Carlos, CA 94070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Re: Amendment to Existing Employment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Dear Ken: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am pleased to amend your existing Employment Agreement to include the following provision:</w:t>
      </w:r>
    </w:p>
    <w:p>
      <w:pPr>
        <w:spacing w:after="0" w:line="86"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If your employment with StemCells is involuntarily terminated without cause at any time, you will be provided with salary continuation and benefits continuation under COBRA from the date of termination until the date six (6) months after the effective date of termination equal to the salary which you were receiving at the time of such termination; payments shall be paid in accordance with the Company’s standard payroll practices upon the Company’s receipt of a signed general release of any claims, whether known or unknown, against the Company and its agents.</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In the event of termination associated with a change of control, you will be provided with salary continuation and benefits continuation under COBRA from the date of termination until the date twelve (12) months after the effective date of termination equal to the salary which you were receiving at the time of such termination; payments shall be paid in accordance with the Company’s standard payroll practices upon the Company’s receipt of a signed general release of any claims, whether known or unknown, against the Company and its agents. Additionally, termination associated with a change of control will also trigger immediate vesting of any unvested stock options and any other stock award held by you on the date of termination.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If your employment is terminated for cause or you choose to resign without good cause, you would not be entitled to any severance payments or other benefits.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Your contributions and efforts over the past year have helped move the Company closer to our vision of being the number one stem cell company in the world. Thank you for your continued support!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Regards,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86"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3155 Porter Dr. • Palo Alto, CA 94304</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(650) 475-3100 • (650) 475-3101 FAX</w:t>
      </w:r>
    </w:p>
    <w:p>
      <w:pPr>
        <w:sectPr>
          <w:pgSz w:w="11900" w:h="16838" w:orient="portrait"/>
          <w:cols w:equalWidth="0" w:num="1">
            <w:col w:w="11460"/>
          </w:cols>
          <w:pgMar w:left="220" w:top="127"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10.32</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BETWEEN</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UNIVERSITY OF EDINBURGH</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(“the Licensor”)</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 and -</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STEM CELL SCIENCES LIMITED</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(formerly known as STEM CELL SCIENCES PTY LTD)</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ACN 063 293 130</w:t>
      </w:r>
    </w:p>
    <w:p>
      <w:pPr>
        <w:spacing w:after="0" w:line="75"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(“the Licensee”)</w:t>
      </w:r>
    </w:p>
    <w:p>
      <w:pPr>
        <w:spacing w:after="0" w:line="86"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290830</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20" w:name="page121"/>
    <w:bookmarkEnd w:id="120"/>
    <w:tbl>
      <w:tblPr>
        <w:tblLayout w:type="fixed"/>
        <w:tblInd w:w="10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60" w:type="dxa"/>
            <w:vAlign w:val="bottom"/>
          </w:tcPr>
          <w:p>
            <w:pPr>
              <w:jc w:val="right"/>
              <w:ind w:right="4935"/>
              <w:spacing w:after="0"/>
              <w:rPr>
                <w:sz w:val="20"/>
                <w:szCs w:val="20"/>
                <w:color w:val="auto"/>
              </w:rPr>
            </w:pPr>
            <w:r>
              <w:rPr>
                <w:rFonts w:ascii="Arial" w:cs="Arial" w:eastAsia="Arial" w:hAnsi="Arial"/>
                <w:sz w:val="13"/>
                <w:szCs w:val="13"/>
                <w:b w:val="1"/>
                <w:bCs w:val="1"/>
                <w:color w:val="auto"/>
              </w:rPr>
              <w:t>TABLE OF CONTENTS</w:t>
            </w:r>
          </w:p>
        </w:tc>
      </w:tr>
      <w:tr>
        <w:trPr>
          <w:trHeight w:val="258"/>
        </w:trPr>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726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1.</w:t>
            </w:r>
          </w:p>
        </w:tc>
        <w:tc>
          <w:tcPr>
            <w:tcW w:w="3760" w:type="dxa"/>
            <w:vAlign w:val="bottom"/>
            <w:gridSpan w:val="2"/>
          </w:tcPr>
          <w:p>
            <w:pPr>
              <w:ind w:left="220"/>
              <w:spacing w:after="0"/>
              <w:rPr>
                <w:sz w:val="20"/>
                <w:szCs w:val="20"/>
                <w:color w:val="auto"/>
              </w:rPr>
            </w:pPr>
            <w:r>
              <w:rPr>
                <w:rFonts w:ascii="Arial" w:cs="Arial" w:eastAsia="Arial" w:hAnsi="Arial"/>
                <w:sz w:val="13"/>
                <w:szCs w:val="13"/>
                <w:color w:val="auto"/>
              </w:rPr>
              <w:t>DEFINITIONS AND INTERPRETATIONS</w:t>
            </w:r>
          </w:p>
        </w:tc>
        <w:tc>
          <w:tcPr>
            <w:tcW w:w="72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1.1</w:t>
            </w:r>
          </w:p>
        </w:tc>
        <w:tc>
          <w:tcPr>
            <w:tcW w:w="3120" w:type="dxa"/>
            <w:vAlign w:val="bottom"/>
          </w:tcPr>
          <w:p>
            <w:pPr>
              <w:ind w:left="160"/>
              <w:spacing w:after="0"/>
              <w:rPr>
                <w:sz w:val="20"/>
                <w:szCs w:val="20"/>
                <w:color w:val="auto"/>
              </w:rPr>
            </w:pPr>
            <w:r>
              <w:rPr>
                <w:rFonts w:ascii="Arial" w:cs="Arial" w:eastAsia="Arial" w:hAnsi="Arial"/>
                <w:sz w:val="13"/>
                <w:szCs w:val="13"/>
                <w:color w:val="auto"/>
              </w:rPr>
              <w:t>Definitions</w:t>
            </w:r>
          </w:p>
        </w:tc>
        <w:tc>
          <w:tcPr>
            <w:tcW w:w="72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1.2</w:t>
            </w:r>
          </w:p>
        </w:tc>
        <w:tc>
          <w:tcPr>
            <w:tcW w:w="3120" w:type="dxa"/>
            <w:vAlign w:val="bottom"/>
          </w:tcPr>
          <w:p>
            <w:pPr>
              <w:ind w:left="160"/>
              <w:spacing w:after="0"/>
              <w:rPr>
                <w:sz w:val="20"/>
                <w:szCs w:val="20"/>
                <w:color w:val="auto"/>
              </w:rPr>
            </w:pPr>
            <w:r>
              <w:rPr>
                <w:rFonts w:ascii="Arial" w:cs="Arial" w:eastAsia="Arial" w:hAnsi="Arial"/>
                <w:sz w:val="13"/>
                <w:szCs w:val="13"/>
                <w:color w:val="auto"/>
              </w:rPr>
              <w:t>Interpretation</w:t>
            </w:r>
          </w:p>
        </w:tc>
        <w:tc>
          <w:tcPr>
            <w:tcW w:w="72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2.</w:t>
            </w:r>
          </w:p>
        </w:tc>
        <w:tc>
          <w:tcPr>
            <w:tcW w:w="3760" w:type="dxa"/>
            <w:vAlign w:val="bottom"/>
            <w:gridSpan w:val="2"/>
          </w:tcPr>
          <w:p>
            <w:pPr>
              <w:ind w:left="220"/>
              <w:spacing w:after="0"/>
              <w:rPr>
                <w:sz w:val="20"/>
                <w:szCs w:val="20"/>
                <w:color w:val="auto"/>
              </w:rPr>
            </w:pPr>
            <w:r>
              <w:rPr>
                <w:rFonts w:ascii="Arial" w:cs="Arial" w:eastAsia="Arial" w:hAnsi="Arial"/>
                <w:sz w:val="13"/>
                <w:szCs w:val="13"/>
                <w:color w:val="auto"/>
              </w:rPr>
              <w:t>GRANT OF LICENCE</w:t>
            </w:r>
          </w:p>
        </w:tc>
        <w:tc>
          <w:tcPr>
            <w:tcW w:w="72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2.1</w:t>
            </w:r>
          </w:p>
        </w:tc>
        <w:tc>
          <w:tcPr>
            <w:tcW w:w="3120" w:type="dxa"/>
            <w:vAlign w:val="bottom"/>
          </w:tcPr>
          <w:p>
            <w:pPr>
              <w:ind w:left="160"/>
              <w:spacing w:after="0"/>
              <w:rPr>
                <w:sz w:val="20"/>
                <w:szCs w:val="20"/>
                <w:color w:val="auto"/>
              </w:rPr>
            </w:pPr>
            <w:r>
              <w:rPr>
                <w:rFonts w:ascii="Arial" w:cs="Arial" w:eastAsia="Arial" w:hAnsi="Arial"/>
                <w:sz w:val="13"/>
                <w:szCs w:val="13"/>
                <w:color w:val="auto"/>
              </w:rPr>
              <w:t>Exclusive Licence to Licensee</w:t>
            </w:r>
          </w:p>
        </w:tc>
        <w:tc>
          <w:tcPr>
            <w:tcW w:w="72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2.2</w:t>
            </w:r>
          </w:p>
        </w:tc>
        <w:tc>
          <w:tcPr>
            <w:tcW w:w="3120" w:type="dxa"/>
            <w:vAlign w:val="bottom"/>
          </w:tcPr>
          <w:p>
            <w:pPr>
              <w:ind w:left="160"/>
              <w:spacing w:after="0"/>
              <w:rPr>
                <w:sz w:val="20"/>
                <w:szCs w:val="20"/>
                <w:color w:val="auto"/>
              </w:rPr>
            </w:pPr>
            <w:r>
              <w:rPr>
                <w:rFonts w:ascii="Arial" w:cs="Arial" w:eastAsia="Arial" w:hAnsi="Arial"/>
                <w:sz w:val="13"/>
                <w:szCs w:val="13"/>
                <w:color w:val="auto"/>
              </w:rPr>
              <w:t>Notification and Copies of Sub-licences</w:t>
            </w:r>
          </w:p>
        </w:tc>
        <w:tc>
          <w:tcPr>
            <w:tcW w:w="72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2.3</w:t>
            </w:r>
          </w:p>
        </w:tc>
        <w:tc>
          <w:tcPr>
            <w:tcW w:w="3120" w:type="dxa"/>
            <w:vAlign w:val="bottom"/>
          </w:tcPr>
          <w:p>
            <w:pPr>
              <w:ind w:left="160"/>
              <w:spacing w:after="0"/>
              <w:rPr>
                <w:sz w:val="20"/>
                <w:szCs w:val="20"/>
                <w:color w:val="auto"/>
              </w:rPr>
            </w:pPr>
            <w:r>
              <w:rPr>
                <w:rFonts w:ascii="Arial" w:cs="Arial" w:eastAsia="Arial" w:hAnsi="Arial"/>
                <w:sz w:val="13"/>
                <w:szCs w:val="13"/>
                <w:color w:val="auto"/>
              </w:rPr>
              <w:t>Contents of Sub-licences</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2.4</w:t>
            </w:r>
          </w:p>
        </w:tc>
        <w:tc>
          <w:tcPr>
            <w:tcW w:w="3120" w:type="dxa"/>
            <w:vAlign w:val="bottom"/>
          </w:tcPr>
          <w:p>
            <w:pPr>
              <w:ind w:left="160"/>
              <w:spacing w:after="0"/>
              <w:rPr>
                <w:sz w:val="20"/>
                <w:szCs w:val="20"/>
                <w:color w:val="auto"/>
              </w:rPr>
            </w:pPr>
            <w:r>
              <w:rPr>
                <w:rFonts w:ascii="Arial" w:cs="Arial" w:eastAsia="Arial" w:hAnsi="Arial"/>
                <w:sz w:val="13"/>
                <w:szCs w:val="13"/>
                <w:color w:val="auto"/>
              </w:rPr>
              <w:t>Exploitation of Licence</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2.5</w:t>
            </w:r>
          </w:p>
        </w:tc>
        <w:tc>
          <w:tcPr>
            <w:tcW w:w="3120" w:type="dxa"/>
            <w:vAlign w:val="bottom"/>
          </w:tcPr>
          <w:p>
            <w:pPr>
              <w:ind w:left="160"/>
              <w:spacing w:after="0"/>
              <w:rPr>
                <w:sz w:val="20"/>
                <w:szCs w:val="20"/>
                <w:color w:val="auto"/>
              </w:rPr>
            </w:pPr>
            <w:r>
              <w:rPr>
                <w:rFonts w:ascii="Arial" w:cs="Arial" w:eastAsia="Arial" w:hAnsi="Arial"/>
                <w:sz w:val="13"/>
                <w:szCs w:val="13"/>
                <w:color w:val="auto"/>
              </w:rPr>
              <w:t>Licensor’s Acknowledgement</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3.</w:t>
            </w:r>
          </w:p>
        </w:tc>
        <w:tc>
          <w:tcPr>
            <w:tcW w:w="3760" w:type="dxa"/>
            <w:vAlign w:val="bottom"/>
            <w:gridSpan w:val="2"/>
          </w:tcPr>
          <w:p>
            <w:pPr>
              <w:ind w:left="220"/>
              <w:spacing w:after="0"/>
              <w:rPr>
                <w:sz w:val="20"/>
                <w:szCs w:val="20"/>
                <w:color w:val="auto"/>
              </w:rPr>
            </w:pPr>
            <w:r>
              <w:rPr>
                <w:rFonts w:ascii="Arial" w:cs="Arial" w:eastAsia="Arial" w:hAnsi="Arial"/>
                <w:sz w:val="13"/>
                <w:szCs w:val="13"/>
                <w:color w:val="auto"/>
              </w:rPr>
              <w:t>ROYALTY</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w:t>
            </w:r>
          </w:p>
        </w:tc>
        <w:tc>
          <w:tcPr>
            <w:tcW w:w="3120" w:type="dxa"/>
            <w:vAlign w:val="bottom"/>
          </w:tcPr>
          <w:p>
            <w:pPr>
              <w:ind w:left="160"/>
              <w:spacing w:after="0"/>
              <w:rPr>
                <w:sz w:val="20"/>
                <w:szCs w:val="20"/>
                <w:color w:val="auto"/>
              </w:rPr>
            </w:pPr>
            <w:r>
              <w:rPr>
                <w:rFonts w:ascii="Arial" w:cs="Arial" w:eastAsia="Arial" w:hAnsi="Arial"/>
                <w:sz w:val="13"/>
                <w:szCs w:val="13"/>
                <w:color w:val="auto"/>
              </w:rPr>
              <w:t>Royalty</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3.2</w:t>
            </w:r>
          </w:p>
        </w:tc>
        <w:tc>
          <w:tcPr>
            <w:tcW w:w="3120" w:type="dxa"/>
            <w:vAlign w:val="bottom"/>
          </w:tcPr>
          <w:p>
            <w:pPr>
              <w:ind w:left="160"/>
              <w:spacing w:after="0"/>
              <w:rPr>
                <w:sz w:val="20"/>
                <w:szCs w:val="20"/>
                <w:color w:val="auto"/>
              </w:rPr>
            </w:pPr>
            <w:r>
              <w:rPr>
                <w:rFonts w:ascii="Arial" w:cs="Arial" w:eastAsia="Arial" w:hAnsi="Arial"/>
                <w:sz w:val="13"/>
                <w:szCs w:val="13"/>
                <w:color w:val="auto"/>
              </w:rPr>
              <w:t>Royalty Stacking</w:t>
            </w:r>
          </w:p>
        </w:tc>
        <w:tc>
          <w:tcPr>
            <w:tcW w:w="72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3.3</w:t>
            </w:r>
          </w:p>
        </w:tc>
        <w:tc>
          <w:tcPr>
            <w:tcW w:w="3120" w:type="dxa"/>
            <w:vAlign w:val="bottom"/>
          </w:tcPr>
          <w:p>
            <w:pPr>
              <w:ind w:left="160"/>
              <w:spacing w:after="0"/>
              <w:rPr>
                <w:sz w:val="20"/>
                <w:szCs w:val="20"/>
                <w:color w:val="auto"/>
              </w:rPr>
            </w:pPr>
            <w:r>
              <w:rPr>
                <w:rFonts w:ascii="Arial" w:cs="Arial" w:eastAsia="Arial" w:hAnsi="Arial"/>
                <w:sz w:val="13"/>
                <w:szCs w:val="13"/>
                <w:color w:val="auto"/>
              </w:rPr>
              <w:t>Time of Computing Royalty</w:t>
            </w:r>
          </w:p>
        </w:tc>
        <w:tc>
          <w:tcPr>
            <w:tcW w:w="7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3.4</w:t>
            </w:r>
          </w:p>
        </w:tc>
        <w:tc>
          <w:tcPr>
            <w:tcW w:w="3120" w:type="dxa"/>
            <w:vAlign w:val="bottom"/>
          </w:tcPr>
          <w:p>
            <w:pPr>
              <w:ind w:left="160"/>
              <w:spacing w:after="0"/>
              <w:rPr>
                <w:sz w:val="20"/>
                <w:szCs w:val="20"/>
                <w:color w:val="auto"/>
              </w:rPr>
            </w:pPr>
            <w:r>
              <w:rPr>
                <w:rFonts w:ascii="Arial" w:cs="Arial" w:eastAsia="Arial" w:hAnsi="Arial"/>
                <w:sz w:val="13"/>
                <w:szCs w:val="13"/>
                <w:color w:val="auto"/>
              </w:rPr>
              <w:t>Payment of Royalty</w:t>
            </w:r>
          </w:p>
        </w:tc>
        <w:tc>
          <w:tcPr>
            <w:tcW w:w="7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3.5</w:t>
            </w:r>
          </w:p>
        </w:tc>
        <w:tc>
          <w:tcPr>
            <w:tcW w:w="3120" w:type="dxa"/>
            <w:vAlign w:val="bottom"/>
          </w:tcPr>
          <w:p>
            <w:pPr>
              <w:ind w:left="160"/>
              <w:spacing w:after="0"/>
              <w:rPr>
                <w:sz w:val="20"/>
                <w:szCs w:val="20"/>
                <w:color w:val="auto"/>
              </w:rPr>
            </w:pPr>
            <w:r>
              <w:rPr>
                <w:rFonts w:ascii="Arial" w:cs="Arial" w:eastAsia="Arial" w:hAnsi="Arial"/>
                <w:sz w:val="13"/>
                <w:szCs w:val="13"/>
                <w:color w:val="auto"/>
              </w:rPr>
              <w:t>Currency and Exchange Rate</w:t>
            </w:r>
          </w:p>
        </w:tc>
        <w:tc>
          <w:tcPr>
            <w:tcW w:w="7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3.6</w:t>
            </w:r>
          </w:p>
        </w:tc>
        <w:tc>
          <w:tcPr>
            <w:tcW w:w="3120" w:type="dxa"/>
            <w:vAlign w:val="bottom"/>
          </w:tcPr>
          <w:p>
            <w:pPr>
              <w:ind w:left="160"/>
              <w:spacing w:after="0"/>
              <w:rPr>
                <w:sz w:val="20"/>
                <w:szCs w:val="20"/>
                <w:color w:val="auto"/>
              </w:rPr>
            </w:pPr>
            <w:r>
              <w:rPr>
                <w:rFonts w:ascii="Arial" w:cs="Arial" w:eastAsia="Arial" w:hAnsi="Arial"/>
                <w:sz w:val="13"/>
                <w:szCs w:val="13"/>
                <w:color w:val="auto"/>
              </w:rPr>
              <w:t>Taxation on Royalties</w:t>
            </w:r>
          </w:p>
        </w:tc>
        <w:tc>
          <w:tcPr>
            <w:tcW w:w="7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3.7</w:t>
            </w:r>
          </w:p>
        </w:tc>
        <w:tc>
          <w:tcPr>
            <w:tcW w:w="3120" w:type="dxa"/>
            <w:vAlign w:val="bottom"/>
          </w:tcPr>
          <w:p>
            <w:pPr>
              <w:ind w:left="160"/>
              <w:spacing w:after="0"/>
              <w:rPr>
                <w:sz w:val="20"/>
                <w:szCs w:val="20"/>
                <w:color w:val="auto"/>
              </w:rPr>
            </w:pPr>
            <w:r>
              <w:rPr>
                <w:rFonts w:ascii="Arial" w:cs="Arial" w:eastAsia="Arial" w:hAnsi="Arial"/>
                <w:sz w:val="13"/>
                <w:szCs w:val="13"/>
                <w:color w:val="auto"/>
              </w:rPr>
              <w:t>Statements with Royalties</w:t>
            </w:r>
          </w:p>
        </w:tc>
        <w:tc>
          <w:tcPr>
            <w:tcW w:w="7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3.8</w:t>
            </w:r>
          </w:p>
        </w:tc>
        <w:tc>
          <w:tcPr>
            <w:tcW w:w="3120" w:type="dxa"/>
            <w:vAlign w:val="bottom"/>
          </w:tcPr>
          <w:p>
            <w:pPr>
              <w:ind w:left="160"/>
              <w:spacing w:after="0"/>
              <w:rPr>
                <w:sz w:val="20"/>
                <w:szCs w:val="20"/>
                <w:color w:val="auto"/>
              </w:rPr>
            </w:pPr>
            <w:r>
              <w:rPr>
                <w:rFonts w:ascii="Arial" w:cs="Arial" w:eastAsia="Arial" w:hAnsi="Arial"/>
                <w:sz w:val="13"/>
                <w:szCs w:val="13"/>
                <w:color w:val="auto"/>
              </w:rPr>
              <w:t>Auditing of Statements</w:t>
            </w:r>
          </w:p>
        </w:tc>
        <w:tc>
          <w:tcPr>
            <w:tcW w:w="72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3.9</w:t>
            </w:r>
          </w:p>
        </w:tc>
        <w:tc>
          <w:tcPr>
            <w:tcW w:w="3120" w:type="dxa"/>
            <w:vAlign w:val="bottom"/>
          </w:tcPr>
          <w:p>
            <w:pPr>
              <w:ind w:left="160"/>
              <w:spacing w:after="0"/>
              <w:rPr>
                <w:sz w:val="20"/>
                <w:szCs w:val="20"/>
                <w:color w:val="auto"/>
              </w:rPr>
            </w:pPr>
            <w:r>
              <w:rPr>
                <w:rFonts w:ascii="Arial" w:cs="Arial" w:eastAsia="Arial" w:hAnsi="Arial"/>
                <w:sz w:val="13"/>
                <w:szCs w:val="13"/>
                <w:color w:val="auto"/>
              </w:rPr>
              <w:t>Records</w:t>
            </w:r>
          </w:p>
        </w:tc>
        <w:tc>
          <w:tcPr>
            <w:tcW w:w="72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3.10</w:t>
            </w:r>
          </w:p>
        </w:tc>
        <w:tc>
          <w:tcPr>
            <w:tcW w:w="3120" w:type="dxa"/>
            <w:vAlign w:val="bottom"/>
          </w:tcPr>
          <w:p>
            <w:pPr>
              <w:ind w:left="160"/>
              <w:spacing w:after="0"/>
              <w:rPr>
                <w:sz w:val="20"/>
                <w:szCs w:val="20"/>
                <w:color w:val="auto"/>
              </w:rPr>
            </w:pPr>
            <w:r>
              <w:rPr>
                <w:rFonts w:ascii="Arial" w:cs="Arial" w:eastAsia="Arial" w:hAnsi="Arial"/>
                <w:sz w:val="13"/>
                <w:szCs w:val="13"/>
                <w:color w:val="auto"/>
              </w:rPr>
              <w:t>Auditing of Records</w:t>
            </w:r>
          </w:p>
        </w:tc>
        <w:tc>
          <w:tcPr>
            <w:tcW w:w="72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3.11</w:t>
            </w:r>
          </w:p>
        </w:tc>
        <w:tc>
          <w:tcPr>
            <w:tcW w:w="3120" w:type="dxa"/>
            <w:vAlign w:val="bottom"/>
          </w:tcPr>
          <w:p>
            <w:pPr>
              <w:ind w:left="160"/>
              <w:spacing w:after="0"/>
              <w:rPr>
                <w:sz w:val="20"/>
                <w:szCs w:val="20"/>
                <w:color w:val="auto"/>
              </w:rPr>
            </w:pPr>
            <w:r>
              <w:rPr>
                <w:rFonts w:ascii="Arial" w:cs="Arial" w:eastAsia="Arial" w:hAnsi="Arial"/>
                <w:sz w:val="13"/>
                <w:szCs w:val="13"/>
                <w:color w:val="auto"/>
              </w:rPr>
              <w:t>Auditing of Sub-licences Records</w:t>
            </w:r>
          </w:p>
        </w:tc>
        <w:tc>
          <w:tcPr>
            <w:tcW w:w="72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3.12</w:t>
            </w:r>
          </w:p>
        </w:tc>
        <w:tc>
          <w:tcPr>
            <w:tcW w:w="3120" w:type="dxa"/>
            <w:vAlign w:val="bottom"/>
          </w:tcPr>
          <w:p>
            <w:pPr>
              <w:ind w:left="160"/>
              <w:spacing w:after="0"/>
              <w:rPr>
                <w:sz w:val="20"/>
                <w:szCs w:val="20"/>
                <w:color w:val="auto"/>
              </w:rPr>
            </w:pPr>
            <w:r>
              <w:rPr>
                <w:rFonts w:ascii="Arial" w:cs="Arial" w:eastAsia="Arial" w:hAnsi="Arial"/>
                <w:sz w:val="13"/>
                <w:szCs w:val="13"/>
                <w:color w:val="auto"/>
              </w:rPr>
              <w:t>Use of Royalties by Licensor</w:t>
            </w:r>
          </w:p>
        </w:tc>
        <w:tc>
          <w:tcPr>
            <w:tcW w:w="72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3.13</w:t>
            </w:r>
          </w:p>
        </w:tc>
        <w:tc>
          <w:tcPr>
            <w:tcW w:w="3120" w:type="dxa"/>
            <w:vAlign w:val="bottom"/>
          </w:tcPr>
          <w:p>
            <w:pPr>
              <w:ind w:left="160"/>
              <w:spacing w:after="0"/>
              <w:rPr>
                <w:sz w:val="20"/>
                <w:szCs w:val="20"/>
                <w:color w:val="auto"/>
              </w:rPr>
            </w:pPr>
            <w:r>
              <w:rPr>
                <w:rFonts w:ascii="Arial" w:cs="Arial" w:eastAsia="Arial" w:hAnsi="Arial"/>
                <w:sz w:val="13"/>
                <w:szCs w:val="13"/>
                <w:color w:val="auto"/>
              </w:rPr>
              <w:t>[****]</w:t>
            </w:r>
          </w:p>
        </w:tc>
        <w:tc>
          <w:tcPr>
            <w:tcW w:w="72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3.14</w:t>
            </w:r>
          </w:p>
        </w:tc>
        <w:tc>
          <w:tcPr>
            <w:tcW w:w="3120" w:type="dxa"/>
            <w:vAlign w:val="bottom"/>
          </w:tcPr>
          <w:p>
            <w:pPr>
              <w:ind w:left="160"/>
              <w:spacing w:after="0"/>
              <w:rPr>
                <w:sz w:val="20"/>
                <w:szCs w:val="20"/>
                <w:color w:val="auto"/>
              </w:rPr>
            </w:pPr>
            <w:r>
              <w:rPr>
                <w:rFonts w:ascii="Arial" w:cs="Arial" w:eastAsia="Arial" w:hAnsi="Arial"/>
                <w:sz w:val="13"/>
                <w:szCs w:val="13"/>
                <w:color w:val="auto"/>
              </w:rPr>
              <w:t>Licensee’s Warranty</w:t>
            </w:r>
          </w:p>
        </w:tc>
        <w:tc>
          <w:tcPr>
            <w:tcW w:w="72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4.</w:t>
            </w:r>
          </w:p>
        </w:tc>
        <w:tc>
          <w:tcPr>
            <w:tcW w:w="3760" w:type="dxa"/>
            <w:vAlign w:val="bottom"/>
            <w:gridSpan w:val="2"/>
          </w:tcPr>
          <w:p>
            <w:pPr>
              <w:ind w:left="220"/>
              <w:spacing w:after="0"/>
              <w:rPr>
                <w:sz w:val="20"/>
                <w:szCs w:val="20"/>
                <w:color w:val="auto"/>
              </w:rPr>
            </w:pPr>
            <w:r>
              <w:rPr>
                <w:rFonts w:ascii="Arial" w:cs="Arial" w:eastAsia="Arial" w:hAnsi="Arial"/>
                <w:sz w:val="13"/>
                <w:szCs w:val="13"/>
                <w:color w:val="auto"/>
              </w:rPr>
              <w:t>MINIMUM PERFORMANCE REQUIREMENTS</w:t>
            </w:r>
          </w:p>
        </w:tc>
        <w:tc>
          <w:tcPr>
            <w:tcW w:w="72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4.1</w:t>
            </w:r>
          </w:p>
        </w:tc>
        <w:tc>
          <w:tcPr>
            <w:tcW w:w="3120" w:type="dxa"/>
            <w:vAlign w:val="bottom"/>
          </w:tcPr>
          <w:p>
            <w:pPr>
              <w:ind w:left="160"/>
              <w:spacing w:after="0"/>
              <w:rPr>
                <w:sz w:val="20"/>
                <w:szCs w:val="20"/>
                <w:color w:val="auto"/>
              </w:rPr>
            </w:pPr>
            <w:r>
              <w:rPr>
                <w:rFonts w:ascii="Arial" w:cs="Arial" w:eastAsia="Arial" w:hAnsi="Arial"/>
                <w:sz w:val="13"/>
                <w:szCs w:val="13"/>
                <w:color w:val="auto"/>
              </w:rPr>
              <w:t>Royalty Guarantee</w:t>
            </w:r>
          </w:p>
        </w:tc>
        <w:tc>
          <w:tcPr>
            <w:tcW w:w="72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5.</w:t>
            </w:r>
          </w:p>
        </w:tc>
        <w:tc>
          <w:tcPr>
            <w:tcW w:w="3760" w:type="dxa"/>
            <w:vAlign w:val="bottom"/>
            <w:gridSpan w:val="2"/>
          </w:tcPr>
          <w:p>
            <w:pPr>
              <w:ind w:left="220"/>
              <w:spacing w:after="0"/>
              <w:rPr>
                <w:sz w:val="20"/>
                <w:szCs w:val="20"/>
                <w:color w:val="auto"/>
              </w:rPr>
            </w:pPr>
            <w:r>
              <w:rPr>
                <w:rFonts w:ascii="Arial" w:cs="Arial" w:eastAsia="Arial" w:hAnsi="Arial"/>
                <w:sz w:val="13"/>
                <w:szCs w:val="13"/>
                <w:color w:val="auto"/>
              </w:rPr>
              <w:t>PATENT APPLICATIONS</w:t>
            </w:r>
          </w:p>
        </w:tc>
        <w:tc>
          <w:tcPr>
            <w:tcW w:w="72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5"/>
        </w:trPr>
        <w:tc>
          <w:tcPr>
            <w:tcW w:w="3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5.1</w:t>
            </w:r>
          </w:p>
        </w:tc>
        <w:tc>
          <w:tcPr>
            <w:tcW w:w="3120" w:type="dxa"/>
            <w:vAlign w:val="bottom"/>
          </w:tcPr>
          <w:p>
            <w:pPr>
              <w:ind w:left="160"/>
              <w:spacing w:after="0"/>
              <w:rPr>
                <w:sz w:val="20"/>
                <w:szCs w:val="20"/>
                <w:color w:val="auto"/>
              </w:rPr>
            </w:pPr>
            <w:r>
              <w:rPr>
                <w:rFonts w:ascii="Arial" w:cs="Arial" w:eastAsia="Arial" w:hAnsi="Arial"/>
                <w:sz w:val="13"/>
                <w:szCs w:val="13"/>
                <w:color w:val="auto"/>
              </w:rPr>
              <w:t>Patent Prosecution</w:t>
            </w:r>
          </w:p>
        </w:tc>
        <w:tc>
          <w:tcPr>
            <w:tcW w:w="7260" w:type="dxa"/>
            <w:vAlign w:val="bottom"/>
          </w:tcPr>
          <w:p>
            <w:pPr>
              <w:jc w:val="right"/>
              <w:spacing w:after="0"/>
              <w:rPr>
                <w:sz w:val="20"/>
                <w:szCs w:val="20"/>
                <w:color w:val="auto"/>
              </w:rPr>
            </w:pPr>
            <w:r>
              <w:rPr>
                <w:rFonts w:ascii="Arial" w:cs="Arial" w:eastAsia="Arial" w:hAnsi="Arial"/>
                <w:sz w:val="13"/>
                <w:szCs w:val="13"/>
                <w:color w:val="auto"/>
              </w:rPr>
              <w:t>11</w:t>
            </w: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 Certain information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16"/>
        </w:trPr>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56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5.2</w:t>
            </w:r>
          </w:p>
        </w:tc>
        <w:tc>
          <w:tcPr>
            <w:tcW w:w="6760" w:type="dxa"/>
            <w:vAlign w:val="bottom"/>
          </w:tcPr>
          <w:p>
            <w:pPr>
              <w:ind w:left="160"/>
              <w:spacing w:after="0"/>
              <w:rPr>
                <w:sz w:val="20"/>
                <w:szCs w:val="20"/>
                <w:color w:val="auto"/>
              </w:rPr>
            </w:pPr>
            <w:r>
              <w:rPr>
                <w:rFonts w:ascii="Arial" w:cs="Arial" w:eastAsia="Arial" w:hAnsi="Arial"/>
                <w:sz w:val="13"/>
                <w:szCs w:val="13"/>
                <w:color w:val="auto"/>
              </w:rPr>
              <w:t>Patents in name of Licensor</w:t>
            </w:r>
          </w:p>
        </w:tc>
        <w:tc>
          <w:tcPr>
            <w:tcW w:w="35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5.3</w:t>
            </w:r>
          </w:p>
        </w:tc>
        <w:tc>
          <w:tcPr>
            <w:tcW w:w="6760" w:type="dxa"/>
            <w:vAlign w:val="bottom"/>
          </w:tcPr>
          <w:p>
            <w:pPr>
              <w:ind w:left="160"/>
              <w:spacing w:after="0"/>
              <w:rPr>
                <w:sz w:val="20"/>
                <w:szCs w:val="20"/>
                <w:color w:val="auto"/>
              </w:rPr>
            </w:pPr>
            <w:r>
              <w:rPr>
                <w:rFonts w:ascii="Arial" w:cs="Arial" w:eastAsia="Arial" w:hAnsi="Arial"/>
                <w:sz w:val="13"/>
                <w:szCs w:val="13"/>
                <w:color w:val="auto"/>
              </w:rPr>
              <w:t>Due Diligence in Prosecuting Applications</w:t>
            </w:r>
          </w:p>
        </w:tc>
        <w:tc>
          <w:tcPr>
            <w:tcW w:w="35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5.4</w:t>
            </w:r>
          </w:p>
        </w:tc>
        <w:tc>
          <w:tcPr>
            <w:tcW w:w="6760" w:type="dxa"/>
            <w:vAlign w:val="bottom"/>
          </w:tcPr>
          <w:p>
            <w:pPr>
              <w:ind w:left="160"/>
              <w:spacing w:after="0"/>
              <w:rPr>
                <w:sz w:val="20"/>
                <w:szCs w:val="20"/>
                <w:color w:val="auto"/>
              </w:rPr>
            </w:pPr>
            <w:r>
              <w:rPr>
                <w:rFonts w:ascii="Arial" w:cs="Arial" w:eastAsia="Arial" w:hAnsi="Arial"/>
                <w:sz w:val="13"/>
                <w:szCs w:val="13"/>
                <w:color w:val="auto"/>
              </w:rPr>
              <w:t>Costs of Patent Prosecution</w:t>
            </w:r>
          </w:p>
        </w:tc>
        <w:tc>
          <w:tcPr>
            <w:tcW w:w="35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5.5</w:t>
            </w:r>
          </w:p>
        </w:tc>
        <w:tc>
          <w:tcPr>
            <w:tcW w:w="6760" w:type="dxa"/>
            <w:vAlign w:val="bottom"/>
          </w:tcPr>
          <w:p>
            <w:pPr>
              <w:ind w:left="160"/>
              <w:spacing w:after="0"/>
              <w:rPr>
                <w:sz w:val="20"/>
                <w:szCs w:val="20"/>
                <w:color w:val="auto"/>
              </w:rPr>
            </w:pPr>
            <w:r>
              <w:rPr>
                <w:rFonts w:ascii="Arial" w:cs="Arial" w:eastAsia="Arial" w:hAnsi="Arial"/>
                <w:sz w:val="13"/>
                <w:szCs w:val="13"/>
                <w:color w:val="auto"/>
              </w:rPr>
              <w:t>Parties to Assist In Prosecution</w:t>
            </w:r>
          </w:p>
        </w:tc>
        <w:tc>
          <w:tcPr>
            <w:tcW w:w="35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rPr>
              <w:t>6.</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REGISTRATION</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6.1</w:t>
            </w:r>
          </w:p>
        </w:tc>
        <w:tc>
          <w:tcPr>
            <w:tcW w:w="6760" w:type="dxa"/>
            <w:vAlign w:val="bottom"/>
          </w:tcPr>
          <w:p>
            <w:pPr>
              <w:ind w:left="160"/>
              <w:spacing w:after="0"/>
              <w:rPr>
                <w:sz w:val="20"/>
                <w:szCs w:val="20"/>
                <w:color w:val="auto"/>
              </w:rPr>
            </w:pPr>
            <w:r>
              <w:rPr>
                <w:rFonts w:ascii="Arial" w:cs="Arial" w:eastAsia="Arial" w:hAnsi="Arial"/>
                <w:sz w:val="13"/>
                <w:szCs w:val="13"/>
                <w:color w:val="auto"/>
              </w:rPr>
              <w:t>Registration of Licensee</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6.2</w:t>
            </w:r>
          </w:p>
        </w:tc>
        <w:tc>
          <w:tcPr>
            <w:tcW w:w="6760" w:type="dxa"/>
            <w:vAlign w:val="bottom"/>
          </w:tcPr>
          <w:p>
            <w:pPr>
              <w:ind w:left="160"/>
              <w:spacing w:after="0"/>
              <w:rPr>
                <w:sz w:val="20"/>
                <w:szCs w:val="20"/>
                <w:color w:val="auto"/>
              </w:rPr>
            </w:pPr>
            <w:r>
              <w:rPr>
                <w:rFonts w:ascii="Arial" w:cs="Arial" w:eastAsia="Arial" w:hAnsi="Arial"/>
                <w:sz w:val="13"/>
                <w:szCs w:val="13"/>
                <w:color w:val="auto"/>
              </w:rPr>
              <w:t>Cost of Registration</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rPr>
              <w:t>7.</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CONSULTATION AND CO-OPERATION</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7.1</w:t>
            </w:r>
          </w:p>
        </w:tc>
        <w:tc>
          <w:tcPr>
            <w:tcW w:w="6760" w:type="dxa"/>
            <w:vAlign w:val="bottom"/>
          </w:tcPr>
          <w:p>
            <w:pPr>
              <w:ind w:left="160"/>
              <w:spacing w:after="0"/>
              <w:rPr>
                <w:sz w:val="20"/>
                <w:szCs w:val="20"/>
                <w:color w:val="auto"/>
              </w:rPr>
            </w:pPr>
            <w:r>
              <w:rPr>
                <w:rFonts w:ascii="Arial" w:cs="Arial" w:eastAsia="Arial" w:hAnsi="Arial"/>
                <w:sz w:val="13"/>
                <w:szCs w:val="13"/>
                <w:color w:val="auto"/>
              </w:rPr>
              <w:t>Project consultation</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7.2</w:t>
            </w:r>
          </w:p>
        </w:tc>
        <w:tc>
          <w:tcPr>
            <w:tcW w:w="6760" w:type="dxa"/>
            <w:vAlign w:val="bottom"/>
          </w:tcPr>
          <w:p>
            <w:pPr>
              <w:ind w:left="160"/>
              <w:spacing w:after="0"/>
              <w:rPr>
                <w:sz w:val="20"/>
                <w:szCs w:val="20"/>
                <w:color w:val="auto"/>
              </w:rPr>
            </w:pPr>
            <w:r>
              <w:rPr>
                <w:rFonts w:ascii="Arial" w:cs="Arial" w:eastAsia="Arial" w:hAnsi="Arial"/>
                <w:sz w:val="13"/>
                <w:szCs w:val="13"/>
                <w:color w:val="auto"/>
              </w:rPr>
              <w:t>Co-operation generally</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rPr>
              <w:t>8.</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ADDITIONAL LICENCES</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8.1</w:t>
            </w:r>
          </w:p>
        </w:tc>
        <w:tc>
          <w:tcPr>
            <w:tcW w:w="6760" w:type="dxa"/>
            <w:vAlign w:val="bottom"/>
          </w:tcPr>
          <w:p>
            <w:pPr>
              <w:ind w:left="160"/>
              <w:spacing w:after="0"/>
              <w:rPr>
                <w:sz w:val="20"/>
                <w:szCs w:val="20"/>
                <w:color w:val="auto"/>
              </w:rPr>
            </w:pPr>
            <w:r>
              <w:rPr>
                <w:rFonts w:ascii="Arial" w:cs="Arial" w:eastAsia="Arial" w:hAnsi="Arial"/>
                <w:sz w:val="13"/>
                <w:szCs w:val="13"/>
                <w:color w:val="auto"/>
              </w:rPr>
              <w:t>Licensee’s Enhancements Property of Licensee</w:t>
            </w:r>
          </w:p>
        </w:tc>
        <w:tc>
          <w:tcPr>
            <w:tcW w:w="3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8.2</w:t>
            </w:r>
          </w:p>
        </w:tc>
        <w:tc>
          <w:tcPr>
            <w:tcW w:w="6760" w:type="dxa"/>
            <w:vAlign w:val="bottom"/>
          </w:tcPr>
          <w:p>
            <w:pPr>
              <w:ind w:left="160"/>
              <w:spacing w:after="0"/>
              <w:rPr>
                <w:sz w:val="20"/>
                <w:szCs w:val="20"/>
                <w:color w:val="auto"/>
              </w:rPr>
            </w:pPr>
            <w:r>
              <w:rPr>
                <w:rFonts w:ascii="Arial" w:cs="Arial" w:eastAsia="Arial" w:hAnsi="Arial"/>
                <w:sz w:val="13"/>
                <w:szCs w:val="13"/>
                <w:color w:val="auto"/>
              </w:rPr>
              <w:t>Non- Exclusive Licenses to Licensor</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8.3</w:t>
            </w:r>
          </w:p>
        </w:tc>
        <w:tc>
          <w:tcPr>
            <w:tcW w:w="6760" w:type="dxa"/>
            <w:vAlign w:val="bottom"/>
          </w:tcPr>
          <w:p>
            <w:pPr>
              <w:ind w:left="160"/>
              <w:spacing w:after="0"/>
              <w:rPr>
                <w:sz w:val="20"/>
                <w:szCs w:val="20"/>
                <w:color w:val="auto"/>
              </w:rPr>
            </w:pPr>
            <w:r>
              <w:rPr>
                <w:rFonts w:ascii="Arial" w:cs="Arial" w:eastAsia="Arial" w:hAnsi="Arial"/>
                <w:sz w:val="13"/>
                <w:szCs w:val="13"/>
                <w:color w:val="auto"/>
              </w:rPr>
              <w:t>Revenues from third parties</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rPr>
              <w:t>9.</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STANDARDS OF MANUFACTURE AND LABELLING</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9.1</w:t>
            </w:r>
          </w:p>
        </w:tc>
        <w:tc>
          <w:tcPr>
            <w:tcW w:w="6760" w:type="dxa"/>
            <w:vAlign w:val="bottom"/>
          </w:tcPr>
          <w:p>
            <w:pPr>
              <w:ind w:left="160"/>
              <w:spacing w:after="0"/>
              <w:rPr>
                <w:sz w:val="20"/>
                <w:szCs w:val="20"/>
                <w:color w:val="auto"/>
              </w:rPr>
            </w:pPr>
            <w:r>
              <w:rPr>
                <w:rFonts w:ascii="Arial" w:cs="Arial" w:eastAsia="Arial" w:hAnsi="Arial"/>
                <w:sz w:val="13"/>
                <w:szCs w:val="13"/>
                <w:color w:val="auto"/>
              </w:rPr>
              <w:t>Compliance with Standards</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9.2</w:t>
            </w:r>
          </w:p>
        </w:tc>
        <w:tc>
          <w:tcPr>
            <w:tcW w:w="6760" w:type="dxa"/>
            <w:vAlign w:val="bottom"/>
          </w:tcPr>
          <w:p>
            <w:pPr>
              <w:ind w:left="160"/>
              <w:spacing w:after="0"/>
              <w:rPr>
                <w:sz w:val="20"/>
                <w:szCs w:val="20"/>
                <w:color w:val="auto"/>
              </w:rPr>
            </w:pPr>
            <w:r>
              <w:rPr>
                <w:rFonts w:ascii="Arial" w:cs="Arial" w:eastAsia="Arial" w:hAnsi="Arial"/>
                <w:sz w:val="13"/>
                <w:szCs w:val="13"/>
                <w:color w:val="auto"/>
              </w:rPr>
              <w:t>Indemnity</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9.3</w:t>
            </w:r>
          </w:p>
        </w:tc>
        <w:tc>
          <w:tcPr>
            <w:tcW w:w="6760" w:type="dxa"/>
            <w:vAlign w:val="bottom"/>
          </w:tcPr>
          <w:p>
            <w:pPr>
              <w:ind w:left="160"/>
              <w:spacing w:after="0"/>
              <w:rPr>
                <w:sz w:val="20"/>
                <w:szCs w:val="20"/>
                <w:color w:val="auto"/>
              </w:rPr>
            </w:pPr>
            <w:r>
              <w:rPr>
                <w:rFonts w:ascii="Arial" w:cs="Arial" w:eastAsia="Arial" w:hAnsi="Arial"/>
                <w:sz w:val="13"/>
                <w:szCs w:val="13"/>
                <w:color w:val="auto"/>
              </w:rPr>
              <w:t>Insurance</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10.</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SECRECY OBLIGATIONS</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10.1</w:t>
            </w:r>
          </w:p>
        </w:tc>
        <w:tc>
          <w:tcPr>
            <w:tcW w:w="676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35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10.2</w:t>
            </w:r>
          </w:p>
        </w:tc>
        <w:tc>
          <w:tcPr>
            <w:tcW w:w="6760" w:type="dxa"/>
            <w:vAlign w:val="bottom"/>
          </w:tcPr>
          <w:p>
            <w:pPr>
              <w:ind w:left="160"/>
              <w:spacing w:after="0"/>
              <w:rPr>
                <w:sz w:val="20"/>
                <w:szCs w:val="20"/>
                <w:color w:val="auto"/>
              </w:rPr>
            </w:pPr>
            <w:r>
              <w:rPr>
                <w:rFonts w:ascii="Arial" w:cs="Arial" w:eastAsia="Arial" w:hAnsi="Arial"/>
                <w:sz w:val="13"/>
                <w:szCs w:val="13"/>
                <w:color w:val="auto"/>
              </w:rPr>
              <w:t>Exceptions</w:t>
            </w:r>
          </w:p>
        </w:tc>
        <w:tc>
          <w:tcPr>
            <w:tcW w:w="35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11.</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LICENSOR’S WARRANTIES</w:t>
            </w:r>
          </w:p>
        </w:tc>
        <w:tc>
          <w:tcPr>
            <w:tcW w:w="35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11.1</w:t>
            </w:r>
          </w:p>
        </w:tc>
        <w:tc>
          <w:tcPr>
            <w:tcW w:w="6760" w:type="dxa"/>
            <w:vAlign w:val="bottom"/>
          </w:tcPr>
          <w:p>
            <w:pPr>
              <w:ind w:left="160"/>
              <w:spacing w:after="0"/>
              <w:rPr>
                <w:sz w:val="20"/>
                <w:szCs w:val="20"/>
                <w:color w:val="auto"/>
              </w:rPr>
            </w:pPr>
            <w:r>
              <w:rPr>
                <w:rFonts w:ascii="Arial" w:cs="Arial" w:eastAsia="Arial" w:hAnsi="Arial"/>
                <w:sz w:val="13"/>
                <w:szCs w:val="13"/>
                <w:color w:val="auto"/>
              </w:rPr>
              <w:t>Warranties</w:t>
            </w:r>
          </w:p>
        </w:tc>
        <w:tc>
          <w:tcPr>
            <w:tcW w:w="35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11.2</w:t>
            </w:r>
          </w:p>
        </w:tc>
        <w:tc>
          <w:tcPr>
            <w:tcW w:w="6760" w:type="dxa"/>
            <w:vAlign w:val="bottom"/>
          </w:tcPr>
          <w:p>
            <w:pPr>
              <w:ind w:left="160"/>
              <w:spacing w:after="0"/>
              <w:rPr>
                <w:sz w:val="20"/>
                <w:szCs w:val="20"/>
                <w:color w:val="auto"/>
              </w:rPr>
            </w:pPr>
            <w:r>
              <w:rPr>
                <w:rFonts w:ascii="Arial" w:cs="Arial" w:eastAsia="Arial" w:hAnsi="Arial"/>
                <w:sz w:val="13"/>
                <w:szCs w:val="13"/>
                <w:color w:val="auto"/>
              </w:rPr>
              <w:t>Indemnity</w:t>
            </w:r>
          </w:p>
        </w:tc>
        <w:tc>
          <w:tcPr>
            <w:tcW w:w="35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12.</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FAILURE TO GRANT OR SUBSEQUENT REVOCATION OF PATENT</w:t>
            </w:r>
          </w:p>
        </w:tc>
        <w:tc>
          <w:tcPr>
            <w:tcW w:w="35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12.1</w:t>
            </w:r>
          </w:p>
        </w:tc>
        <w:tc>
          <w:tcPr>
            <w:tcW w:w="6760" w:type="dxa"/>
            <w:vAlign w:val="bottom"/>
          </w:tcPr>
          <w:p>
            <w:pPr>
              <w:ind w:left="160"/>
              <w:spacing w:after="0"/>
              <w:rPr>
                <w:sz w:val="20"/>
                <w:szCs w:val="20"/>
                <w:color w:val="auto"/>
              </w:rPr>
            </w:pPr>
            <w:r>
              <w:rPr>
                <w:rFonts w:ascii="Arial" w:cs="Arial" w:eastAsia="Arial" w:hAnsi="Arial"/>
                <w:sz w:val="13"/>
                <w:szCs w:val="13"/>
                <w:color w:val="auto"/>
              </w:rPr>
              <w:t>Royalties to be Reduced</w:t>
            </w:r>
          </w:p>
        </w:tc>
        <w:tc>
          <w:tcPr>
            <w:tcW w:w="35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12.2</w:t>
            </w:r>
          </w:p>
        </w:tc>
        <w:tc>
          <w:tcPr>
            <w:tcW w:w="6760" w:type="dxa"/>
            <w:vAlign w:val="bottom"/>
          </w:tcPr>
          <w:p>
            <w:pPr>
              <w:ind w:left="160"/>
              <w:spacing w:after="0"/>
              <w:rPr>
                <w:sz w:val="20"/>
                <w:szCs w:val="20"/>
                <w:color w:val="auto"/>
              </w:rPr>
            </w:pPr>
            <w:r>
              <w:rPr>
                <w:rFonts w:ascii="Arial" w:cs="Arial" w:eastAsia="Arial" w:hAnsi="Arial"/>
                <w:sz w:val="13"/>
                <w:szCs w:val="13"/>
                <w:color w:val="auto"/>
              </w:rPr>
              <w:t>Reduction of Royalty Guarantee</w:t>
            </w:r>
          </w:p>
        </w:tc>
        <w:tc>
          <w:tcPr>
            <w:tcW w:w="35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13.</w:t>
            </w:r>
          </w:p>
        </w:tc>
        <w:tc>
          <w:tcPr>
            <w:tcW w:w="7400" w:type="dxa"/>
            <w:vAlign w:val="bottom"/>
            <w:gridSpan w:val="2"/>
          </w:tcPr>
          <w:p>
            <w:pPr>
              <w:ind w:left="220"/>
              <w:spacing w:after="0"/>
              <w:rPr>
                <w:sz w:val="20"/>
                <w:szCs w:val="20"/>
                <w:color w:val="auto"/>
              </w:rPr>
            </w:pPr>
            <w:r>
              <w:rPr>
                <w:rFonts w:ascii="Arial" w:cs="Arial" w:eastAsia="Arial" w:hAnsi="Arial"/>
                <w:sz w:val="13"/>
                <w:szCs w:val="13"/>
                <w:color w:val="auto"/>
              </w:rPr>
              <w:t>PATENT INFRINGEMENT</w:t>
            </w:r>
          </w:p>
        </w:tc>
        <w:tc>
          <w:tcPr>
            <w:tcW w:w="35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13.1</w:t>
            </w:r>
          </w:p>
        </w:tc>
        <w:tc>
          <w:tcPr>
            <w:tcW w:w="6760" w:type="dxa"/>
            <w:vAlign w:val="bottom"/>
          </w:tcPr>
          <w:p>
            <w:pPr>
              <w:ind w:left="160"/>
              <w:spacing w:after="0"/>
              <w:rPr>
                <w:sz w:val="20"/>
                <w:szCs w:val="20"/>
                <w:color w:val="auto"/>
              </w:rPr>
            </w:pPr>
            <w:r>
              <w:rPr>
                <w:rFonts w:ascii="Arial" w:cs="Arial" w:eastAsia="Arial" w:hAnsi="Arial"/>
                <w:sz w:val="13"/>
                <w:szCs w:val="13"/>
                <w:color w:val="auto"/>
              </w:rPr>
              <w:t>Licensee to take Infringement Action</w:t>
            </w:r>
          </w:p>
        </w:tc>
        <w:tc>
          <w:tcPr>
            <w:tcW w:w="35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5"/>
        </w:trPr>
        <w:tc>
          <w:tcPr>
            <w:tcW w:w="3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13.2</w:t>
            </w:r>
          </w:p>
        </w:tc>
        <w:tc>
          <w:tcPr>
            <w:tcW w:w="6760" w:type="dxa"/>
            <w:vAlign w:val="bottom"/>
          </w:tcPr>
          <w:p>
            <w:pPr>
              <w:ind w:left="160"/>
              <w:spacing w:after="0"/>
              <w:rPr>
                <w:sz w:val="20"/>
                <w:szCs w:val="20"/>
                <w:color w:val="auto"/>
              </w:rPr>
            </w:pPr>
            <w:r>
              <w:rPr>
                <w:rFonts w:ascii="Arial" w:cs="Arial" w:eastAsia="Arial" w:hAnsi="Arial"/>
                <w:sz w:val="13"/>
                <w:szCs w:val="13"/>
                <w:color w:val="auto"/>
              </w:rPr>
              <w:t>Licensee to Notify Licensor</w:t>
            </w:r>
          </w:p>
        </w:tc>
        <w:tc>
          <w:tcPr>
            <w:tcW w:w="3560" w:type="dxa"/>
            <w:vAlign w:val="bottom"/>
          </w:tcPr>
          <w:p>
            <w:pPr>
              <w:jc w:val="right"/>
              <w:spacing w:after="0"/>
              <w:rPr>
                <w:sz w:val="20"/>
                <w:szCs w:val="20"/>
                <w:color w:val="auto"/>
              </w:rPr>
            </w:pPr>
            <w:r>
              <w:rPr>
                <w:rFonts w:ascii="Arial" w:cs="Arial" w:eastAsia="Arial" w:hAnsi="Arial"/>
                <w:sz w:val="13"/>
                <w:szCs w:val="13"/>
                <w:color w:val="auto"/>
              </w:rPr>
              <w:t>16</w:t>
            </w:r>
          </w:p>
        </w:tc>
      </w:tr>
    </w:tbl>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16"/>
        </w:trPr>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438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13.3</w:t>
            </w:r>
          </w:p>
        </w:tc>
        <w:tc>
          <w:tcPr>
            <w:tcW w:w="5940" w:type="dxa"/>
            <w:vAlign w:val="bottom"/>
          </w:tcPr>
          <w:p>
            <w:pPr>
              <w:ind w:left="160"/>
              <w:spacing w:after="0"/>
              <w:rPr>
                <w:sz w:val="20"/>
                <w:szCs w:val="20"/>
                <w:color w:val="auto"/>
              </w:rPr>
            </w:pPr>
            <w:r>
              <w:rPr>
                <w:rFonts w:ascii="Arial" w:cs="Arial" w:eastAsia="Arial" w:hAnsi="Arial"/>
                <w:sz w:val="13"/>
                <w:szCs w:val="13"/>
                <w:color w:val="auto"/>
              </w:rPr>
              <w:t>Licensor to Assist Licensee</w:t>
            </w:r>
          </w:p>
        </w:tc>
        <w:tc>
          <w:tcPr>
            <w:tcW w:w="43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13.4</w:t>
            </w:r>
          </w:p>
        </w:tc>
        <w:tc>
          <w:tcPr>
            <w:tcW w:w="5940" w:type="dxa"/>
            <w:vAlign w:val="bottom"/>
          </w:tcPr>
          <w:p>
            <w:pPr>
              <w:ind w:left="160"/>
              <w:spacing w:after="0"/>
              <w:rPr>
                <w:sz w:val="20"/>
                <w:szCs w:val="20"/>
                <w:color w:val="auto"/>
              </w:rPr>
            </w:pPr>
            <w:r>
              <w:rPr>
                <w:rFonts w:ascii="Arial" w:cs="Arial" w:eastAsia="Arial" w:hAnsi="Arial"/>
                <w:sz w:val="13"/>
                <w:szCs w:val="13"/>
                <w:color w:val="auto"/>
              </w:rPr>
              <w:t>Licensee to Indemnify Licensor</w:t>
            </w:r>
          </w:p>
        </w:tc>
        <w:tc>
          <w:tcPr>
            <w:tcW w:w="43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13.5</w:t>
            </w:r>
          </w:p>
        </w:tc>
        <w:tc>
          <w:tcPr>
            <w:tcW w:w="5940" w:type="dxa"/>
            <w:vAlign w:val="bottom"/>
          </w:tcPr>
          <w:p>
            <w:pPr>
              <w:ind w:left="160"/>
              <w:spacing w:after="0"/>
              <w:rPr>
                <w:sz w:val="20"/>
                <w:szCs w:val="20"/>
                <w:color w:val="auto"/>
              </w:rPr>
            </w:pPr>
            <w:r>
              <w:rPr>
                <w:rFonts w:ascii="Arial" w:cs="Arial" w:eastAsia="Arial" w:hAnsi="Arial"/>
                <w:sz w:val="13"/>
                <w:szCs w:val="13"/>
                <w:color w:val="auto"/>
              </w:rPr>
              <w:t>Proceeds</w:t>
            </w:r>
          </w:p>
        </w:tc>
        <w:tc>
          <w:tcPr>
            <w:tcW w:w="43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14.</w:t>
            </w:r>
          </w:p>
        </w:tc>
        <w:tc>
          <w:tcPr>
            <w:tcW w:w="6580" w:type="dxa"/>
            <w:vAlign w:val="bottom"/>
            <w:gridSpan w:val="2"/>
          </w:tcPr>
          <w:p>
            <w:pPr>
              <w:ind w:left="220"/>
              <w:spacing w:after="0"/>
              <w:rPr>
                <w:sz w:val="20"/>
                <w:szCs w:val="20"/>
                <w:color w:val="auto"/>
              </w:rPr>
            </w:pPr>
            <w:r>
              <w:rPr>
                <w:rFonts w:ascii="Arial" w:cs="Arial" w:eastAsia="Arial" w:hAnsi="Arial"/>
                <w:sz w:val="13"/>
                <w:szCs w:val="13"/>
                <w:color w:val="auto"/>
              </w:rPr>
              <w:t>TERMINATION</w:t>
            </w:r>
          </w:p>
        </w:tc>
        <w:tc>
          <w:tcPr>
            <w:tcW w:w="43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14.1</w:t>
            </w:r>
          </w:p>
        </w:tc>
        <w:tc>
          <w:tcPr>
            <w:tcW w:w="5940" w:type="dxa"/>
            <w:vAlign w:val="bottom"/>
          </w:tcPr>
          <w:p>
            <w:pPr>
              <w:ind w:left="160"/>
              <w:spacing w:after="0"/>
              <w:rPr>
                <w:sz w:val="20"/>
                <w:szCs w:val="20"/>
                <w:color w:val="auto"/>
              </w:rPr>
            </w:pPr>
            <w:r>
              <w:rPr>
                <w:rFonts w:ascii="Arial" w:cs="Arial" w:eastAsia="Arial" w:hAnsi="Arial"/>
                <w:sz w:val="13"/>
                <w:szCs w:val="13"/>
                <w:color w:val="auto"/>
              </w:rPr>
              <w:t>Termination by Licensor</w:t>
            </w:r>
          </w:p>
        </w:tc>
        <w:tc>
          <w:tcPr>
            <w:tcW w:w="43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14.2</w:t>
            </w:r>
          </w:p>
        </w:tc>
        <w:tc>
          <w:tcPr>
            <w:tcW w:w="5940" w:type="dxa"/>
            <w:vAlign w:val="bottom"/>
          </w:tcPr>
          <w:p>
            <w:pPr>
              <w:ind w:left="160"/>
              <w:spacing w:after="0"/>
              <w:rPr>
                <w:sz w:val="20"/>
                <w:szCs w:val="20"/>
                <w:color w:val="auto"/>
              </w:rPr>
            </w:pPr>
            <w:r>
              <w:rPr>
                <w:rFonts w:ascii="Arial" w:cs="Arial" w:eastAsia="Arial" w:hAnsi="Arial"/>
                <w:sz w:val="13"/>
                <w:szCs w:val="13"/>
                <w:color w:val="auto"/>
              </w:rPr>
              <w:t>Termination by Licensee</w:t>
            </w:r>
          </w:p>
        </w:tc>
        <w:tc>
          <w:tcPr>
            <w:tcW w:w="43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15.</w:t>
            </w:r>
          </w:p>
        </w:tc>
        <w:tc>
          <w:tcPr>
            <w:tcW w:w="6580" w:type="dxa"/>
            <w:vAlign w:val="bottom"/>
            <w:gridSpan w:val="2"/>
          </w:tcPr>
          <w:p>
            <w:pPr>
              <w:ind w:left="220"/>
              <w:spacing w:after="0"/>
              <w:rPr>
                <w:sz w:val="20"/>
                <w:szCs w:val="20"/>
                <w:color w:val="auto"/>
              </w:rPr>
            </w:pPr>
            <w:r>
              <w:rPr>
                <w:rFonts w:ascii="Arial" w:cs="Arial" w:eastAsia="Arial" w:hAnsi="Arial"/>
                <w:sz w:val="13"/>
                <w:szCs w:val="13"/>
                <w:color w:val="auto"/>
              </w:rPr>
              <w:t>EFFECTS OF TERMINATION</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15.1</w:t>
            </w:r>
          </w:p>
        </w:tc>
        <w:tc>
          <w:tcPr>
            <w:tcW w:w="5940" w:type="dxa"/>
            <w:vAlign w:val="bottom"/>
          </w:tcPr>
          <w:p>
            <w:pPr>
              <w:ind w:left="160"/>
              <w:spacing w:after="0"/>
              <w:rPr>
                <w:sz w:val="20"/>
                <w:szCs w:val="20"/>
                <w:color w:val="auto"/>
              </w:rPr>
            </w:pPr>
            <w:r>
              <w:rPr>
                <w:rFonts w:ascii="Arial" w:cs="Arial" w:eastAsia="Arial" w:hAnsi="Arial"/>
                <w:sz w:val="13"/>
                <w:szCs w:val="13"/>
                <w:color w:val="auto"/>
              </w:rPr>
              <w:t>Effects of Termination</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15.2</w:t>
            </w:r>
          </w:p>
        </w:tc>
        <w:tc>
          <w:tcPr>
            <w:tcW w:w="5940" w:type="dxa"/>
            <w:vAlign w:val="bottom"/>
          </w:tcPr>
          <w:p>
            <w:pPr>
              <w:ind w:left="160"/>
              <w:spacing w:after="0"/>
              <w:rPr>
                <w:sz w:val="20"/>
                <w:szCs w:val="20"/>
                <w:color w:val="auto"/>
              </w:rPr>
            </w:pPr>
            <w:r>
              <w:rPr>
                <w:rFonts w:ascii="Arial" w:cs="Arial" w:eastAsia="Arial" w:hAnsi="Arial"/>
                <w:sz w:val="13"/>
                <w:szCs w:val="13"/>
                <w:color w:val="auto"/>
              </w:rPr>
              <w:t>Accrued Rights</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16.</w:t>
            </w:r>
          </w:p>
        </w:tc>
        <w:tc>
          <w:tcPr>
            <w:tcW w:w="6580" w:type="dxa"/>
            <w:vAlign w:val="bottom"/>
            <w:gridSpan w:val="2"/>
          </w:tcPr>
          <w:p>
            <w:pPr>
              <w:ind w:left="220"/>
              <w:spacing w:after="0"/>
              <w:rPr>
                <w:sz w:val="20"/>
                <w:szCs w:val="20"/>
                <w:color w:val="auto"/>
              </w:rPr>
            </w:pPr>
            <w:r>
              <w:rPr>
                <w:rFonts w:ascii="Arial" w:cs="Arial" w:eastAsia="Arial" w:hAnsi="Arial"/>
                <w:sz w:val="13"/>
                <w:szCs w:val="13"/>
                <w:color w:val="auto"/>
              </w:rPr>
              <w:t>GENERAL</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16.1</w:t>
            </w:r>
          </w:p>
        </w:tc>
        <w:tc>
          <w:tcPr>
            <w:tcW w:w="5940" w:type="dxa"/>
            <w:vAlign w:val="bottom"/>
          </w:tcPr>
          <w:p>
            <w:pPr>
              <w:ind w:left="160"/>
              <w:spacing w:after="0"/>
              <w:rPr>
                <w:sz w:val="20"/>
                <w:szCs w:val="20"/>
                <w:color w:val="auto"/>
              </w:rPr>
            </w:pPr>
            <w:r>
              <w:rPr>
                <w:rFonts w:ascii="Arial" w:cs="Arial" w:eastAsia="Arial" w:hAnsi="Arial"/>
                <w:sz w:val="13"/>
                <w:szCs w:val="13"/>
                <w:color w:val="auto"/>
              </w:rPr>
              <w:t>Waiver</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16.2</w:t>
            </w:r>
          </w:p>
        </w:tc>
        <w:tc>
          <w:tcPr>
            <w:tcW w:w="5940" w:type="dxa"/>
            <w:vAlign w:val="bottom"/>
          </w:tcPr>
          <w:p>
            <w:pPr>
              <w:ind w:left="160"/>
              <w:spacing w:after="0"/>
              <w:rPr>
                <w:sz w:val="20"/>
                <w:szCs w:val="20"/>
                <w:color w:val="auto"/>
              </w:rPr>
            </w:pPr>
            <w:r>
              <w:rPr>
                <w:rFonts w:ascii="Arial" w:cs="Arial" w:eastAsia="Arial" w:hAnsi="Arial"/>
                <w:sz w:val="13"/>
                <w:szCs w:val="13"/>
                <w:color w:val="auto"/>
              </w:rPr>
              <w:t>Entire Agreement</w:t>
            </w:r>
          </w:p>
        </w:tc>
        <w:tc>
          <w:tcPr>
            <w:tcW w:w="43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16.3</w:t>
            </w:r>
          </w:p>
        </w:tc>
        <w:tc>
          <w:tcPr>
            <w:tcW w:w="5940" w:type="dxa"/>
            <w:vAlign w:val="bottom"/>
          </w:tcPr>
          <w:p>
            <w:pPr>
              <w:ind w:left="160"/>
              <w:spacing w:after="0"/>
              <w:rPr>
                <w:sz w:val="20"/>
                <w:szCs w:val="20"/>
                <w:color w:val="auto"/>
              </w:rPr>
            </w:pPr>
            <w:r>
              <w:rPr>
                <w:rFonts w:ascii="Arial" w:cs="Arial" w:eastAsia="Arial" w:hAnsi="Arial"/>
                <w:sz w:val="13"/>
                <w:szCs w:val="13"/>
                <w:color w:val="auto"/>
              </w:rPr>
              <w:t>Assignment</w:t>
            </w:r>
          </w:p>
        </w:tc>
        <w:tc>
          <w:tcPr>
            <w:tcW w:w="43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16.4</w:t>
            </w:r>
          </w:p>
        </w:tc>
        <w:tc>
          <w:tcPr>
            <w:tcW w:w="5940" w:type="dxa"/>
            <w:vAlign w:val="bottom"/>
          </w:tcPr>
          <w:p>
            <w:pPr>
              <w:ind w:left="160"/>
              <w:spacing w:after="0"/>
              <w:rPr>
                <w:sz w:val="20"/>
                <w:szCs w:val="20"/>
                <w:color w:val="auto"/>
              </w:rPr>
            </w:pPr>
            <w:r>
              <w:rPr>
                <w:rFonts w:ascii="Arial" w:cs="Arial" w:eastAsia="Arial" w:hAnsi="Arial"/>
                <w:sz w:val="13"/>
                <w:szCs w:val="13"/>
                <w:color w:val="auto"/>
              </w:rPr>
              <w:t>Applicable Law</w:t>
            </w:r>
          </w:p>
        </w:tc>
        <w:tc>
          <w:tcPr>
            <w:tcW w:w="43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16.5</w:t>
            </w:r>
          </w:p>
        </w:tc>
        <w:tc>
          <w:tcPr>
            <w:tcW w:w="5940" w:type="dxa"/>
            <w:vAlign w:val="bottom"/>
          </w:tcPr>
          <w:p>
            <w:pPr>
              <w:ind w:left="160"/>
              <w:spacing w:after="0"/>
              <w:rPr>
                <w:sz w:val="20"/>
                <w:szCs w:val="20"/>
                <w:color w:val="auto"/>
              </w:rPr>
            </w:pPr>
            <w:r>
              <w:rPr>
                <w:rFonts w:ascii="Arial" w:cs="Arial" w:eastAsia="Arial" w:hAnsi="Arial"/>
                <w:sz w:val="13"/>
                <w:szCs w:val="13"/>
                <w:color w:val="auto"/>
              </w:rPr>
              <w:t>Amendments</w:t>
            </w:r>
          </w:p>
        </w:tc>
        <w:tc>
          <w:tcPr>
            <w:tcW w:w="43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16.6</w:t>
            </w:r>
          </w:p>
        </w:tc>
        <w:tc>
          <w:tcPr>
            <w:tcW w:w="594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43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16.7</w:t>
            </w:r>
          </w:p>
        </w:tc>
        <w:tc>
          <w:tcPr>
            <w:tcW w:w="5940" w:type="dxa"/>
            <w:vAlign w:val="bottom"/>
          </w:tcPr>
          <w:p>
            <w:pPr>
              <w:ind w:left="160"/>
              <w:spacing w:after="0"/>
              <w:rPr>
                <w:sz w:val="20"/>
                <w:szCs w:val="20"/>
                <w:color w:val="auto"/>
              </w:rPr>
            </w:pPr>
            <w:r>
              <w:rPr>
                <w:rFonts w:ascii="Arial" w:cs="Arial" w:eastAsia="Arial" w:hAnsi="Arial"/>
                <w:sz w:val="13"/>
                <w:szCs w:val="13"/>
                <w:color w:val="auto"/>
              </w:rPr>
              <w:t>Notices</w:t>
            </w:r>
          </w:p>
        </w:tc>
        <w:tc>
          <w:tcPr>
            <w:tcW w:w="43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38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16.8</w:t>
            </w:r>
          </w:p>
        </w:tc>
        <w:tc>
          <w:tcPr>
            <w:tcW w:w="5940" w:type="dxa"/>
            <w:vAlign w:val="bottom"/>
          </w:tcPr>
          <w:p>
            <w:pPr>
              <w:ind w:left="160"/>
              <w:spacing w:after="0"/>
              <w:rPr>
                <w:sz w:val="20"/>
                <w:szCs w:val="20"/>
                <w:color w:val="auto"/>
              </w:rPr>
            </w:pPr>
            <w:r>
              <w:rPr>
                <w:rFonts w:ascii="Arial" w:cs="Arial" w:eastAsia="Arial" w:hAnsi="Arial"/>
                <w:sz w:val="13"/>
                <w:szCs w:val="13"/>
                <w:color w:val="auto"/>
              </w:rPr>
              <w:t>Further Agreements</w:t>
            </w:r>
          </w:p>
        </w:tc>
        <w:tc>
          <w:tcPr>
            <w:tcW w:w="43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5"/>
        </w:trPr>
        <w:tc>
          <w:tcPr>
            <w:tcW w:w="3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16.9</w:t>
            </w:r>
          </w:p>
        </w:tc>
        <w:tc>
          <w:tcPr>
            <w:tcW w:w="5940" w:type="dxa"/>
            <w:vAlign w:val="bottom"/>
          </w:tcPr>
          <w:p>
            <w:pPr>
              <w:ind w:left="160"/>
              <w:spacing w:after="0"/>
              <w:rPr>
                <w:sz w:val="20"/>
                <w:szCs w:val="20"/>
                <w:color w:val="auto"/>
              </w:rPr>
            </w:pPr>
            <w:r>
              <w:rPr>
                <w:rFonts w:ascii="Arial" w:cs="Arial" w:eastAsia="Arial" w:hAnsi="Arial"/>
                <w:sz w:val="13"/>
                <w:szCs w:val="13"/>
                <w:color w:val="auto"/>
              </w:rPr>
              <w:t>Changes</w:t>
            </w:r>
          </w:p>
        </w:tc>
        <w:tc>
          <w:tcPr>
            <w:tcW w:w="4380" w:type="dxa"/>
            <w:vAlign w:val="bottom"/>
          </w:tcPr>
          <w:p>
            <w:pPr>
              <w:jc w:val="right"/>
              <w:spacing w:after="0"/>
              <w:rPr>
                <w:sz w:val="20"/>
                <w:szCs w:val="20"/>
                <w:color w:val="auto"/>
              </w:rPr>
            </w:pPr>
            <w:r>
              <w:rPr>
                <w:rFonts w:ascii="Arial" w:cs="Arial" w:eastAsia="Arial" w:hAnsi="Arial"/>
                <w:sz w:val="13"/>
                <w:szCs w:val="13"/>
                <w:color w:val="auto"/>
              </w:rPr>
              <w:t>20</w:t>
            </w:r>
          </w:p>
        </w:tc>
      </w:tr>
    </w:tbl>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320" w:top="870" w:right="239" w:bottom="1440" w:gutter="0" w:footer="0" w:header="0"/>
        </w:sectPr>
      </w:pPr>
    </w:p>
    <w:bookmarkStart w:id="123" w:name="page124"/>
    <w:bookmarkEnd w:id="123"/>
    <w:p>
      <w:pPr>
        <w:ind w:left="1"/>
        <w:spacing w:after="0"/>
        <w:rPr>
          <w:sz w:val="20"/>
          <w:szCs w:val="20"/>
          <w:color w:val="auto"/>
        </w:rPr>
      </w:pPr>
      <w:r>
        <w:rPr>
          <w:rFonts w:ascii="Arial" w:cs="Arial" w:eastAsia="Arial" w:hAnsi="Arial"/>
          <w:sz w:val="11"/>
          <w:szCs w:val="11"/>
          <w:color w:val="auto"/>
        </w:rPr>
        <w:t>THIS AGREEMENT is made on the 31st day of January 2006.</w:t>
      </w:r>
    </w:p>
    <w:p>
      <w:pPr>
        <w:sectPr>
          <w:pgSz w:w="11900" w:h="16838" w:orient="portrait"/>
          <w:cols w:equalWidth="0" w:num="1">
            <w:col w:w="11401"/>
          </w:cols>
          <w:pgMar w:left="219" w:top="720" w:right="279" w:bottom="1440" w:gutter="0" w:footer="0" w:header="0"/>
        </w:sectPr>
      </w:pPr>
    </w:p>
    <w:p>
      <w:pPr>
        <w:spacing w:after="0" w:line="188" w:lineRule="exact"/>
        <w:rPr>
          <w:sz w:val="20"/>
          <w:szCs w:val="20"/>
          <w:color w:val="auto"/>
        </w:rPr>
      </w:pPr>
    </w:p>
    <w:p>
      <w:pPr>
        <w:ind w:left="1"/>
        <w:spacing w:after="0"/>
        <w:rPr>
          <w:sz w:val="20"/>
          <w:szCs w:val="20"/>
          <w:color w:val="auto"/>
        </w:rPr>
      </w:pPr>
      <w:r>
        <w:rPr>
          <w:rFonts w:ascii="Arial" w:cs="Arial" w:eastAsia="Arial" w:hAnsi="Arial"/>
          <w:sz w:val="12"/>
          <w:szCs w:val="12"/>
          <w:color w:val="auto"/>
        </w:rPr>
        <w:t>BETWEEN: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UNIVERSITY OF EDINBURGH operating through its INSTITUTE FOR STEM CELL RESEARCH (formerly the CENTRE FOR GENOME RESEARCH), of The Roger Land Building, King’s Building’s, West Mains Road, Edinburgh EH9 3JQ, United Kingdom (the “Licensor”) of the first part</w:t>
      </w:r>
    </w:p>
    <w:p>
      <w:pPr>
        <w:spacing w:after="0" w:line="126" w:lineRule="exact"/>
        <w:rPr>
          <w:sz w:val="20"/>
          <w:szCs w:val="20"/>
          <w:color w:val="auto"/>
        </w:rPr>
      </w:pPr>
    </w:p>
    <w:p>
      <w:pPr>
        <w:sectPr>
          <w:pgSz w:w="11900" w:h="16838" w:orient="portrait"/>
          <w:cols w:equalWidth="0" w:num="2">
            <w:col w:w="1001" w:space="720"/>
            <w:col w:w="9680"/>
          </w:cols>
          <w:pgMar w:left="219" w:top="720" w:right="279" w:bottom="1440" w:gutter="0" w:footer="0" w:header="0"/>
          <w:type w:val="continuous"/>
        </w:sectPr>
      </w:pPr>
    </w:p>
    <w:p>
      <w:pPr>
        <w:spacing w:after="0" w:line="2" w:lineRule="exact"/>
        <w:rPr>
          <w:sz w:val="20"/>
          <w:szCs w:val="20"/>
          <w:color w:val="auto"/>
        </w:rPr>
      </w:pPr>
    </w:p>
    <w:p>
      <w:pPr>
        <w:ind w:left="1"/>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ind w:right="260"/>
        <w:spacing w:after="0" w:line="280" w:lineRule="auto"/>
        <w:rPr>
          <w:sz w:val="20"/>
          <w:szCs w:val="20"/>
          <w:color w:val="auto"/>
        </w:rPr>
      </w:pPr>
      <w:r>
        <w:rPr>
          <w:rFonts w:ascii="Arial" w:cs="Arial" w:eastAsia="Arial" w:hAnsi="Arial"/>
          <w:sz w:val="13"/>
          <w:szCs w:val="13"/>
          <w:color w:val="auto"/>
        </w:rPr>
        <w:t>STEM CELL SCIENCES LIMITED (formerly known as STEM CELL SCIENCES PTY LTD) ACN 063 293 130 of 1</w:t>
      </w:r>
      <w:r>
        <w:rPr>
          <w:rFonts w:ascii="Arial" w:cs="Arial" w:eastAsia="Arial" w:hAnsi="Arial"/>
          <w:sz w:val="11"/>
          <w:szCs w:val="11"/>
          <w:color w:val="auto"/>
        </w:rPr>
        <w:t>st</w:t>
      </w:r>
      <w:r>
        <w:rPr>
          <w:rFonts w:ascii="Arial" w:cs="Arial" w:eastAsia="Arial" w:hAnsi="Arial"/>
          <w:sz w:val="13"/>
          <w:szCs w:val="13"/>
          <w:color w:val="auto"/>
        </w:rPr>
        <w:t xml:space="preserve"> Floor, 28 Riddell Parade, Elsternwick, 3185, Australia (the “Licensee”) of the second part.</w:t>
      </w:r>
    </w:p>
    <w:p>
      <w:pPr>
        <w:spacing w:after="0" w:line="42" w:lineRule="exact"/>
        <w:rPr>
          <w:sz w:val="20"/>
          <w:szCs w:val="20"/>
          <w:color w:val="auto"/>
        </w:rPr>
      </w:pPr>
    </w:p>
    <w:p>
      <w:pPr>
        <w:sectPr>
          <w:pgSz w:w="11900" w:h="16838" w:orient="portrait"/>
          <w:cols w:equalWidth="0" w:num="2">
            <w:col w:w="1001" w:space="720"/>
            <w:col w:w="9680"/>
          </w:cols>
          <w:pgMar w:left="219" w:top="720" w:right="279" w:bottom="1440" w:gutter="0" w:footer="0" w:header="0"/>
          <w:type w:val="continuous"/>
        </w:sectPr>
      </w:pPr>
    </w:p>
    <w:p>
      <w:pPr>
        <w:ind w:left="1"/>
        <w:spacing w:after="0"/>
        <w:rPr>
          <w:sz w:val="20"/>
          <w:szCs w:val="20"/>
          <w:color w:val="auto"/>
        </w:rPr>
      </w:pPr>
      <w:r>
        <w:rPr>
          <w:rFonts w:ascii="Arial" w:cs="Arial" w:eastAsia="Arial" w:hAnsi="Arial"/>
          <w:sz w:val="13"/>
          <w:szCs w:val="13"/>
          <w:b w:val="1"/>
          <w:bCs w:val="1"/>
          <w:u w:val="single" w:color="auto"/>
          <w:color w:val="auto"/>
        </w:rPr>
        <w:t>BACKGROUND</w:t>
      </w:r>
    </w:p>
    <w:p>
      <w:pPr>
        <w:spacing w:after="0" w:line="90" w:lineRule="exact"/>
        <w:rPr>
          <w:sz w:val="20"/>
          <w:szCs w:val="20"/>
          <w:color w:val="auto"/>
        </w:rPr>
      </w:pPr>
    </w:p>
    <w:p>
      <w:pPr>
        <w:ind w:left="301" w:hanging="301"/>
        <w:spacing w:after="0"/>
        <w:tabs>
          <w:tab w:leader="none" w:pos="301"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Under the Option Agreement, the Licensor granted to Dr. Peter Scott Mountford an option for a licence under the Original Patent Applications.</w:t>
      </w:r>
    </w:p>
    <w:p>
      <w:pPr>
        <w:spacing w:after="0" w:line="96" w:lineRule="exact"/>
        <w:rPr>
          <w:rFonts w:ascii="Arial" w:cs="Arial" w:eastAsia="Arial" w:hAnsi="Arial"/>
          <w:sz w:val="13"/>
          <w:szCs w:val="13"/>
          <w:color w:val="auto"/>
        </w:rPr>
      </w:pPr>
    </w:p>
    <w:p>
      <w:pPr>
        <w:ind w:left="301" w:hanging="301"/>
        <w:spacing w:after="0"/>
        <w:tabs>
          <w:tab w:leader="none" w:pos="301" w:val="left"/>
        </w:tabs>
        <w:numPr>
          <w:ilvl w:val="0"/>
          <w:numId w:val="65"/>
        </w:numPr>
        <w:rPr>
          <w:rFonts w:ascii="Arial" w:cs="Arial" w:eastAsia="Arial" w:hAnsi="Arial"/>
          <w:sz w:val="13"/>
          <w:szCs w:val="13"/>
          <w:color w:val="auto"/>
        </w:rPr>
      </w:pPr>
      <w:r>
        <w:rPr>
          <w:rFonts w:ascii="Arial" w:cs="Arial" w:eastAsia="Arial" w:hAnsi="Arial"/>
          <w:sz w:val="13"/>
          <w:szCs w:val="13"/>
          <w:color w:val="auto"/>
        </w:rPr>
        <w:t>Dr. Peter Scott Mountford, with the consent of the Licensor, assigned his rights and benefits under the Option Agreement to the Licensee in accordance with the terms of the Option Agreement.</w:t>
      </w:r>
    </w:p>
    <w:p>
      <w:pPr>
        <w:spacing w:after="0" w:line="96" w:lineRule="exact"/>
        <w:rPr>
          <w:rFonts w:ascii="Arial" w:cs="Arial" w:eastAsia="Arial" w:hAnsi="Arial"/>
          <w:sz w:val="13"/>
          <w:szCs w:val="13"/>
          <w:color w:val="auto"/>
        </w:rPr>
      </w:pPr>
    </w:p>
    <w:p>
      <w:pPr>
        <w:ind w:left="301" w:hanging="301"/>
        <w:spacing w:after="0"/>
        <w:tabs>
          <w:tab w:leader="none" w:pos="301"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Licensee then validly exercised the option granted pursuant to the Option Agreement and assigned to it and accordingly, on 31 March 1994, the Licensor and the Licensee entered into the 1994 Agreement.</w:t>
      </w:r>
    </w:p>
    <w:p>
      <w:pPr>
        <w:spacing w:after="0" w:line="119" w:lineRule="exact"/>
        <w:rPr>
          <w:rFonts w:ascii="Arial" w:cs="Arial" w:eastAsia="Arial" w:hAnsi="Arial"/>
          <w:sz w:val="11"/>
          <w:szCs w:val="11"/>
          <w:color w:val="auto"/>
        </w:rPr>
      </w:pPr>
    </w:p>
    <w:p>
      <w:pPr>
        <w:ind w:left="301" w:right="140" w:hanging="301"/>
        <w:spacing w:after="0" w:line="264" w:lineRule="auto"/>
        <w:tabs>
          <w:tab w:leader="none" w:pos="301"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Licensor and the Licensee have agreed to vary the terms of the 1994 Agreement in certain respects, including by the grant of a licence to use certain additional rights to the License. Accordingly, the parties have agreed to vary the terms of the 1994 Agreement in accordance with this Agreement, it being the intent of the parties that this Agreement will be effective to replace the terms of the 1994 Agreement with effect from the Agreed Date, as identified above.</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NOW THE PARTIES AGREE AS follows:</w:t>
      </w:r>
    </w:p>
    <w:p>
      <w:pPr>
        <w:spacing w:after="0" w:line="82" w:lineRule="exact"/>
        <w:rPr>
          <w:sz w:val="20"/>
          <w:szCs w:val="20"/>
          <w:color w:val="auto"/>
        </w:rPr>
      </w:pPr>
    </w:p>
    <w:p>
      <w:pPr>
        <w:ind w:left="281" w:hanging="281"/>
        <w:spacing w:after="0"/>
        <w:tabs>
          <w:tab w:leader="none" w:pos="281"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DEFINITIONS AND INTERPRETATIONS</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u w:val="single" w:color="auto"/>
          <w:color w:val="auto"/>
        </w:rPr>
        <w:t>Definitions</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In this Agreement and in the Background unless the context otherwise requires, the following words and expressions have the following meanings:</w:t>
      </w:r>
    </w:p>
    <w:p>
      <w:pPr>
        <w:spacing w:after="0" w:line="96" w:lineRule="exact"/>
        <w:rPr>
          <w:sz w:val="20"/>
          <w:szCs w:val="20"/>
          <w:color w:val="auto"/>
        </w:rPr>
      </w:pPr>
    </w:p>
    <w:p>
      <w:pPr>
        <w:ind w:left="281"/>
        <w:spacing w:after="0" w:line="276" w:lineRule="auto"/>
        <w:rPr>
          <w:sz w:val="20"/>
          <w:szCs w:val="20"/>
          <w:color w:val="auto"/>
        </w:rPr>
      </w:pPr>
      <w:r>
        <w:rPr>
          <w:rFonts w:ascii="Arial" w:cs="Arial" w:eastAsia="Arial" w:hAnsi="Arial"/>
          <w:sz w:val="13"/>
          <w:szCs w:val="13"/>
          <w:color w:val="auto"/>
        </w:rPr>
        <w:t>“1994 Agreement” means the agreement entered into between the Licensor and the Licensee, dated 31 March 1994, following the Licensee’s valid exercise of the option granted pursuant to the Option Agreement, and pursuant to the terms of which the licensor licensed certain rights to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type w:val="continuous"/>
        </w:sectPr>
      </w:pPr>
    </w:p>
    <w:bookmarkStart w:id="124" w:name="page125"/>
    <w:bookmarkEnd w:id="124"/>
    <w:p>
      <w:pPr>
        <w:spacing w:after="0" w:line="258" w:lineRule="auto"/>
        <w:rPr>
          <w:sz w:val="20"/>
          <w:szCs w:val="20"/>
          <w:color w:val="auto"/>
        </w:rPr>
      </w:pPr>
      <w:r>
        <w:rPr>
          <w:rFonts w:ascii="Arial" w:cs="Arial" w:eastAsia="Arial" w:hAnsi="Arial"/>
          <w:sz w:val="13"/>
          <w:szCs w:val="13"/>
          <w:color w:val="auto"/>
        </w:rPr>
        <w:t>“Affiliate” means an entity that directly or indirectly controls or is controlled by or is under common control with the Licensee (and for this purpose “control” shall mean (i) holding a fifty per cent (50%) voting interest in the voting shares or capital stock of the relevant entity (or such lesser percentage which is the maximum allowed to be owned by a foreign corporation in a particular jurisdiction); or (ii) that the affairs of the relevant entity are conducted in accordance with the wishes of the other entity as a result of the holding of voting shares or capital stock, voting partnership shares or other similar ownership medium or by virtue of powers conferred by the articles of association, by-laws, constitution or any other document or agreement regulating the affairs of the relevant entity), and in the case of the Licensee shall include Stem Cell Sciences KK and any Former Affiliate.</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“Agreed Date” means 31 January 2006.</w:t>
      </w:r>
    </w:p>
    <w:p>
      <w:pPr>
        <w:spacing w:after="0" w:line="96"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“Centre” means the Institute for Stern Cell Research (formerly the Centre for Genome Research) of the University of Edinburgh and includes any person who becomes, in whole or in part, its successors, substitute or assignee (which includes a person taking by way of novation).</w:t>
      </w:r>
    </w:p>
    <w:p>
      <w:pPr>
        <w:spacing w:after="0" w:line="59"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“Confidential Information” means all information, material and technology provided in any form by either Party to the other under this Agreement and includes all drafts, copies, exempts, notes and summaries thereof.</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“Cross Licensed Rights” means any intellectual property rights granted to the Licensee or an Affiliate of the Licensee by a sub-licensee in consideration of the grant of a Sub- licence of the Licensed Rights.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“Existing Rights” means:</w:t>
      </w:r>
    </w:p>
    <w:p>
      <w:pPr>
        <w:spacing w:after="0" w:line="86" w:lineRule="exact"/>
        <w:rPr>
          <w:sz w:val="20"/>
          <w:szCs w:val="20"/>
          <w:color w:val="auto"/>
        </w:rPr>
      </w:pPr>
    </w:p>
    <w:p>
      <w:pPr>
        <w:ind w:left="460" w:hanging="455"/>
        <w:spacing w:after="0"/>
        <w:tabs>
          <w:tab w:leader="none" w:pos="4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Patent Applications;</w:t>
      </w:r>
    </w:p>
    <w:p>
      <w:pPr>
        <w:spacing w:after="0" w:line="96" w:lineRule="exact"/>
        <w:rPr>
          <w:rFonts w:ascii="Arial" w:cs="Arial" w:eastAsia="Arial" w:hAnsi="Arial"/>
          <w:sz w:val="13"/>
          <w:szCs w:val="13"/>
          <w:color w:val="auto"/>
        </w:rPr>
      </w:pPr>
    </w:p>
    <w:p>
      <w:pPr>
        <w:ind w:left="460" w:hanging="455"/>
        <w:spacing w:after="0"/>
        <w:tabs>
          <w:tab w:leader="none" w:pos="4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Patents; and</w:t>
      </w:r>
    </w:p>
    <w:p>
      <w:pPr>
        <w:spacing w:after="0" w:line="96" w:lineRule="exact"/>
        <w:rPr>
          <w:rFonts w:ascii="Arial" w:cs="Arial" w:eastAsia="Arial" w:hAnsi="Arial"/>
          <w:sz w:val="13"/>
          <w:szCs w:val="13"/>
          <w:color w:val="auto"/>
        </w:rPr>
      </w:pPr>
    </w:p>
    <w:p>
      <w:pPr>
        <w:ind w:left="460" w:hanging="455"/>
        <w:spacing w:after="0"/>
        <w:tabs>
          <w:tab w:leader="none" w:pos="4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Improvements, Inventions, Information and Know-how now possessed or invented, developed or acquired by the Centre prior to Agreed Date.</w:t>
      </w:r>
    </w:p>
    <w:p>
      <w:pPr>
        <w:spacing w:after="0" w:line="86"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“Field” means the isolation and propagation of human and large animal stem cells including the objectives of and the subject matter in or relating to the patent specifications disclosed its the Original Patent Applications.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“Former Affiliate” means any entity which ceases to be an Affiliate.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“Information” means all secret processes, formulas and technical information relating to the Field but not included in the patent specifications of the Patents.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“Inventions” means and includes all patentable and unpatentable inventions relating to the Field other than the inventions included in the patent specifications of the Patents or the Patent Applications.</w:t>
      </w:r>
    </w:p>
    <w:p>
      <w:pPr>
        <w:spacing w:after="0" w:line="157"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“Improvements” means any enhancement, modification, development, alteration or technical advance in, of, or relating to any Patent, Patent Application, Invention, Information or Know-how relating to the Field.</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“Know-how” means all the expertise, practice, experience, skill and technical knowledge relating to the Field.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“Licensed Rights” means the Existing Rights and the Project Results;</w:t>
      </w:r>
    </w:p>
    <w:p>
      <w:pPr>
        <w:spacing w:after="0" w:line="96"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“Net Sales Price” means the arms length net selling price of gross invoiced sales of the Products less all discounts, allowances, transportation charges, packaging costs, insurance and taxes directly based on sale and/or time of payment.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“Option Agreement” means the option agreement dated 24 February 1994 between the Licensor and Dr. Peter Mountford.</w:t>
      </w:r>
    </w:p>
    <w:p>
      <w:pPr>
        <w:spacing w:after="0" w:line="96"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“Original Patent Applications” means (i) Patent Application GB 9308271.7 relating to the invention of Peter Mountford and Austin Smith, Expression Vectors for In Vitro Derivation of Stem Cells, and (ii) Patent Application GB 9401011.3 relating to the invention of Peter Mountford, Austin Smith and Richard Lathe, Expression of Heterogonous Genes.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“Parties” means each of the University of Edinburgh and Stem Cell Sciences Limited and “Party” means either of the University of Edinburgh and Stem Cell Sciences Limited.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“Patent Applications” means the patent applications, short particulars of which are given in Schedule 1 and any divisions, continuation, continuation in part, supplemental disclosure and reissues of any of them.</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“Patent Rights” means patent applications and patents and any divisions, continuation, continuation in part, supplemental disclosure and reissues of any of them.</w:t>
      </w:r>
    </w:p>
    <w:p>
      <w:pPr>
        <w:spacing w:after="0" w:line="9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“Patents” means the granted patents, short particulars of which are given in Schedule 1, all present and future patents issued in respect of any Patent Application and any divisions, continuation, continuation in part, supplemental disclosure and reissues of any of them.</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“Product” means any product or process sold by or on behalf of the Licensee, by any Affiliate of the Licensee under a Sub-licence, which is an application of or incorporates;</w:t>
      </w:r>
    </w:p>
    <w:p>
      <w:pPr>
        <w:spacing w:after="0" w:line="86" w:lineRule="exact"/>
        <w:rPr>
          <w:sz w:val="20"/>
          <w:szCs w:val="20"/>
          <w:color w:val="auto"/>
        </w:rPr>
      </w:pPr>
    </w:p>
    <w:p>
      <w:pPr>
        <w:ind w:left="460" w:hanging="455"/>
        <w:spacing w:after="0"/>
        <w:tabs>
          <w:tab w:leader="none" w:pos="4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one or more claims of a Patent, Patent Application, Project Patent or Project Application; and/or</w:t>
      </w:r>
    </w:p>
    <w:p>
      <w:pPr>
        <w:spacing w:after="0" w:line="96" w:lineRule="exact"/>
        <w:rPr>
          <w:rFonts w:ascii="Arial" w:cs="Arial" w:eastAsia="Arial" w:hAnsi="Arial"/>
          <w:sz w:val="13"/>
          <w:szCs w:val="13"/>
          <w:color w:val="auto"/>
        </w:rPr>
      </w:pPr>
    </w:p>
    <w:p>
      <w:pPr>
        <w:ind w:left="460" w:hanging="455"/>
        <w:spacing w:after="0"/>
        <w:tabs>
          <w:tab w:leader="none" w:pos="4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Cross Licensed Rights.</w:t>
      </w:r>
    </w:p>
    <w:p>
      <w:pPr>
        <w:spacing w:after="0" w:line="86"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“Project Application” means all present and future patent applications and any divisions, continuation, continuation in part, supplemental disclosure and reissues of any of them, in respect of Project Results filed in any part of the Territory;</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color w:val="auto"/>
        </w:rPr>
        <w:t>“Project Patents” all present and future patents issued in respect of any Project Applications and any divisions, continuation, continuation in part, supplemental disclosure and reissues of any of them.</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“Project Results” means (i) patentable or unpatentable inventions, secret processes, formulae and technical information, expertise, practice, skill, technical knowledge, (ii) Project Applications, or (iii) Project Patents invented or developed by the Centre, in the conduct of the Projects (or any of them) which the University is not prevented by a Third Party from making available to the Licensee under this Agreement by virtue of the terms and conditions of funding imposed by the Third Party funding the relevant Project.</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“Projects” means the programmes of scientific research listed in Schedule 2 (or any part thereof) but only for so long as and to the extent that any programme (or any part thereof) is being carried out by the Centre, together with such additional projects as the parties may mutually agree in writing from time to time.</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“Royalty” means the payments to be paid by the Licensee to the Licensor pursuant to Clause 3.1(a)(i) and 3.1(a)(ii).</w:t>
      </w:r>
    </w:p>
    <w:p>
      <w:pPr>
        <w:spacing w:after="0" w:line="96"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“Royalty Period” means each period of one (1) year commencing on the date of this Agreement or the anniversary of the date of this Agreement as the case may be or, if this Agreement is terminated for any reason, the period commencing on the most recent anniversary of the date of this Agreement and ending on the date of termination.</w:t>
      </w:r>
    </w:p>
    <w:p>
      <w:pPr>
        <w:spacing w:after="0" w:line="59" w:lineRule="exact"/>
        <w:rPr>
          <w:sz w:val="20"/>
          <w:szCs w:val="20"/>
          <w:color w:val="auto"/>
        </w:rPr>
      </w:pPr>
    </w:p>
    <w:p>
      <w:pPr>
        <w:ind w:right="400"/>
        <w:spacing w:after="0" w:line="276" w:lineRule="auto"/>
        <w:rPr>
          <w:sz w:val="20"/>
          <w:szCs w:val="20"/>
          <w:color w:val="auto"/>
        </w:rPr>
      </w:pPr>
      <w:r>
        <w:rPr>
          <w:rFonts w:ascii="Arial" w:cs="Arial" w:eastAsia="Arial" w:hAnsi="Arial"/>
          <w:sz w:val="13"/>
          <w:szCs w:val="13"/>
          <w:color w:val="auto"/>
        </w:rPr>
        <w:t>“Royalty Report” means the royalty examination report undertaken by PricewaterhouseCoopers LLP dated 18 January 2006 (a copy of which has been provided to the Licensor and receipt of which is hereby acknowledged by the Licensee).</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“Sub-licence” means:</w:t>
      </w:r>
    </w:p>
    <w:p>
      <w:pPr>
        <w:spacing w:after="0" w:line="86" w:lineRule="exact"/>
        <w:rPr>
          <w:sz w:val="20"/>
          <w:szCs w:val="20"/>
          <w:color w:val="auto"/>
        </w:rPr>
      </w:pPr>
    </w:p>
    <w:p>
      <w:pPr>
        <w:ind w:left="460" w:hanging="455"/>
        <w:spacing w:after="0"/>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sub-licence of the Licensed Rights granted by the Licensee, or granted by sub-licensee of the Licensee under a Sub-licence, pursuant to Clause 2.1(b); and</w:t>
      </w:r>
    </w:p>
    <w:p>
      <w:pPr>
        <w:spacing w:after="0" w:line="96" w:lineRule="exact"/>
        <w:rPr>
          <w:rFonts w:ascii="Arial" w:cs="Arial" w:eastAsia="Arial" w:hAnsi="Arial"/>
          <w:sz w:val="13"/>
          <w:szCs w:val="13"/>
          <w:color w:val="auto"/>
        </w:rPr>
      </w:pPr>
    </w:p>
    <w:p>
      <w:pPr>
        <w:ind w:left="460" w:hanging="455"/>
        <w:spacing w:after="0"/>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sub-license of Cross Licensed Rights granted by the Licensee or an Affiliate of the Licensee (which sub-license may also comprise the grant of a sub-licence of the Licensed Rights).</w:t>
      </w:r>
    </w:p>
    <w:p>
      <w:pPr>
        <w:spacing w:after="0" w:line="86"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“Term” means the period commencing on 31 March, 1994 and concluding on the earlier of the date on which the last of the Patents expires or the date on which this Agreement is terminated pursuant to Clause 14, whichever is earlier.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“Territory” means all the countries of the world and includes any one or more of any part of those countries.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“Third Party” means any entity or person other than the Licensor and the Licensee.</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27" w:name="page128"/>
    <w:bookmarkEnd w:id="127"/>
    <w:p>
      <w:pPr>
        <w:ind w:left="1"/>
        <w:spacing w:after="0"/>
        <w:tabs>
          <w:tab w:leader="none" w:pos="261"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u w:val="single" w:color="auto"/>
          <w:color w:val="auto"/>
        </w:rPr>
        <w:t>Interpretation</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In this Agreement, unless the contrary intention appears:</w:t>
      </w:r>
    </w:p>
    <w:p>
      <w:pPr>
        <w:spacing w:after="0" w:line="86" w:lineRule="exact"/>
        <w:rPr>
          <w:sz w:val="20"/>
          <w:szCs w:val="20"/>
          <w:color w:val="auto"/>
        </w:rPr>
      </w:pPr>
    </w:p>
    <w:p>
      <w:pPr>
        <w:ind w:left="681" w:hanging="455"/>
        <w:spacing w:after="0" w:line="276" w:lineRule="auto"/>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 reference to person will include a natural person, corporation, incorporated association, statutory corporation, the Crown and any other type of legal entity; words including singular number will include a plural number and vice versa; words including a gender will include all other genders;</w:t>
      </w:r>
    </w:p>
    <w:p>
      <w:pPr>
        <w:spacing w:after="0" w:line="59" w:lineRule="exact"/>
        <w:rPr>
          <w:rFonts w:ascii="Arial" w:cs="Arial" w:eastAsia="Arial" w:hAnsi="Arial"/>
          <w:sz w:val="13"/>
          <w:szCs w:val="13"/>
          <w:color w:val="auto"/>
        </w:rPr>
      </w:pPr>
    </w:p>
    <w:p>
      <w:pPr>
        <w:ind w:left="681" w:right="280" w:hanging="455"/>
        <w:spacing w:after="0" w:line="276" w:lineRule="auto"/>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 reference in this Agreement to a statute or a section of a statute includes all amendments to that statute or section passed in substitution for the statute or section referred to or incorporating any of its provisions;</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Clause headings have been inserted for the purpose of guidance only, and will not be part of this Agreement;</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 reference to a Clause, Recital or paragraph is a reference to a clause, recital or paragraph of this Agreement;</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 reference to a person includes that person’s personal representatives, successors and permitted assigns; and</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“Agreement” means this licence agreement.</w:t>
      </w:r>
    </w:p>
    <w:p>
      <w:pPr>
        <w:spacing w:after="0" w:line="82" w:lineRule="exact"/>
        <w:rPr>
          <w:rFonts w:ascii="Arial" w:cs="Arial" w:eastAsia="Arial" w:hAnsi="Arial"/>
          <w:sz w:val="13"/>
          <w:szCs w:val="13"/>
          <w:color w:val="auto"/>
        </w:rPr>
      </w:pPr>
    </w:p>
    <w:p>
      <w:pPr>
        <w:ind w:left="281" w:hanging="281"/>
        <w:spacing w:after="0"/>
        <w:tabs>
          <w:tab w:leader="none" w:pos="281"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GRANT OF LICENCE</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1"/>
          <w:szCs w:val="11"/>
          <w:u w:val="single" w:color="auto"/>
          <w:color w:val="auto"/>
        </w:rPr>
        <w:t>Exclusive Licence to Licensee</w:t>
      </w:r>
    </w:p>
    <w:p>
      <w:pPr>
        <w:spacing w:after="0" w:line="332" w:lineRule="exact"/>
        <w:rPr>
          <w:sz w:val="20"/>
          <w:szCs w:val="20"/>
          <w:color w:val="auto"/>
        </w:rPr>
      </w:pPr>
    </w:p>
    <w:p>
      <w:pPr>
        <w:ind w:left="681" w:hanging="455"/>
        <w:spacing w:after="0"/>
        <w:tabs>
          <w:tab w:leader="none" w:pos="681"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 exclusive licence in the Territory for the Term to enjoy, commercialise and exploit the Licensed Rights and to manufacture, have manufactured, use, market, sell and have sold the Products; and</w:t>
      </w:r>
    </w:p>
    <w:p>
      <w:pPr>
        <w:spacing w:after="0" w:line="107" w:lineRule="exact"/>
        <w:rPr>
          <w:rFonts w:ascii="Arial" w:cs="Arial" w:eastAsia="Arial" w:hAnsi="Arial"/>
          <w:sz w:val="12"/>
          <w:szCs w:val="12"/>
          <w:color w:val="auto"/>
        </w:rPr>
      </w:pPr>
    </w:p>
    <w:p>
      <w:pPr>
        <w:ind w:left="681" w:right="80" w:hanging="455"/>
        <w:spacing w:after="0" w:line="276" w:lineRule="auto"/>
        <w:tabs>
          <w:tab w:leader="none" w:pos="681"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right to grant sub-licences of any of the rights (including the right to sub-licence) referred to in paragraph (a) of this Clause 2.1, provided that any such sub-licence is on terms not inconsistent with the Licensor’s rights under this Agreement.</w:t>
      </w:r>
    </w:p>
    <w:p>
      <w:pPr>
        <w:spacing w:after="0" w:line="49"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u w:val="single" w:color="auto"/>
          <w:color w:val="auto"/>
        </w:rPr>
        <w:t>Notification and Copies of Sub-licences</w:t>
      </w:r>
    </w:p>
    <w:p>
      <w:pPr>
        <w:spacing w:after="0" w:line="96" w:lineRule="exact"/>
        <w:rPr>
          <w:sz w:val="20"/>
          <w:szCs w:val="20"/>
          <w:color w:val="auto"/>
        </w:rPr>
      </w:pPr>
    </w:p>
    <w:p>
      <w:pPr>
        <w:ind w:left="281" w:right="400"/>
        <w:spacing w:after="0" w:line="276" w:lineRule="auto"/>
        <w:rPr>
          <w:sz w:val="20"/>
          <w:szCs w:val="20"/>
          <w:color w:val="auto"/>
        </w:rPr>
      </w:pPr>
      <w:r>
        <w:rPr>
          <w:rFonts w:ascii="Arial" w:cs="Arial" w:eastAsia="Arial" w:hAnsi="Arial"/>
          <w:sz w:val="13"/>
          <w:szCs w:val="13"/>
          <w:color w:val="auto"/>
        </w:rPr>
        <w:t>The Licensee will notify the Licensor of the name and address of the sub-licensee promptly upon the Licensee entering into a Sub-licence and provide to the Licensor a copy of that Sublicence within thirty (30) days of receiving a copy of that Sub-licence from the relevant sub-licensee.</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28" w:name="page129"/>
    <w:bookmarkEnd w:id="128"/>
    <w:p>
      <w:pPr>
        <w:ind w:left="1"/>
        <w:spacing w:after="0"/>
        <w:tabs>
          <w:tab w:leader="none" w:pos="261"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u w:val="single" w:color="auto"/>
          <w:color w:val="auto"/>
        </w:rPr>
        <w:t>Contents of Sub-licences</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The Licensee will ensure that:</w:t>
      </w:r>
    </w:p>
    <w:p>
      <w:pPr>
        <w:spacing w:after="0" w:line="86" w:lineRule="exact"/>
        <w:rPr>
          <w:sz w:val="20"/>
          <w:szCs w:val="20"/>
          <w:color w:val="auto"/>
        </w:rPr>
      </w:pPr>
    </w:p>
    <w:p>
      <w:pPr>
        <w:ind w:left="681" w:hanging="455"/>
        <w:spacing w:after="0"/>
        <w:tabs>
          <w:tab w:leader="none" w:pos="681" w:val="left"/>
        </w:tabs>
        <w:numPr>
          <w:ilvl w:val="0"/>
          <w:numId w:val="73"/>
        </w:numPr>
        <w:rPr>
          <w:rFonts w:ascii="Arial" w:cs="Arial" w:eastAsia="Arial" w:hAnsi="Arial"/>
          <w:sz w:val="13"/>
          <w:szCs w:val="13"/>
          <w:color w:val="auto"/>
        </w:rPr>
      </w:pPr>
      <w:r>
        <w:rPr>
          <w:rFonts w:ascii="Arial" w:cs="Arial" w:eastAsia="Arial" w:hAnsi="Arial"/>
          <w:sz w:val="13"/>
          <w:szCs w:val="13"/>
          <w:color w:val="auto"/>
        </w:rPr>
        <w:t>provisions with the effect of Clauses 3.7(a), 3.9, 3.10, 9 and 15.1; and</w:t>
      </w:r>
    </w:p>
    <w:p>
      <w:pPr>
        <w:spacing w:after="0" w:line="96" w:lineRule="exact"/>
        <w:rPr>
          <w:rFonts w:ascii="Arial" w:cs="Arial" w:eastAsia="Arial" w:hAnsi="Arial"/>
          <w:sz w:val="13"/>
          <w:szCs w:val="13"/>
          <w:color w:val="auto"/>
        </w:rPr>
      </w:pPr>
    </w:p>
    <w:p>
      <w:pPr>
        <w:ind w:left="1" w:right="5120" w:firstLine="225"/>
        <w:spacing w:after="0" w:line="386" w:lineRule="auto"/>
        <w:tabs>
          <w:tab w:leader="none" w:pos="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the provisions of Clause 10 with the necessary changes being made, are incorporated in each Sub-licence. 2.4 </w:t>
      </w:r>
      <w:r>
        <w:rPr>
          <w:rFonts w:ascii="Arial" w:cs="Arial" w:eastAsia="Arial" w:hAnsi="Arial"/>
          <w:sz w:val="13"/>
          <w:szCs w:val="13"/>
          <w:u w:val="single" w:color="auto"/>
          <w:color w:val="auto"/>
        </w:rPr>
        <w:t>Exploitation of Licence</w:t>
      </w:r>
    </w:p>
    <w:p>
      <w:pPr>
        <w:spacing w:after="0" w:line="1" w:lineRule="exact"/>
        <w:rPr>
          <w:sz w:val="20"/>
          <w:szCs w:val="20"/>
          <w:color w:val="auto"/>
        </w:rPr>
      </w:pPr>
    </w:p>
    <w:p>
      <w:pPr>
        <w:ind w:left="281" w:right="20"/>
        <w:spacing w:after="0" w:line="276" w:lineRule="auto"/>
        <w:rPr>
          <w:sz w:val="20"/>
          <w:szCs w:val="20"/>
          <w:color w:val="auto"/>
        </w:rPr>
      </w:pPr>
      <w:r>
        <w:rPr>
          <w:rFonts w:ascii="Arial" w:cs="Arial" w:eastAsia="Arial" w:hAnsi="Arial"/>
          <w:sz w:val="13"/>
          <w:szCs w:val="13"/>
          <w:color w:val="auto"/>
        </w:rPr>
        <w:t>The Licensee at its expense will use its best endeavours to commercialise and exploit the Licensed Rights and to manufacture, have manufactured, use, market and sell the Products or to appoint sub-licensees for the purpose of such commercialisation and exploitation.</w:t>
      </w:r>
    </w:p>
    <w:p>
      <w:pPr>
        <w:spacing w:after="0" w:line="59"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u w:val="single" w:color="auto"/>
          <w:color w:val="auto"/>
        </w:rPr>
        <w:t>Licensor’s Acknowledgement</w:t>
      </w:r>
    </w:p>
    <w:p>
      <w:pPr>
        <w:spacing w:after="0" w:line="96" w:lineRule="exact"/>
        <w:rPr>
          <w:sz w:val="20"/>
          <w:szCs w:val="20"/>
          <w:color w:val="auto"/>
        </w:rPr>
      </w:pPr>
    </w:p>
    <w:p>
      <w:pPr>
        <w:ind w:left="281" w:right="220"/>
        <w:spacing w:after="0" w:line="320" w:lineRule="auto"/>
        <w:rPr>
          <w:sz w:val="20"/>
          <w:szCs w:val="20"/>
          <w:color w:val="auto"/>
        </w:rPr>
      </w:pPr>
      <w:r>
        <w:rPr>
          <w:rFonts w:ascii="Arial" w:cs="Arial" w:eastAsia="Arial" w:hAnsi="Arial"/>
          <w:sz w:val="12"/>
          <w:szCs w:val="12"/>
          <w:color w:val="auto"/>
        </w:rPr>
        <w:t>Notwithstanding Clause 2.4, the Licensor acknowledges that not all of the Licensed Rights are as at the date of this Agreement at a stage which are capable of commercialisation or exploitation. The Licensor further acknowledges that it may be necessary for the Licensee to conduct research in relation to some of the Licensed Rights before the Licensee can fulfil its obligations under Clause 2.4.</w:t>
      </w:r>
    </w:p>
    <w:p>
      <w:pPr>
        <w:spacing w:after="0" w:line="31" w:lineRule="exact"/>
        <w:rPr>
          <w:sz w:val="20"/>
          <w:szCs w:val="20"/>
          <w:color w:val="auto"/>
        </w:rPr>
      </w:pPr>
    </w:p>
    <w:p>
      <w:pPr>
        <w:ind w:left="281" w:hanging="281"/>
        <w:spacing w:after="0"/>
        <w:tabs>
          <w:tab w:leader="none" w:pos="281"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ROYALTY</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u w:val="single" w:color="auto"/>
          <w:color w:val="auto"/>
        </w:rPr>
        <w:t>Royalty</w:t>
      </w:r>
    </w:p>
    <w:p>
      <w:pPr>
        <w:spacing w:after="0" w:line="86" w:lineRule="exact"/>
        <w:rPr>
          <w:sz w:val="20"/>
          <w:szCs w:val="20"/>
          <w:color w:val="auto"/>
        </w:rPr>
      </w:pPr>
    </w:p>
    <w:p>
      <w:pPr>
        <w:ind w:left="681" w:hanging="455"/>
        <w:spacing w:after="0"/>
        <w:tabs>
          <w:tab w:leader="none" w:pos="681"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 consideration of the licences granted in Clause 2, but subject always to Clauses 3.2 and 4, the Licensee must pay to the Licensor:</w:t>
      </w:r>
    </w:p>
    <w:p>
      <w:pPr>
        <w:spacing w:after="0" w:line="86" w:lineRule="exact"/>
        <w:rPr>
          <w:rFonts w:ascii="Arial" w:cs="Arial" w:eastAsia="Arial" w:hAnsi="Arial"/>
          <w:sz w:val="13"/>
          <w:szCs w:val="13"/>
          <w:color w:val="auto"/>
        </w:rPr>
      </w:pPr>
    </w:p>
    <w:p>
      <w:pPr>
        <w:ind w:left="901" w:hanging="449"/>
        <w:spacing w:after="0"/>
        <w:tabs>
          <w:tab w:leader="none" w:pos="901"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 amount equal to [****] of the Net Sales Price of any Product sold by the Licensee or any Affiliate under a Sub-licence on or after the Agreed Date; and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 amount equal to [****].</w:t>
      </w:r>
    </w:p>
    <w:p>
      <w:pPr>
        <w:spacing w:after="0" w:line="86" w:lineRule="exact"/>
        <w:rPr>
          <w:rFonts w:ascii="Arial" w:cs="Arial" w:eastAsia="Arial" w:hAnsi="Arial"/>
          <w:sz w:val="13"/>
          <w:szCs w:val="13"/>
          <w:color w:val="auto"/>
        </w:rPr>
      </w:pPr>
    </w:p>
    <w:p>
      <w:pPr>
        <w:ind w:left="681" w:hanging="455"/>
        <w:spacing w:after="0"/>
        <w:tabs>
          <w:tab w:leader="none" w:pos="681"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Licensee will use all reasonable endeavours to ensure that Products are sold, leased, hired or otherwise disposed of at normal commercial rates.</w:t>
      </w:r>
    </w:p>
    <w:p>
      <w:pPr>
        <w:spacing w:after="0" w:line="86"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u w:val="single" w:color="auto"/>
          <w:color w:val="auto"/>
        </w:rPr>
        <w:t>Royalty Stacking</w:t>
      </w:r>
    </w:p>
    <w:p>
      <w:pPr>
        <w:spacing w:after="0" w:line="86" w:lineRule="exact"/>
        <w:rPr>
          <w:sz w:val="20"/>
          <w:szCs w:val="20"/>
          <w:color w:val="auto"/>
        </w:rPr>
      </w:pPr>
    </w:p>
    <w:p>
      <w:pPr>
        <w:ind w:left="681" w:hanging="455"/>
        <w:spacing w:after="0" w:line="276" w:lineRule="auto"/>
        <w:tabs>
          <w:tab w:leader="none" w:pos="681" w:val="left"/>
        </w:tabs>
        <w:numPr>
          <w:ilvl w:val="0"/>
          <w:numId w:val="76"/>
        </w:numPr>
        <w:rPr>
          <w:rFonts w:ascii="Arial" w:cs="Arial" w:eastAsia="Arial" w:hAnsi="Arial"/>
          <w:sz w:val="13"/>
          <w:szCs w:val="13"/>
          <w:color w:val="auto"/>
        </w:rPr>
      </w:pPr>
      <w:r>
        <w:rPr>
          <w:rFonts w:ascii="Arial" w:cs="Arial" w:eastAsia="Arial" w:hAnsi="Arial"/>
          <w:sz w:val="13"/>
          <w:szCs w:val="13"/>
          <w:color w:val="auto"/>
        </w:rPr>
        <w:t>Where in order to manufacture, use, market or sell Products it is legally necessary for the Licensee to also have a licence from a Third Party (other than an Affiliate) under any Patent Rights and by reason of an agreement with such Third Party a royalty on the Net Sales Price (or similarly defined amount) is payable to such Third Party, [****]:</w:t>
      </w:r>
    </w:p>
    <w:p>
      <w:pPr>
        <w:spacing w:after="0" w:line="49" w:lineRule="exact"/>
        <w:rPr>
          <w:rFonts w:ascii="Arial" w:cs="Arial" w:eastAsia="Arial" w:hAnsi="Arial"/>
          <w:sz w:val="13"/>
          <w:szCs w:val="13"/>
          <w:color w:val="auto"/>
        </w:rPr>
      </w:pPr>
    </w:p>
    <w:p>
      <w:pPr>
        <w:ind w:left="901" w:hanging="449"/>
        <w:spacing w:after="0"/>
        <w:tabs>
          <w:tab w:leader="none" w:pos="901" w:val="left"/>
        </w:tabs>
        <w:numPr>
          <w:ilvl w:val="1"/>
          <w:numId w:val="76"/>
        </w:numPr>
        <w:rPr>
          <w:rFonts w:ascii="Arial" w:cs="Arial" w:eastAsia="Arial" w:hAnsi="Arial"/>
          <w:sz w:val="13"/>
          <w:szCs w:val="13"/>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1"/>
          </w:cols>
          <w:pgMar w:left="219" w:top="720" w:right="339" w:bottom="1440" w:gutter="0" w:footer="0" w:header="0"/>
        </w:sectPr>
      </w:pPr>
    </w:p>
    <w:bookmarkStart w:id="129" w:name="page130"/>
    <w:bookmarkEnd w:id="129"/>
    <w:p>
      <w:pPr>
        <w:ind w:left="680" w:right="180" w:hanging="449"/>
        <w:spacing w:after="0" w:line="276" w:lineRule="auto"/>
        <w:tabs>
          <w:tab w:leader="none" w:pos="6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the Licensee shall make available to the Licensor appropriate documentary and other evidence to verify the amount of royalties being paid under the licences giving rise to a reduction of the Royalty payable to the Licensor under Clause 3.1(a)(i);</w:t>
      </w:r>
    </w:p>
    <w:p>
      <w:pPr>
        <w:spacing w:after="0" w:line="59" w:lineRule="exact"/>
        <w:rPr>
          <w:rFonts w:ascii="Arial" w:cs="Arial" w:eastAsia="Arial" w:hAnsi="Arial"/>
          <w:sz w:val="13"/>
          <w:szCs w:val="13"/>
          <w:color w:val="auto"/>
        </w:rPr>
      </w:pPr>
    </w:p>
    <w:p>
      <w:pPr>
        <w:ind w:left="680" w:right="60" w:hanging="449"/>
        <w:spacing w:after="0" w:line="371" w:lineRule="auto"/>
        <w:tabs>
          <w:tab w:leader="none" w:pos="680" w:val="left"/>
        </w:tabs>
        <w:numPr>
          <w:ilvl w:val="1"/>
          <w:numId w:val="77"/>
        </w:numPr>
        <w:rPr>
          <w:rFonts w:ascii="Arial" w:cs="Arial" w:eastAsia="Arial" w:hAnsi="Arial"/>
          <w:sz w:val="11"/>
          <w:szCs w:val="11"/>
          <w:color w:val="auto"/>
        </w:rPr>
      </w:pPr>
      <w:r>
        <w:rPr>
          <w:rFonts w:ascii="Arial" w:cs="Arial" w:eastAsia="Arial" w:hAnsi="Arial"/>
          <w:sz w:val="11"/>
          <w:szCs w:val="11"/>
          <w:color w:val="auto"/>
        </w:rPr>
        <w:t>the foregoing shall apply only if any Third Party from whom it is legally necessary for the Licensee to obtain a licence in order to manufacture, sell, use or otherwise dispose of the Products and with whom the licensee enters into an agreement following the Agreed Date agrees that the provisions of equivalent effect to this Clause 3.2(a) apply in respect of the sums payable to such Third Party; and</w:t>
      </w:r>
    </w:p>
    <w:p>
      <w:pPr>
        <w:spacing w:after="0" w:line="11" w:lineRule="exact"/>
        <w:rPr>
          <w:rFonts w:ascii="Arial" w:cs="Arial" w:eastAsia="Arial" w:hAnsi="Arial"/>
          <w:sz w:val="11"/>
          <w:szCs w:val="11"/>
          <w:color w:val="auto"/>
        </w:rPr>
      </w:pPr>
    </w:p>
    <w:p>
      <w:pPr>
        <w:ind w:left="680" w:right="160" w:hanging="449"/>
        <w:spacing w:after="0" w:line="276" w:lineRule="auto"/>
        <w:tabs>
          <w:tab w:leader="none" w:pos="6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in calculating whether the Total Royalty exceeds the Royalty Cap for the purposes of this Clause 3.2(a), any royalties payable to sub-licensees in respect of the manufacture, use, marketing or sale of Products containing Cross Licensed Rights are to be disregarded.</w:t>
      </w:r>
    </w:p>
    <w:p>
      <w:pPr>
        <w:spacing w:after="0" w:line="49" w:lineRule="exact"/>
        <w:rPr>
          <w:rFonts w:ascii="Arial" w:cs="Arial" w:eastAsia="Arial" w:hAnsi="Arial"/>
          <w:sz w:val="13"/>
          <w:szCs w:val="13"/>
          <w:color w:val="auto"/>
        </w:rPr>
      </w:pPr>
    </w:p>
    <w:p>
      <w:pPr>
        <w:ind w:left="460" w:hanging="455"/>
        <w:spacing w:after="0" w:line="300" w:lineRule="auto"/>
        <w:tabs>
          <w:tab w:leader="none" w:pos="460" w:val="left"/>
        </w:tabs>
        <w:numPr>
          <w:ilvl w:val="0"/>
          <w:numId w:val="78"/>
        </w:numPr>
        <w:rPr>
          <w:rFonts w:ascii="Arial" w:cs="Arial" w:eastAsia="Arial" w:hAnsi="Arial"/>
          <w:sz w:val="11"/>
          <w:szCs w:val="11"/>
          <w:color w:val="auto"/>
        </w:rPr>
      </w:pPr>
      <w:r>
        <w:rPr>
          <w:rFonts w:ascii="Arial" w:cs="Arial" w:eastAsia="Arial" w:hAnsi="Arial"/>
          <w:sz w:val="11"/>
          <w:szCs w:val="11"/>
          <w:color w:val="auto"/>
        </w:rPr>
        <w:t>Where the Licensed Rights and/or Cross Licensed Rights are sub-licensed by the Licensee (or any Affiliate under a Sub-licence) together with other patents, patent applications, know-how, technology, material and/or resources owned by or under the control of the Licensee (the “Other Technology”) and the relevant Sub-licence does not apportion the amounts to be paid under that Sub-licence between the Licensed Rights and/or the Cross Licensed Rights (on the one hand) and the Other Technology being licensed or sub-licensed to the sub-licensee (on the other hand), the amount received from the sub-licensee under the relevant Sub-licence in respect of exploitation of the Licensed Rights and/or the Cross Licensed Rights shall for the purposes of calculating the amounts payable to the Licensor under Clause 3.1(a)(ii) be deemed to be such proportion of the total consideration payable thereunder as the parties shall agree is fair and reasonable taking into account the relative values of the licensed Rights and/or the Cross Licensed Rights (on the one hand) and the Other Technology being sub-licensed or licensed to the relevant sublicence (on the other hand). If at any time a dispute arises under this Clause</w:t>
      </w:r>
    </w:p>
    <w:p>
      <w:pPr>
        <w:spacing w:after="0" w:line="2" w:lineRule="exact"/>
        <w:rPr>
          <w:rFonts w:ascii="Arial" w:cs="Arial" w:eastAsia="Arial" w:hAnsi="Arial"/>
          <w:sz w:val="11"/>
          <w:szCs w:val="11"/>
          <w:color w:val="auto"/>
        </w:rPr>
      </w:pPr>
    </w:p>
    <w:p>
      <w:pPr>
        <w:ind w:left="460" w:right="60"/>
        <w:spacing w:after="0" w:line="290" w:lineRule="auto"/>
        <w:rPr>
          <w:rFonts w:ascii="Arial" w:cs="Arial" w:eastAsia="Arial" w:hAnsi="Arial"/>
          <w:sz w:val="11"/>
          <w:szCs w:val="11"/>
          <w:color w:val="auto"/>
        </w:rPr>
      </w:pPr>
      <w:r>
        <w:rPr>
          <w:rFonts w:ascii="Arial" w:cs="Arial" w:eastAsia="Arial" w:hAnsi="Arial"/>
          <w:sz w:val="12"/>
          <w:szCs w:val="12"/>
          <w:color w:val="auto"/>
        </w:rPr>
        <w:t>3.2(b) (including without limitation a failure to reach agreement in relation to the relative values of the Licensed Rights and/or the Cross Licensed Rights (on the one hand) and the Other Technology being sub-licensed or licensed to the relevant sub-licensee (on the other hand)) and the parties are not able to resolve such dispute within thirty (30) days of the dispute first arising, either party may elect by serving a written notice on the other party to refer such dispute for determination to the Principal of the Licensor and the Chief Executive Officer of the Licensee.</w:t>
      </w:r>
    </w:p>
    <w:p>
      <w:pPr>
        <w:spacing w:after="0" w:line="52" w:lineRule="exact"/>
        <w:rPr>
          <w:rFonts w:ascii="Arial" w:cs="Arial" w:eastAsia="Arial" w:hAnsi="Arial"/>
          <w:sz w:val="11"/>
          <w:szCs w:val="11"/>
          <w:color w:val="auto"/>
        </w:rPr>
      </w:pPr>
    </w:p>
    <w:p>
      <w:pPr>
        <w:ind w:left="460" w:right="520" w:hanging="455"/>
        <w:spacing w:after="0" w:line="276" w:lineRule="auto"/>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Licensee will use all reasonable endeavours to ensure that the Licensed Rights and the Cross Licensed Rights are sub-licensed by the Licensee (or any Affiliate under a Sub-licence) at normal commercial rates.</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0" w:name="page131"/>
    <w:bookmarkEnd w:id="130"/>
    <w:p>
      <w:pPr>
        <w:spacing w:after="0"/>
        <w:tabs>
          <w:tab w:leader="none" w:pos="26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Time of Computing Royalty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Royalty for each year will be computed at the end of each Royalty Period.</w:t>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u w:val="single" w:color="auto"/>
          <w:color w:val="auto"/>
        </w:rPr>
        <w:t>Payment of Royalty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Subject to Clause 3.5, the Licensee will pay the Royalty for each Royalty Period free of all taxes or charges within thirty (30) days of the end of the Royalty Period.</w:t>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1"/>
          <w:szCs w:val="11"/>
          <w:u w:val="single" w:color="auto"/>
          <w:color w:val="auto"/>
        </w:rPr>
        <w:t>Currency and Exchange Rate</w:t>
      </w:r>
    </w:p>
    <w:p>
      <w:pPr>
        <w:spacing w:after="0" w:line="96" w:lineRule="exact"/>
        <w:rPr>
          <w:sz w:val="20"/>
          <w:szCs w:val="20"/>
          <w:color w:val="auto"/>
        </w:rPr>
      </w:pPr>
    </w:p>
    <w:p>
      <w:pPr>
        <w:ind w:left="280"/>
        <w:spacing w:after="0" w:line="276" w:lineRule="auto"/>
        <w:rPr>
          <w:sz w:val="20"/>
          <w:szCs w:val="20"/>
          <w:color w:val="auto"/>
        </w:rPr>
      </w:pPr>
      <w:r>
        <w:rPr>
          <w:rFonts w:ascii="Arial" w:cs="Arial" w:eastAsia="Arial" w:hAnsi="Arial"/>
          <w:sz w:val="13"/>
          <w:szCs w:val="13"/>
          <w:color w:val="auto"/>
        </w:rPr>
        <w:t>Each payment provided for in Clause 3.1 shall be paid in pounds sterling and the rate of exchange will be that prevailing between the Australian dollar and the pound sterling published in the Australian Financial Review on the last day of the relevant Royalty Period.</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1"/>
          <w:szCs w:val="11"/>
          <w:u w:val="single" w:color="auto"/>
          <w:color w:val="auto"/>
        </w:rPr>
        <w:t>Taxation on Royalties</w:t>
      </w:r>
    </w:p>
    <w:p>
      <w:pPr>
        <w:spacing w:after="0" w:line="86" w:lineRule="exact"/>
        <w:rPr>
          <w:sz w:val="20"/>
          <w:szCs w:val="20"/>
          <w:color w:val="auto"/>
        </w:rPr>
      </w:pPr>
    </w:p>
    <w:p>
      <w:pPr>
        <w:ind w:left="680" w:hanging="455"/>
        <w:spacing w:after="0"/>
        <w:tabs>
          <w:tab w:leader="none" w:pos="6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All income taxes levied in accordance with the tax laws in specific countries within the Territory on the Royalty payments to be made by the Licensee under this Agreement shall be borne by the Licensor.</w:t>
      </w:r>
    </w:p>
    <w:p>
      <w:pPr>
        <w:spacing w:after="0" w:line="119" w:lineRule="exact"/>
        <w:rPr>
          <w:rFonts w:ascii="Arial" w:cs="Arial" w:eastAsia="Arial" w:hAnsi="Arial"/>
          <w:sz w:val="11"/>
          <w:szCs w:val="11"/>
          <w:color w:val="auto"/>
        </w:rPr>
      </w:pPr>
    </w:p>
    <w:p>
      <w:pPr>
        <w:ind w:left="680" w:right="140" w:hanging="455"/>
        <w:spacing w:after="0" w:line="276" w:lineRule="auto"/>
        <w:tabs>
          <w:tab w:leader="none" w:pos="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Licensee will pay such taxes to the competent taxation office on the Licensor’s behalf, it being agreed and understood that the Licensor authorises the Licensee to withhold such taxes from Royalty payments.</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Licensee will furnish the Licensor with tax receipts or other certificates issued by the competent taxation office showing the payment of the income taxes.</w:t>
      </w:r>
    </w:p>
    <w:p>
      <w:pPr>
        <w:spacing w:after="0" w:line="8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1"/>
          <w:szCs w:val="11"/>
          <w:u w:val="single" w:color="auto"/>
          <w:color w:val="auto"/>
        </w:rPr>
        <w:t>Statements with Royalties</w:t>
      </w:r>
    </w:p>
    <w:p>
      <w:pPr>
        <w:spacing w:after="0" w:line="332" w:lineRule="exact"/>
        <w:rPr>
          <w:sz w:val="20"/>
          <w:szCs w:val="20"/>
          <w:color w:val="auto"/>
        </w:rPr>
      </w:pPr>
    </w:p>
    <w:p>
      <w:pPr>
        <w:ind w:left="680" w:hanging="455"/>
        <w:spacing w:after="0"/>
        <w:tabs>
          <w:tab w:leader="none" w:pos="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with each Royalty payment under Clause 3.1(a)(i) and Clause 4.1 provide the Licensor with a statement including the following information:</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number of Products manufactured and/or sold during the Royalty Period;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Net Sales Price of each of the Products sold during the Royalty Period;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manner in which the Net Sales Price is calculated including discounts, transportation charges, purchasing costs, insurance and taxes; and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if Clause 3.2(a) applies, all papers, documents, information and other evidence reasonably requested by the Licensor to verify the reduced Royalty payable; and</w:t>
      </w:r>
    </w:p>
    <w:p>
      <w:pPr>
        <w:spacing w:after="0" w:line="86" w:lineRule="exact"/>
        <w:rPr>
          <w:rFonts w:ascii="Arial" w:cs="Arial" w:eastAsia="Arial" w:hAnsi="Arial"/>
          <w:sz w:val="13"/>
          <w:szCs w:val="13"/>
          <w:color w:val="auto"/>
        </w:rPr>
      </w:pPr>
    </w:p>
    <w:p>
      <w:pPr>
        <w:ind w:left="680" w:hanging="455"/>
        <w:spacing w:after="0"/>
        <w:tabs>
          <w:tab w:leader="none" w:pos="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with each Royalty payment under Clause 3.1(a)(ii) provide to the Licensor: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99" w:right="339" w:bottom="1440" w:gutter="0" w:footer="0" w:header="0"/>
        </w:sectPr>
      </w:pPr>
    </w:p>
    <w:bookmarkStart w:id="131" w:name="page132"/>
    <w:bookmarkEnd w:id="131"/>
    <w:p>
      <w:pPr>
        <w:ind w:left="900" w:hanging="449"/>
        <w:spacing w:after="0"/>
        <w:tabs>
          <w:tab w:leader="none" w:pos="9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copies of all statements delivered to the Licensee by its sub-licensees in respect of royalty payments made to the Licensee under any Sub-licence; and</w:t>
      </w:r>
    </w:p>
    <w:p>
      <w:pPr>
        <w:spacing w:after="0" w:line="96" w:lineRule="exact"/>
        <w:rPr>
          <w:rFonts w:ascii="Arial" w:cs="Arial" w:eastAsia="Arial" w:hAnsi="Arial"/>
          <w:sz w:val="13"/>
          <w:szCs w:val="13"/>
          <w:color w:val="auto"/>
        </w:rPr>
      </w:pPr>
    </w:p>
    <w:p>
      <w:pPr>
        <w:ind w:right="2380" w:firstLine="451"/>
        <w:spacing w:after="0" w:line="386" w:lineRule="auto"/>
        <w:tabs>
          <w:tab w:leader="none" w:pos="904"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if Clause 3.2(b) applies, all papers, documents, information and other evidence reasonably requested by the Licensor to verify the reduced Royalty payable. 3.8 </w:t>
      </w:r>
      <w:r>
        <w:rPr>
          <w:rFonts w:ascii="Arial" w:cs="Arial" w:eastAsia="Arial" w:hAnsi="Arial"/>
          <w:sz w:val="13"/>
          <w:szCs w:val="13"/>
          <w:u w:val="single" w:color="auto"/>
          <w:color w:val="auto"/>
        </w:rPr>
        <w:t>Auditing of Statements</w:t>
      </w:r>
    </w:p>
    <w:p>
      <w:pPr>
        <w:spacing w:after="0" w:line="1" w:lineRule="exact"/>
        <w:rPr>
          <w:sz w:val="20"/>
          <w:szCs w:val="20"/>
          <w:color w:val="auto"/>
        </w:rPr>
      </w:pPr>
    </w:p>
    <w:p>
      <w:pPr>
        <w:ind w:left="340" w:right="120"/>
        <w:spacing w:after="0" w:line="276" w:lineRule="auto"/>
        <w:rPr>
          <w:sz w:val="20"/>
          <w:szCs w:val="20"/>
          <w:color w:val="auto"/>
        </w:rPr>
      </w:pPr>
      <w:r>
        <w:rPr>
          <w:rFonts w:ascii="Arial" w:cs="Arial" w:eastAsia="Arial" w:hAnsi="Arial"/>
          <w:sz w:val="13"/>
          <w:szCs w:val="13"/>
          <w:color w:val="auto"/>
        </w:rPr>
        <w:t>Any statement provided under Clause 3.7 will, if required by the Licensor, be certified as correct by the auditor of the Licensee, or if the Licensee does not have an auditor, by a person approved by the Licensor for this purpose.</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1"/>
          <w:szCs w:val="11"/>
          <w:u w:val="single" w:color="auto"/>
          <w:color w:val="auto"/>
        </w:rPr>
        <w:t>Records</w:t>
      </w:r>
    </w:p>
    <w:p>
      <w:pPr>
        <w:spacing w:after="0" w:line="96" w:lineRule="exact"/>
        <w:rPr>
          <w:sz w:val="20"/>
          <w:szCs w:val="20"/>
          <w:color w:val="auto"/>
        </w:rPr>
      </w:pPr>
    </w:p>
    <w:p>
      <w:pPr>
        <w:ind w:left="340" w:right="80"/>
        <w:spacing w:after="0" w:line="334" w:lineRule="auto"/>
        <w:rPr>
          <w:sz w:val="20"/>
          <w:szCs w:val="20"/>
          <w:color w:val="auto"/>
        </w:rPr>
      </w:pPr>
      <w:r>
        <w:rPr>
          <w:rFonts w:ascii="Arial" w:cs="Arial" w:eastAsia="Arial" w:hAnsi="Arial"/>
          <w:sz w:val="11"/>
          <w:szCs w:val="11"/>
          <w:color w:val="auto"/>
        </w:rPr>
        <w:t>The Licensee shall maintain for a period of seven (7) years in a manner approved by the Licensor separate and accurate records and accounts of the manufacture and sale of the Products, the Net Sales Price at which the Products are sold and any other information reasonably required by the Licensor relevant to the Products manufactured and sold and the determination of Net Sales Price and, if applicable, the reduced Royalty payable pursuant to Clause 3.2. Such separate and accurate records and accounts shall be in sufficient detail so that the Licensor need not refer to the other records and accounts of the Licensee.</w:t>
      </w:r>
    </w:p>
    <w:p>
      <w:pPr>
        <w:spacing w:after="0" w:line="3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3.10</w:t>
      </w:r>
      <w:r>
        <w:rPr>
          <w:sz w:val="20"/>
          <w:szCs w:val="20"/>
          <w:color w:val="auto"/>
        </w:rPr>
        <w:tab/>
      </w:r>
      <w:r>
        <w:rPr>
          <w:rFonts w:ascii="Arial" w:cs="Arial" w:eastAsia="Arial" w:hAnsi="Arial"/>
          <w:sz w:val="12"/>
          <w:szCs w:val="12"/>
          <w:u w:val="single" w:color="auto"/>
          <w:color w:val="auto"/>
        </w:rPr>
        <w:t>Auditing of Records</w:t>
      </w:r>
    </w:p>
    <w:p>
      <w:pPr>
        <w:spacing w:after="0" w:line="96"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The Licensee will upon reasonable notice and during ordinary business hours, permit and give all reasonable assistance to an accountant or auditor of the Licensor to inspect, audit and copy on a confidential basis all or any records required to be maintained by the Licensee under this Clause.</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u w:val="single" w:color="auto"/>
          <w:color w:val="auto"/>
        </w:rPr>
        <w:t>Auditing of Sub-licences Records</w:t>
      </w:r>
    </w:p>
    <w:p>
      <w:pPr>
        <w:spacing w:after="0" w:line="96"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The Licensee will, if requested by the Licensor, inspect, audit and copy records kept by any sub-licensee pursuant to any Sub-licence for the purpose of verifying Royalty payments and, if applicable, the reduced Royalty payable pursuant to Clause 3.2.</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u w:val="single" w:color="auto"/>
          <w:color w:val="auto"/>
        </w:rPr>
        <w:t>Use of Royalties by Licensor</w:t>
      </w:r>
    </w:p>
    <w:p>
      <w:pPr>
        <w:spacing w:after="0" w:line="96" w:lineRule="exact"/>
        <w:rPr>
          <w:sz w:val="20"/>
          <w:szCs w:val="20"/>
          <w:color w:val="auto"/>
        </w:rPr>
      </w:pPr>
    </w:p>
    <w:p>
      <w:pPr>
        <w:ind w:left="340" w:right="80"/>
        <w:spacing w:after="0" w:line="276" w:lineRule="auto"/>
        <w:rPr>
          <w:sz w:val="20"/>
          <w:szCs w:val="20"/>
          <w:color w:val="auto"/>
        </w:rPr>
      </w:pPr>
      <w:r>
        <w:rPr>
          <w:rFonts w:ascii="Arial" w:cs="Arial" w:eastAsia="Arial" w:hAnsi="Arial"/>
          <w:sz w:val="13"/>
          <w:szCs w:val="13"/>
          <w:color w:val="auto"/>
        </w:rPr>
        <w:t>The Licensee acknowledges that the licensor shall be free to implement any policies it may have for an equitable sharing of any Royalties paid to it with those inventors responsible for generating the intellectual property which lead to the Royalty being paid. The balance of any such Royalties not so distributed shall be applied by the Licensor to further its aims and objectives.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99" w:right="239" w:bottom="1440" w:gutter="0" w:footer="0" w:header="0"/>
        </w:sectPr>
      </w:pPr>
    </w:p>
    <w:bookmarkStart w:id="132" w:name="page133"/>
    <w:bookmarkEnd w:id="132"/>
    <w:p>
      <w:pPr>
        <w:ind w:left="1"/>
        <w:spacing w:after="0"/>
        <w:tabs>
          <w:tab w:leader="none" w:pos="321" w:val="left"/>
        </w:tabs>
        <w:rPr>
          <w:sz w:val="20"/>
          <w:szCs w:val="20"/>
          <w:color w:val="auto"/>
        </w:rPr>
      </w:pPr>
      <w:r>
        <w:rPr>
          <w:rFonts w:ascii="Arial" w:cs="Arial" w:eastAsia="Arial" w:hAnsi="Arial"/>
          <w:sz w:val="13"/>
          <w:szCs w:val="13"/>
          <w:color w:val="auto"/>
        </w:rPr>
        <w:t>3.13</w:t>
        <w:tab/>
        <w:t>[****]</w:t>
      </w:r>
    </w:p>
    <w:p>
      <w:pPr>
        <w:spacing w:after="0" w:line="96"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3.14</w:t>
      </w:r>
      <w:r>
        <w:rPr>
          <w:sz w:val="20"/>
          <w:szCs w:val="20"/>
          <w:color w:val="auto"/>
        </w:rPr>
        <w:tab/>
      </w:r>
      <w:r>
        <w:rPr>
          <w:rFonts w:ascii="Arial" w:cs="Arial" w:eastAsia="Arial" w:hAnsi="Arial"/>
          <w:sz w:val="11"/>
          <w:szCs w:val="11"/>
          <w:u w:val="single" w:color="auto"/>
          <w:color w:val="auto"/>
        </w:rPr>
        <w:t>Licensee’s Warranty</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The Licensee hereby represents, warrants and undertakes to the Licensor that:</w:t>
      </w:r>
    </w:p>
    <w:p>
      <w:pPr>
        <w:spacing w:after="0" w:line="86" w:lineRule="exact"/>
        <w:rPr>
          <w:sz w:val="20"/>
          <w:szCs w:val="20"/>
          <w:color w:val="auto"/>
        </w:rPr>
      </w:pPr>
    </w:p>
    <w:p>
      <w:pPr>
        <w:ind w:left="681" w:hanging="455"/>
        <w:spacing w:after="0"/>
        <w:tabs>
          <w:tab w:leader="none" w:pos="681" w:val="left"/>
        </w:tabs>
        <w:numPr>
          <w:ilvl w:val="1"/>
          <w:numId w:val="82"/>
        </w:numPr>
        <w:rPr>
          <w:rFonts w:ascii="Arial" w:cs="Arial" w:eastAsia="Arial" w:hAnsi="Arial"/>
          <w:sz w:val="13"/>
          <w:szCs w:val="13"/>
          <w:color w:val="auto"/>
        </w:rPr>
      </w:pPr>
      <w:r>
        <w:rPr>
          <w:rFonts w:ascii="Arial" w:cs="Arial" w:eastAsia="Arial" w:hAnsi="Arial"/>
          <w:sz w:val="13"/>
          <w:szCs w:val="13"/>
          <w:color w:val="auto"/>
        </w:rPr>
        <w:t>it has not knowingly withheld any papers, documents, information and/or other evidence relevant to the undertaking of the Royalty Report; and</w:t>
      </w:r>
    </w:p>
    <w:p>
      <w:pPr>
        <w:spacing w:after="0" w:line="96" w:lineRule="exact"/>
        <w:rPr>
          <w:rFonts w:ascii="Arial" w:cs="Arial" w:eastAsia="Arial" w:hAnsi="Arial"/>
          <w:sz w:val="13"/>
          <w:szCs w:val="13"/>
          <w:color w:val="auto"/>
        </w:rPr>
      </w:pPr>
    </w:p>
    <w:p>
      <w:pPr>
        <w:ind w:left="681" w:hanging="455"/>
        <w:spacing w:after="0" w:line="260" w:lineRule="auto"/>
        <w:tabs>
          <w:tab w:leader="none" w:pos="681"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papers, documents, information and other materials provided by the Licensee to PricewaterhouseCoopers LLP in connection with its preparation of the Royalty Report relating to Products sold by the Licensee (including information about the Net Sales Prices of Products sold by the Licensee) and Sub-licences entered into by the Licensee (including information provided by the Licensee about royalties, sub-licensing fees and other payments paid to the Licensee pursuant to such Sub-licences) are to the best of the knowledge and belief of the Licensee true, accurate, reliable and complete in all material respects.</w:t>
      </w:r>
    </w:p>
    <w:p>
      <w:pPr>
        <w:spacing w:after="0" w:line="55" w:lineRule="exact"/>
        <w:rPr>
          <w:rFonts w:ascii="Arial" w:cs="Arial" w:eastAsia="Arial" w:hAnsi="Arial"/>
          <w:sz w:val="13"/>
          <w:szCs w:val="13"/>
          <w:color w:val="auto"/>
        </w:rPr>
      </w:pPr>
    </w:p>
    <w:p>
      <w:pPr>
        <w:ind w:left="281" w:hanging="281"/>
        <w:spacing w:after="0"/>
        <w:tabs>
          <w:tab w:leader="none" w:pos="281"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MINIMUM PERFORMANCE REQUIREMENTS</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u w:val="single" w:color="auto"/>
          <w:color w:val="auto"/>
        </w:rPr>
        <w:t>Royalty Guarantee</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If for any Royalty Period the amount of Royalties paid to the Licensor under this Agreement is:</w:t>
      </w:r>
    </w:p>
    <w:p>
      <w:pPr>
        <w:spacing w:after="0" w:line="86" w:lineRule="exact"/>
        <w:rPr>
          <w:sz w:val="20"/>
          <w:szCs w:val="20"/>
          <w:color w:val="auto"/>
        </w:rPr>
      </w:pPr>
    </w:p>
    <w:p>
      <w:pPr>
        <w:ind w:left="901" w:hanging="449"/>
        <w:spacing w:after="0"/>
        <w:tabs>
          <w:tab w:leader="none" w:pos="901" w:val="left"/>
        </w:tabs>
        <w:numPr>
          <w:ilvl w:val="0"/>
          <w:numId w:val="84"/>
        </w:numPr>
        <w:rPr>
          <w:rFonts w:ascii="Arial" w:cs="Arial" w:eastAsia="Arial" w:hAnsi="Arial"/>
          <w:sz w:val="13"/>
          <w:szCs w:val="13"/>
          <w:color w:val="auto"/>
        </w:rPr>
      </w:pPr>
      <w:r>
        <w:rPr>
          <w:rFonts w:ascii="Arial" w:cs="Arial" w:eastAsia="Arial" w:hAnsi="Arial"/>
          <w:sz w:val="13"/>
          <w:szCs w:val="13"/>
          <w:color w:val="auto"/>
        </w:rPr>
        <w:t>less than [****]; or</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84"/>
        </w:numPr>
        <w:rPr>
          <w:rFonts w:ascii="Arial" w:cs="Arial" w:eastAsia="Arial" w:hAnsi="Arial"/>
          <w:sz w:val="13"/>
          <w:szCs w:val="13"/>
          <w:color w:val="auto"/>
        </w:rPr>
      </w:pPr>
      <w:r>
        <w:rPr>
          <w:rFonts w:ascii="Arial" w:cs="Arial" w:eastAsia="Arial" w:hAnsi="Arial"/>
          <w:sz w:val="13"/>
          <w:szCs w:val="13"/>
          <w:color w:val="auto"/>
        </w:rPr>
        <w:t>if the Royalty Period is less than one year, less than the proportion [****] which reflects the ratio of that royalty Period to one year,</w:t>
      </w:r>
    </w:p>
    <w:p>
      <w:pPr>
        <w:spacing w:after="0" w:line="86" w:lineRule="exact"/>
        <w:rPr>
          <w:sz w:val="20"/>
          <w:szCs w:val="20"/>
          <w:color w:val="auto"/>
        </w:rPr>
      </w:pPr>
    </w:p>
    <w:p>
      <w:pPr>
        <w:ind w:left="221" w:right="20"/>
        <w:spacing w:after="0" w:line="276" w:lineRule="auto"/>
        <w:rPr>
          <w:sz w:val="20"/>
          <w:szCs w:val="20"/>
          <w:color w:val="auto"/>
        </w:rPr>
      </w:pPr>
      <w:r>
        <w:rPr>
          <w:rFonts w:ascii="Arial" w:cs="Arial" w:eastAsia="Arial" w:hAnsi="Arial"/>
          <w:sz w:val="13"/>
          <w:szCs w:val="13"/>
          <w:color w:val="auto"/>
        </w:rPr>
        <w:t>the Licensee will, within thirty (30) days of the end of the relevant Royalty Period, pay to the Licensor the difference between the amount set down in paragraph (i) or (ii) of this Clause 4.1 (as the case may be) and the amount of Royalties actually paid to the Licensor in that Royalty Period.</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33" w:name="page134"/>
    <w:bookmarkEnd w:id="133"/>
    <w:p>
      <w:pPr>
        <w:ind w:left="281" w:hanging="281"/>
        <w:spacing w:after="0"/>
        <w:tabs>
          <w:tab w:leader="none" w:pos="281" w:val="left"/>
        </w:tabs>
        <w:numPr>
          <w:ilvl w:val="0"/>
          <w:numId w:val="85"/>
        </w:numPr>
        <w:rPr>
          <w:rFonts w:ascii="Arial" w:cs="Arial" w:eastAsia="Arial" w:hAnsi="Arial"/>
          <w:sz w:val="13"/>
          <w:szCs w:val="13"/>
          <w:color w:val="auto"/>
        </w:rPr>
      </w:pPr>
      <w:r>
        <w:rPr>
          <w:rFonts w:ascii="Arial" w:cs="Arial" w:eastAsia="Arial" w:hAnsi="Arial"/>
          <w:sz w:val="13"/>
          <w:szCs w:val="13"/>
          <w:b w:val="1"/>
          <w:bCs w:val="1"/>
          <w:color w:val="auto"/>
        </w:rPr>
        <w:t>PATENT APPLICATIONS</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u w:val="single" w:color="auto"/>
          <w:color w:val="auto"/>
        </w:rPr>
        <w:t>Patent Prosecution</w:t>
      </w:r>
    </w:p>
    <w:p>
      <w:pPr>
        <w:spacing w:after="0" w:line="96" w:lineRule="exact"/>
        <w:rPr>
          <w:sz w:val="20"/>
          <w:szCs w:val="20"/>
          <w:color w:val="auto"/>
        </w:rPr>
      </w:pPr>
    </w:p>
    <w:p>
      <w:pPr>
        <w:ind w:left="281" w:right="40"/>
        <w:spacing w:after="0" w:line="264" w:lineRule="auto"/>
        <w:rPr>
          <w:sz w:val="20"/>
          <w:szCs w:val="20"/>
          <w:color w:val="auto"/>
        </w:rPr>
      </w:pPr>
      <w:r>
        <w:rPr>
          <w:rFonts w:ascii="Arial" w:cs="Arial" w:eastAsia="Arial" w:hAnsi="Arial"/>
          <w:sz w:val="13"/>
          <w:szCs w:val="13"/>
          <w:color w:val="auto"/>
        </w:rPr>
        <w:t>For so long as the Licensee claims the exclusive license granted under Clause 2.1, the Licensor and the Licensee will consult together on action to be taken with regard to filing and the prosecution of Patent Applications and Project Applications in the Territory. The Parties will decide between them which Party will be responsible for conducting the prosecution of Patent Applications and Project Applications in each country within the Territory in which Patent Applications and Project Applications have been or may be made.</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Patents in name of Licensor</w:t>
      </w:r>
    </w:p>
    <w:p>
      <w:pPr>
        <w:spacing w:after="0" w:line="96" w:lineRule="exact"/>
        <w:rPr>
          <w:sz w:val="20"/>
          <w:szCs w:val="20"/>
          <w:color w:val="auto"/>
        </w:rPr>
      </w:pPr>
    </w:p>
    <w:p>
      <w:pPr>
        <w:ind w:left="281" w:right="280"/>
        <w:spacing w:after="0" w:line="264" w:lineRule="auto"/>
        <w:rPr>
          <w:sz w:val="20"/>
          <w:szCs w:val="20"/>
          <w:color w:val="auto"/>
        </w:rPr>
      </w:pPr>
      <w:r>
        <w:rPr>
          <w:rFonts w:ascii="Arial" w:cs="Arial" w:eastAsia="Arial" w:hAnsi="Arial"/>
          <w:sz w:val="13"/>
          <w:szCs w:val="13"/>
          <w:color w:val="auto"/>
        </w:rPr>
        <w:t>Unless otherwise agreed between the Parties or unless otherwise required by the legislation of a particular country in which a Patent Application or Project Applications may be made, all patents will, unless otherwise agreed in writing between the parties, be prosecuted in the name of the Licensor and the Parties will make all reasonable efforts to ensure that all documents and things are executed and done by the Parties or their employees, agents or representatives to secure the grant of patent in the name of the Licensor.</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2"/>
          <w:szCs w:val="12"/>
          <w:u w:val="single" w:color="auto"/>
          <w:color w:val="auto"/>
        </w:rPr>
        <w:t>Due Diligence in Prosecuting Applications</w:t>
      </w:r>
    </w:p>
    <w:p>
      <w:pPr>
        <w:spacing w:after="0" w:line="96" w:lineRule="exact"/>
        <w:rPr>
          <w:sz w:val="20"/>
          <w:szCs w:val="20"/>
          <w:color w:val="auto"/>
        </w:rPr>
      </w:pPr>
    </w:p>
    <w:p>
      <w:pPr>
        <w:ind w:left="281" w:right="40"/>
        <w:spacing w:after="0" w:line="264" w:lineRule="auto"/>
        <w:rPr>
          <w:sz w:val="20"/>
          <w:szCs w:val="20"/>
          <w:color w:val="auto"/>
        </w:rPr>
      </w:pPr>
      <w:r>
        <w:rPr>
          <w:rFonts w:ascii="Arial" w:cs="Arial" w:eastAsia="Arial" w:hAnsi="Arial"/>
          <w:sz w:val="13"/>
          <w:szCs w:val="13"/>
          <w:color w:val="auto"/>
        </w:rPr>
        <w:t>Each Party will use all reasonable efforts and exercise due diligence in prosecuting any Patent Application and Project Application for which it may have responsibility under Clause 5.1 in full accordance with all the relevant laws and requirements of the country concerned and each will keep the other informed of all official actions and responses arising out of the prosecution of that Patent Application and Project Application.</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1"/>
          <w:szCs w:val="11"/>
          <w:u w:val="single" w:color="auto"/>
          <w:color w:val="auto"/>
        </w:rPr>
        <w:t>Costs of Patent Prosecution</w:t>
      </w:r>
    </w:p>
    <w:p>
      <w:pPr>
        <w:spacing w:after="0" w:line="96" w:lineRule="exact"/>
        <w:rPr>
          <w:sz w:val="20"/>
          <w:szCs w:val="20"/>
          <w:color w:val="auto"/>
        </w:rPr>
      </w:pPr>
    </w:p>
    <w:p>
      <w:pPr>
        <w:jc w:val="both"/>
        <w:ind w:left="281"/>
        <w:spacing w:after="0" w:line="264" w:lineRule="auto"/>
        <w:rPr>
          <w:sz w:val="20"/>
          <w:szCs w:val="20"/>
          <w:color w:val="auto"/>
        </w:rPr>
      </w:pPr>
      <w:r>
        <w:rPr>
          <w:rFonts w:ascii="Arial" w:cs="Arial" w:eastAsia="Arial" w:hAnsi="Arial"/>
          <w:sz w:val="13"/>
          <w:szCs w:val="13"/>
          <w:color w:val="auto"/>
        </w:rPr>
        <w:t>For so long as the Licensee retains the exclusive licence granted under Clause 2.1, the Licensor will have the right to reimbursement of all expenses it may incur after the date of this Agreement in connection with the prosecution of ally Patent Application, Patent, Project Application and Project Patent in the Territory, unless otherwise agreed by the parties in writing or the Licensee has previously notified the Licensor of the Licensee’s objection to a course of action to which such expenditure may relate.</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1"/>
          <w:szCs w:val="11"/>
          <w:u w:val="single" w:color="auto"/>
          <w:color w:val="auto"/>
        </w:rPr>
        <w:t>Parties to Assist In Prosecution</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The Licensor and Licensee each agree to give the other all reasonable assistance in prosecuting Patent Applications and Project Applications for which the other may be responsible.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134" w:name="page135"/>
    <w:bookmarkEnd w:id="134"/>
    <w:p>
      <w:pPr>
        <w:ind w:left="281" w:hanging="281"/>
        <w:spacing w:after="0"/>
        <w:tabs>
          <w:tab w:leader="none" w:pos="281" w:val="left"/>
        </w:tabs>
        <w:numPr>
          <w:ilvl w:val="0"/>
          <w:numId w:val="86"/>
        </w:numPr>
        <w:rPr>
          <w:rFonts w:ascii="Arial" w:cs="Arial" w:eastAsia="Arial" w:hAnsi="Arial"/>
          <w:sz w:val="13"/>
          <w:szCs w:val="13"/>
          <w:color w:val="auto"/>
        </w:rPr>
      </w:pPr>
      <w:r>
        <w:rPr>
          <w:rFonts w:ascii="Arial" w:cs="Arial" w:eastAsia="Arial" w:hAnsi="Arial"/>
          <w:sz w:val="13"/>
          <w:szCs w:val="13"/>
          <w:b w:val="1"/>
          <w:bCs w:val="1"/>
          <w:color w:val="auto"/>
        </w:rPr>
        <w:t>REGISTRATION</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1"/>
          <w:szCs w:val="11"/>
          <w:u w:val="single" w:color="auto"/>
          <w:color w:val="auto"/>
        </w:rPr>
        <w:t>Registration of Licensee</w:t>
      </w:r>
    </w:p>
    <w:p>
      <w:pPr>
        <w:spacing w:after="0" w:line="96" w:lineRule="exact"/>
        <w:rPr>
          <w:sz w:val="20"/>
          <w:szCs w:val="20"/>
          <w:color w:val="auto"/>
        </w:rPr>
      </w:pPr>
    </w:p>
    <w:p>
      <w:pPr>
        <w:jc w:val="both"/>
        <w:ind w:left="281" w:right="200"/>
        <w:spacing w:after="0" w:line="264" w:lineRule="auto"/>
        <w:rPr>
          <w:sz w:val="20"/>
          <w:szCs w:val="20"/>
          <w:color w:val="auto"/>
        </w:rPr>
      </w:pPr>
      <w:r>
        <w:rPr>
          <w:rFonts w:ascii="Arial" w:cs="Arial" w:eastAsia="Arial" w:hAnsi="Arial"/>
          <w:sz w:val="13"/>
          <w:szCs w:val="13"/>
          <w:color w:val="auto"/>
        </w:rPr>
        <w:t>The Licensee may at any time during the currency of this Agreement request the Licensor to grant or procure the registered patentee to grant to the Licensee formal licences in respect of any of the Patents and Project Patents in a form that complies with the requirements of law and public authorities in each part of the Territory to enable the Licensee at its expense, to become duly registered as the Licensee under the Patents and Project Patents.</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1"/>
          <w:szCs w:val="11"/>
          <w:u w:val="single" w:color="auto"/>
          <w:color w:val="auto"/>
        </w:rPr>
        <w:t>Cost of Registration</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2"/>
          <w:szCs w:val="12"/>
          <w:color w:val="auto"/>
        </w:rPr>
        <w:t>The Licensee hereby undertakes to bear all costs and expenses incurred in the grant and registration of formal licences in respect of the Patents and Project Patents to the Licensee pursuant to Clause 6.1.</w:t>
      </w:r>
    </w:p>
    <w:p>
      <w:pPr>
        <w:spacing w:after="0" w:line="104" w:lineRule="exact"/>
        <w:rPr>
          <w:sz w:val="20"/>
          <w:szCs w:val="20"/>
          <w:color w:val="auto"/>
        </w:rPr>
      </w:pPr>
    </w:p>
    <w:p>
      <w:pPr>
        <w:ind w:left="281" w:hanging="281"/>
        <w:spacing w:after="0"/>
        <w:tabs>
          <w:tab w:leader="none" w:pos="281" w:val="left"/>
        </w:tabs>
        <w:numPr>
          <w:ilvl w:val="0"/>
          <w:numId w:val="87"/>
        </w:numPr>
        <w:rPr>
          <w:rFonts w:ascii="Arial" w:cs="Arial" w:eastAsia="Arial" w:hAnsi="Arial"/>
          <w:sz w:val="13"/>
          <w:szCs w:val="13"/>
          <w:color w:val="auto"/>
        </w:rPr>
      </w:pPr>
      <w:r>
        <w:rPr>
          <w:rFonts w:ascii="Arial" w:cs="Arial" w:eastAsia="Arial" w:hAnsi="Arial"/>
          <w:sz w:val="13"/>
          <w:szCs w:val="13"/>
          <w:b w:val="1"/>
          <w:bCs w:val="1"/>
          <w:color w:val="auto"/>
        </w:rPr>
        <w:t>CONSULTATION AND CO-OPERATION</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1"/>
          <w:szCs w:val="11"/>
          <w:u w:val="single" w:color="auto"/>
          <w:color w:val="auto"/>
        </w:rPr>
        <w:t>Project consultation</w:t>
      </w:r>
    </w:p>
    <w:p>
      <w:pPr>
        <w:spacing w:after="0" w:line="96" w:lineRule="exact"/>
        <w:rPr>
          <w:sz w:val="20"/>
          <w:szCs w:val="20"/>
          <w:color w:val="auto"/>
        </w:rPr>
      </w:pPr>
    </w:p>
    <w:p>
      <w:pPr>
        <w:ind w:left="281"/>
        <w:spacing w:after="0" w:line="264" w:lineRule="auto"/>
        <w:rPr>
          <w:sz w:val="20"/>
          <w:szCs w:val="20"/>
          <w:color w:val="auto"/>
        </w:rPr>
      </w:pPr>
      <w:r>
        <w:rPr>
          <w:rFonts w:ascii="Arial" w:cs="Arial" w:eastAsia="Arial" w:hAnsi="Arial"/>
          <w:sz w:val="13"/>
          <w:szCs w:val="13"/>
          <w:color w:val="auto"/>
        </w:rPr>
        <w:t>On and from the Agreed Date and during the conduct of the Projects the Parties will meet on a regular basis (at least twice yearly), at a time and place to be mutually agreed between the parties, to discuss progress with respect to the Projects. During the period intervening between such meetings of the Parties in relation to the Projects, each Party will use its reasonable endeavours to keep the other Party informed of any arising Project Results as soon as reasonably practicable following the invention or discovery of any Project Results relevant to any Project.</w:t>
      </w:r>
    </w:p>
    <w:p>
      <w:pPr>
        <w:spacing w:after="0" w:line="67"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1"/>
          <w:szCs w:val="11"/>
          <w:u w:val="single" w:color="auto"/>
          <w:color w:val="auto"/>
        </w:rPr>
        <w:t>Co-operation generally</w:t>
      </w:r>
    </w:p>
    <w:p>
      <w:pPr>
        <w:spacing w:after="0" w:line="96" w:lineRule="exact"/>
        <w:rPr>
          <w:sz w:val="20"/>
          <w:szCs w:val="20"/>
          <w:color w:val="auto"/>
        </w:rPr>
      </w:pPr>
    </w:p>
    <w:p>
      <w:pPr>
        <w:ind w:left="281"/>
        <w:spacing w:after="0"/>
        <w:rPr>
          <w:sz w:val="20"/>
          <w:szCs w:val="20"/>
          <w:color w:val="auto"/>
        </w:rPr>
      </w:pPr>
      <w:r>
        <w:rPr>
          <w:rFonts w:ascii="Arial" w:cs="Arial" w:eastAsia="Arial" w:hAnsi="Arial"/>
          <w:sz w:val="13"/>
          <w:szCs w:val="13"/>
          <w:color w:val="auto"/>
        </w:rPr>
        <w:t>On and from the Agreed Date, the parties will co-operate in good faith with a view to developing a mutually beneficial relationship between the parties on an ongoing basis.</w:t>
      </w:r>
    </w:p>
    <w:p>
      <w:pPr>
        <w:spacing w:after="0" w:line="92" w:lineRule="exact"/>
        <w:rPr>
          <w:sz w:val="20"/>
          <w:szCs w:val="20"/>
          <w:color w:val="auto"/>
        </w:rPr>
      </w:pPr>
    </w:p>
    <w:p>
      <w:pPr>
        <w:ind w:left="281" w:hanging="281"/>
        <w:spacing w:after="0"/>
        <w:tabs>
          <w:tab w:leader="none" w:pos="281" w:val="left"/>
        </w:tabs>
        <w:numPr>
          <w:ilvl w:val="0"/>
          <w:numId w:val="88"/>
        </w:numPr>
        <w:rPr>
          <w:rFonts w:ascii="Arial" w:cs="Arial" w:eastAsia="Arial" w:hAnsi="Arial"/>
          <w:sz w:val="13"/>
          <w:szCs w:val="13"/>
          <w:color w:val="auto"/>
        </w:rPr>
      </w:pPr>
      <w:r>
        <w:rPr>
          <w:rFonts w:ascii="Arial" w:cs="Arial" w:eastAsia="Arial" w:hAnsi="Arial"/>
          <w:sz w:val="13"/>
          <w:szCs w:val="13"/>
          <w:b w:val="1"/>
          <w:bCs w:val="1"/>
          <w:color w:val="auto"/>
        </w:rPr>
        <w:t>ADDITIONAL LICENCES</w:t>
      </w:r>
    </w:p>
    <w:p>
      <w:pPr>
        <w:spacing w:after="0" w:line="100"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1"/>
          <w:szCs w:val="11"/>
          <w:u w:val="single" w:color="auto"/>
          <w:color w:val="auto"/>
        </w:rPr>
        <w:t>Licensee’s Enhancements Property of Licensee</w:t>
      </w:r>
    </w:p>
    <w:p>
      <w:pPr>
        <w:spacing w:after="0" w:line="96" w:lineRule="exact"/>
        <w:rPr>
          <w:sz w:val="20"/>
          <w:szCs w:val="20"/>
          <w:color w:val="auto"/>
        </w:rPr>
      </w:pPr>
    </w:p>
    <w:p>
      <w:pPr>
        <w:ind w:left="281" w:right="160"/>
        <w:spacing w:after="0" w:line="264" w:lineRule="auto"/>
        <w:rPr>
          <w:sz w:val="20"/>
          <w:szCs w:val="20"/>
          <w:color w:val="auto"/>
        </w:rPr>
      </w:pPr>
      <w:r>
        <w:rPr>
          <w:rFonts w:ascii="Arial" w:cs="Arial" w:eastAsia="Arial" w:hAnsi="Arial"/>
          <w:sz w:val="13"/>
          <w:szCs w:val="13"/>
          <w:color w:val="auto"/>
        </w:rPr>
        <w:t>All enhancements and improvements to the Licensed Rights originated, developed or invented by the Licensee, and all unpatentable and patentable inventions, secret processes, formulae, technical information, expertise, practice, experience, skill and technical knowledge relating to the Field which is originated, developed or invented by the Licensee and which the Licensee is entitled to own (the “Licensee’s technology”) will vest in and be the property of the Licensee.</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16" w:right="279" w:bottom="1440" w:gutter="0" w:footer="0" w:header="0"/>
        </w:sectPr>
      </w:pPr>
    </w:p>
    <w:bookmarkStart w:id="135" w:name="page136"/>
    <w:bookmarkEnd w:id="135"/>
    <w:p>
      <w:pPr>
        <w:ind w:left="1"/>
        <w:spacing w:after="0"/>
        <w:tabs>
          <w:tab w:leader="none" w:pos="261"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1"/>
          <w:szCs w:val="11"/>
          <w:u w:val="single" w:color="auto"/>
          <w:color w:val="auto"/>
        </w:rPr>
        <w:t>Non- Exclusive Licenses to Licensor</w:t>
      </w:r>
    </w:p>
    <w:p>
      <w:pPr>
        <w:spacing w:after="0" w:line="86" w:lineRule="exact"/>
        <w:rPr>
          <w:sz w:val="20"/>
          <w:szCs w:val="20"/>
          <w:color w:val="auto"/>
        </w:rPr>
      </w:pPr>
    </w:p>
    <w:p>
      <w:pPr>
        <w:ind w:left="681" w:right="400" w:hanging="455"/>
        <w:spacing w:after="0" w:line="276" w:lineRule="auto"/>
        <w:tabs>
          <w:tab w:leader="none" w:pos="681"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 consideration of the agreements of the Licensor in this Agreement, the Licensee by this Agreement hereby grants to the Licensor, with effect from 31 March 1994 and for the duration of the Term: [****].</w:t>
      </w:r>
    </w:p>
    <w:p>
      <w:pPr>
        <w:spacing w:after="0" w:line="4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1"/>
          <w:szCs w:val="11"/>
          <w:u w:val="single" w:color="auto"/>
          <w:color w:val="auto"/>
        </w:rPr>
        <w:t>Revenues from third parties</w:t>
      </w:r>
    </w:p>
    <w:p>
      <w:pPr>
        <w:spacing w:after="0" w:line="96" w:lineRule="exact"/>
        <w:rPr>
          <w:sz w:val="20"/>
          <w:szCs w:val="20"/>
          <w:color w:val="auto"/>
        </w:rPr>
      </w:pPr>
    </w:p>
    <w:p>
      <w:pPr>
        <w:ind w:left="341" w:right="20"/>
        <w:spacing w:after="0" w:line="264" w:lineRule="auto"/>
        <w:rPr>
          <w:sz w:val="20"/>
          <w:szCs w:val="20"/>
          <w:color w:val="auto"/>
        </w:rPr>
      </w:pPr>
      <w:r>
        <w:rPr>
          <w:rFonts w:ascii="Arial" w:cs="Arial" w:eastAsia="Arial" w:hAnsi="Arial"/>
          <w:sz w:val="13"/>
          <w:szCs w:val="13"/>
          <w:color w:val="auto"/>
        </w:rPr>
        <w:t>In the event that Licensor receives a request from a commercial entity regarding use of the Licensed Rights, the Licensor shall make them aware of the nature of the terms of this Agreement in advance of any research being conducted. In the event that such commercial entity requires a licence to the Licensed Rights, the Licensor shall promptly advise the relevant third party to contact Hugh Ilyine (or such replacement Chief Operating Officer of the Licensee as may be notified to the Licensor in writing from time to time), of the Licensee.</w:t>
      </w:r>
    </w:p>
    <w:p>
      <w:pPr>
        <w:spacing w:after="0" w:line="63" w:lineRule="exact"/>
        <w:rPr>
          <w:sz w:val="20"/>
          <w:szCs w:val="20"/>
          <w:color w:val="auto"/>
        </w:rPr>
      </w:pPr>
    </w:p>
    <w:p>
      <w:pPr>
        <w:ind w:left="341" w:hanging="341"/>
        <w:spacing w:after="0"/>
        <w:tabs>
          <w:tab w:leader="none" w:pos="341" w:val="left"/>
        </w:tabs>
        <w:numPr>
          <w:ilvl w:val="0"/>
          <w:numId w:val="90"/>
        </w:numPr>
        <w:rPr>
          <w:rFonts w:ascii="Arial" w:cs="Arial" w:eastAsia="Arial" w:hAnsi="Arial"/>
          <w:sz w:val="13"/>
          <w:szCs w:val="13"/>
          <w:color w:val="auto"/>
        </w:rPr>
      </w:pPr>
      <w:r>
        <w:rPr>
          <w:rFonts w:ascii="Arial" w:cs="Arial" w:eastAsia="Arial" w:hAnsi="Arial"/>
          <w:sz w:val="13"/>
          <w:szCs w:val="13"/>
          <w:b w:val="1"/>
          <w:bCs w:val="1"/>
          <w:color w:val="auto"/>
        </w:rPr>
        <w:t>STANDARDS OF MANUFACTURE AND LABELLING</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1"/>
          <w:szCs w:val="11"/>
          <w:u w:val="single" w:color="auto"/>
          <w:color w:val="auto"/>
        </w:rPr>
        <w:t>Compliance with Standards</w:t>
      </w:r>
    </w:p>
    <w:p>
      <w:pPr>
        <w:spacing w:after="0" w:line="96" w:lineRule="exact"/>
        <w:rPr>
          <w:sz w:val="20"/>
          <w:szCs w:val="20"/>
          <w:color w:val="auto"/>
        </w:rPr>
      </w:pPr>
    </w:p>
    <w:p>
      <w:pPr>
        <w:ind w:left="341"/>
        <w:spacing w:after="0" w:line="276" w:lineRule="auto"/>
        <w:rPr>
          <w:sz w:val="20"/>
          <w:szCs w:val="20"/>
          <w:color w:val="auto"/>
        </w:rPr>
      </w:pPr>
      <w:r>
        <w:rPr>
          <w:rFonts w:ascii="Arial" w:cs="Arial" w:eastAsia="Arial" w:hAnsi="Arial"/>
          <w:sz w:val="13"/>
          <w:szCs w:val="13"/>
          <w:color w:val="auto"/>
        </w:rPr>
        <w:t>The Licensee will manufacture the Products so that each one meets the requirements and specifications of any applicable standards set forth by the country and the part of the Territory where the particular Product is to be sold and the Licensee shall not sell any Products that do not meet such specifications and requirements.</w:t>
      </w:r>
    </w:p>
    <w:p>
      <w:pPr>
        <w:spacing w:after="0" w:line="5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u w:val="single" w:color="auto"/>
          <w:color w:val="auto"/>
        </w:rPr>
        <w:t>Indemnity</w:t>
      </w:r>
    </w:p>
    <w:p>
      <w:pPr>
        <w:spacing w:after="0" w:line="96" w:lineRule="exact"/>
        <w:rPr>
          <w:sz w:val="20"/>
          <w:szCs w:val="20"/>
          <w:color w:val="auto"/>
        </w:rPr>
      </w:pPr>
    </w:p>
    <w:p>
      <w:pPr>
        <w:ind w:left="341" w:right="380"/>
        <w:spacing w:after="0" w:line="276" w:lineRule="auto"/>
        <w:rPr>
          <w:sz w:val="20"/>
          <w:szCs w:val="20"/>
          <w:color w:val="auto"/>
        </w:rPr>
      </w:pPr>
      <w:r>
        <w:rPr>
          <w:rFonts w:ascii="Arial" w:cs="Arial" w:eastAsia="Arial" w:hAnsi="Arial"/>
          <w:sz w:val="13"/>
          <w:szCs w:val="13"/>
          <w:color w:val="auto"/>
        </w:rPr>
        <w:t>The Licensee will keep the Licensor indemnified against all damages, costs or expenses, including legal costs, in respect of all claims, demands, actions, proceedings or prosecutions which may be brought, commenced or prosecuted against the Licensor in consequence or relating to or arising out of the manufacture, sale or commercial utilisation of the Products.</w:t>
      </w:r>
    </w:p>
    <w:p>
      <w:pPr>
        <w:spacing w:after="0" w:line="5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1"/>
          <w:szCs w:val="11"/>
          <w:u w:val="single" w:color="auto"/>
          <w:color w:val="auto"/>
        </w:rPr>
        <w:t>Insurance</w:t>
      </w:r>
    </w:p>
    <w:p>
      <w:pPr>
        <w:spacing w:after="0" w:line="96" w:lineRule="exact"/>
        <w:rPr>
          <w:sz w:val="20"/>
          <w:szCs w:val="20"/>
          <w:color w:val="auto"/>
        </w:rPr>
      </w:pPr>
    </w:p>
    <w:p>
      <w:pPr>
        <w:ind w:left="341" w:right="120"/>
        <w:spacing w:after="0" w:line="320" w:lineRule="auto"/>
        <w:rPr>
          <w:sz w:val="20"/>
          <w:szCs w:val="20"/>
          <w:color w:val="auto"/>
        </w:rPr>
      </w:pPr>
      <w:r>
        <w:rPr>
          <w:rFonts w:ascii="Arial" w:cs="Arial" w:eastAsia="Arial" w:hAnsi="Arial"/>
          <w:sz w:val="12"/>
          <w:szCs w:val="12"/>
          <w:color w:val="auto"/>
        </w:rPr>
        <w:t>In the event that such insurance is available at commercially reasonable rates, the Licensee will at all times following first commercial sale of Product maintain and keep current in respect of its manufacture and sale of the Products, product liability insurance obtained from a reputable insurer and shall make available to the Licensor such policy for inspection upon request by the Licensor.</w:t>
      </w:r>
    </w:p>
    <w:p>
      <w:pPr>
        <w:spacing w:after="0" w:line="31" w:lineRule="exact"/>
        <w:rPr>
          <w:sz w:val="20"/>
          <w:szCs w:val="20"/>
          <w:color w:val="auto"/>
        </w:rPr>
      </w:pPr>
    </w:p>
    <w:p>
      <w:pPr>
        <w:ind w:left="341" w:hanging="341"/>
        <w:spacing w:after="0"/>
        <w:tabs>
          <w:tab w:leader="none" w:pos="341"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SECRECY OBLIGATIONS</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u w:val="single" w:color="auto"/>
          <w:color w:val="auto"/>
        </w:rPr>
        <w:t>Confidentiality</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Subject to Clause 10.2 each Party undertakes to the other Party to maintain in confidence all Confidential Information received from the other and to ensure that its employees,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6" w:name="page137"/>
    <w:bookmarkEnd w:id="136"/>
    <w:p>
      <w:pPr>
        <w:ind w:left="341"/>
        <w:spacing w:after="0"/>
        <w:rPr>
          <w:sz w:val="20"/>
          <w:szCs w:val="20"/>
          <w:color w:val="auto"/>
        </w:rPr>
      </w:pPr>
      <w:r>
        <w:rPr>
          <w:rFonts w:ascii="Arial" w:cs="Arial" w:eastAsia="Arial" w:hAnsi="Arial"/>
          <w:sz w:val="13"/>
          <w:szCs w:val="13"/>
          <w:color w:val="auto"/>
        </w:rPr>
        <w:t>agents, contractors, sub-contractors, solicitors and other advisers keep such Confidential Information confidential.</w:t>
      </w:r>
    </w:p>
    <w:p>
      <w:pPr>
        <w:spacing w:after="0" w:line="96"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u w:val="single" w:color="auto"/>
          <w:color w:val="auto"/>
        </w:rPr>
        <w:t>Exceptions</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A Party (the “recipient”) may reveal Confidential Information of the other Party (the “provider”) which the recipient establishes:</w:t>
      </w:r>
    </w:p>
    <w:p>
      <w:pPr>
        <w:spacing w:after="0" w:line="86" w:lineRule="exact"/>
        <w:rPr>
          <w:sz w:val="20"/>
          <w:szCs w:val="20"/>
          <w:color w:val="auto"/>
        </w:rPr>
      </w:pPr>
    </w:p>
    <w:p>
      <w:pPr>
        <w:ind w:left="681" w:hanging="455"/>
        <w:spacing w:after="0" w:line="276" w:lineRule="auto"/>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color w:val="auto"/>
        </w:rPr>
        <w:t>if required by law to be revealed, provided that the recipient immediately provides the provider of the requirement and takes lawful steps and permits the provider to oppose or restrict such disclosure to preserve as far as possible the confidentiality of the Confidential Information;</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color w:val="auto"/>
        </w:rPr>
        <w:t>which is in or enters the public domain other than through a breach of this Agreement; or</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color w:val="auto"/>
        </w:rPr>
        <w:t>is revealed to a sub-licensee under a Sub-licence which complies in all respects with the provisions of this Agreement including, without limitation, the provisions of Clause 2.3; and</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color w:val="auto"/>
        </w:rPr>
        <w:t>was known to the recipient before its disclosure by the provider; or</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color w:val="auto"/>
        </w:rPr>
        <w:t>is furnished to the recipient by a Third Party legally entitled to furnish such information and not under an obligation of confidentiality to the provider.</w:t>
      </w:r>
    </w:p>
    <w:p>
      <w:pPr>
        <w:spacing w:after="0" w:line="82" w:lineRule="exact"/>
        <w:rPr>
          <w:rFonts w:ascii="Arial" w:cs="Arial" w:eastAsia="Arial" w:hAnsi="Arial"/>
          <w:sz w:val="13"/>
          <w:szCs w:val="13"/>
          <w:color w:val="auto"/>
        </w:rPr>
      </w:pPr>
    </w:p>
    <w:p>
      <w:pPr>
        <w:ind w:left="341" w:hanging="341"/>
        <w:spacing w:after="0"/>
        <w:tabs>
          <w:tab w:leader="none" w:pos="341" w:val="left"/>
        </w:tabs>
        <w:numPr>
          <w:ilvl w:val="0"/>
          <w:numId w:val="93"/>
        </w:numPr>
        <w:rPr>
          <w:rFonts w:ascii="Arial" w:cs="Arial" w:eastAsia="Arial" w:hAnsi="Arial"/>
          <w:sz w:val="13"/>
          <w:szCs w:val="13"/>
          <w:color w:val="auto"/>
        </w:rPr>
      </w:pPr>
      <w:r>
        <w:rPr>
          <w:rFonts w:ascii="Arial" w:cs="Arial" w:eastAsia="Arial" w:hAnsi="Arial"/>
          <w:sz w:val="13"/>
          <w:szCs w:val="13"/>
          <w:b w:val="1"/>
          <w:bCs w:val="1"/>
          <w:color w:val="auto"/>
        </w:rPr>
        <w:t>LICENSOR’S WARRANTIES</w:t>
      </w:r>
    </w:p>
    <w:p>
      <w:pPr>
        <w:spacing w:after="0" w:line="200" w:lineRule="exact"/>
        <w:rPr>
          <w:sz w:val="20"/>
          <w:szCs w:val="20"/>
          <w:color w:val="auto"/>
        </w:rPr>
      </w:pPr>
    </w:p>
    <w:p>
      <w:pPr>
        <w:spacing w:after="0" w:line="382" w:lineRule="exact"/>
        <w:rPr>
          <w:sz w:val="20"/>
          <w:szCs w:val="20"/>
          <w:color w:val="auto"/>
        </w:rPr>
      </w:pPr>
    </w:p>
    <w:p>
      <w:pPr>
        <w:ind w:left="681" w:hanging="455"/>
        <w:spacing w:after="0"/>
        <w:tabs>
          <w:tab w:leader="none" w:pos="681" w:val="left"/>
        </w:tabs>
        <w:numPr>
          <w:ilvl w:val="0"/>
          <w:numId w:val="94"/>
        </w:numPr>
        <w:rPr>
          <w:rFonts w:ascii="Arial" w:cs="Arial" w:eastAsia="Arial" w:hAnsi="Arial"/>
          <w:sz w:val="13"/>
          <w:szCs w:val="13"/>
          <w:color w:val="auto"/>
        </w:rPr>
      </w:pPr>
      <w:r>
        <w:rPr>
          <w:rFonts w:ascii="Arial" w:cs="Arial" w:eastAsia="Arial" w:hAnsi="Arial"/>
          <w:sz w:val="13"/>
          <w:szCs w:val="13"/>
          <w:color w:val="auto"/>
        </w:rPr>
        <w:t>neither the execution of this Agreement, nor the performance by the Licensor of its obligations will cause it to be in breach of any agreement to which it is a party or is subject;</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94"/>
        </w:numPr>
        <w:rPr>
          <w:rFonts w:ascii="Arial" w:cs="Arial" w:eastAsia="Arial" w:hAnsi="Arial"/>
          <w:sz w:val="12"/>
          <w:szCs w:val="12"/>
          <w:color w:val="auto"/>
        </w:rPr>
      </w:pPr>
      <w:r>
        <w:rPr>
          <w:rFonts w:ascii="Arial" w:cs="Arial" w:eastAsia="Arial" w:hAnsi="Arial"/>
          <w:sz w:val="12"/>
          <w:szCs w:val="12"/>
          <w:color w:val="auto"/>
        </w:rPr>
        <w:t>except as may otherwise be expressly notified to the Licensee in writing, the Licensor has and for the duration of this Agreement will continue to have full right and title to the Existing Rights;</w:t>
      </w:r>
    </w:p>
    <w:p>
      <w:pPr>
        <w:spacing w:after="0" w:line="107" w:lineRule="exact"/>
        <w:rPr>
          <w:rFonts w:ascii="Arial" w:cs="Arial" w:eastAsia="Arial" w:hAnsi="Arial"/>
          <w:sz w:val="12"/>
          <w:szCs w:val="12"/>
          <w:color w:val="auto"/>
        </w:rPr>
      </w:pPr>
    </w:p>
    <w:p>
      <w:pPr>
        <w:ind w:left="681" w:right="20" w:hanging="455"/>
        <w:spacing w:after="0" w:line="276" w:lineRule="auto"/>
        <w:tabs>
          <w:tab w:leader="none" w:pos="681"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Licensor is entitled to make all Patent Applications which it has made, and the Licensor has not made knowing use of any intellectual property or other rights of any Third Party in the making of the Patent Applications;</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0"/>
          <w:numId w:val="94"/>
        </w:numPr>
        <w:rPr>
          <w:rFonts w:ascii="Arial" w:cs="Arial" w:eastAsia="Arial" w:hAnsi="Arial"/>
          <w:sz w:val="12"/>
          <w:szCs w:val="12"/>
          <w:color w:val="auto"/>
        </w:rPr>
      </w:pPr>
      <w:r>
        <w:rPr>
          <w:rFonts w:ascii="Arial" w:cs="Arial" w:eastAsia="Arial" w:hAnsi="Arial"/>
          <w:sz w:val="12"/>
          <w:szCs w:val="12"/>
          <w:color w:val="auto"/>
        </w:rPr>
        <w:t>all Patent Applications filed by the Licensor at the date of this Agreement have to the best of the knowledge of the Licensor been made in the prescribed form and in the prescribed manner;</w:t>
      </w:r>
    </w:p>
    <w:p>
      <w:pPr>
        <w:spacing w:after="0" w:line="157"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1"/>
          </w:cols>
          <w:pgMar w:left="219" w:top="720" w:right="459" w:bottom="1440" w:gutter="0" w:footer="0" w:header="0"/>
        </w:sectPr>
      </w:pPr>
    </w:p>
    <w:bookmarkStart w:id="137" w:name="page138"/>
    <w:bookmarkEnd w:id="137"/>
    <w:p>
      <w:pPr>
        <w:ind w:left="681" w:right="380" w:hanging="455"/>
        <w:spacing w:after="0" w:line="276" w:lineRule="auto"/>
        <w:tabs>
          <w:tab w:leader="none" w:pos="681"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Existing Rights include or will include all technology owned by or registered in the name of the Licensor or to which the Licensor is beneficially entitled in or relating to the Field and possessed, invented, developed or acquired by or for the Centre; and</w:t>
      </w:r>
    </w:p>
    <w:p>
      <w:pPr>
        <w:spacing w:after="0" w:line="59" w:lineRule="exact"/>
        <w:rPr>
          <w:rFonts w:ascii="Arial" w:cs="Arial" w:eastAsia="Arial" w:hAnsi="Arial"/>
          <w:sz w:val="13"/>
          <w:szCs w:val="13"/>
          <w:color w:val="auto"/>
        </w:rPr>
      </w:pPr>
    </w:p>
    <w:p>
      <w:pPr>
        <w:ind w:left="681" w:hanging="455"/>
        <w:spacing w:after="0" w:line="276" w:lineRule="auto"/>
        <w:tabs>
          <w:tab w:leader="none" w:pos="681"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 Inventions, Information, Know-how and Improvements comprised in the Existing Rights and supplied to the Licensee by the Licensor will be to the best of the knowledge and belief of the Licensor true, accurate, reliable and up-to-date.</w:t>
      </w:r>
    </w:p>
    <w:p>
      <w:pPr>
        <w:spacing w:after="0" w:line="4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2"/>
          <w:szCs w:val="12"/>
          <w:u w:val="single" w:color="auto"/>
          <w:color w:val="auto"/>
        </w:rPr>
        <w:t>Indemnity</w:t>
      </w:r>
    </w:p>
    <w:p>
      <w:pPr>
        <w:spacing w:after="0" w:line="96" w:lineRule="exact"/>
        <w:rPr>
          <w:sz w:val="20"/>
          <w:szCs w:val="20"/>
          <w:color w:val="auto"/>
        </w:rPr>
      </w:pPr>
    </w:p>
    <w:p>
      <w:pPr>
        <w:ind w:left="341"/>
        <w:spacing w:after="0" w:line="264" w:lineRule="auto"/>
        <w:rPr>
          <w:sz w:val="20"/>
          <w:szCs w:val="20"/>
          <w:color w:val="auto"/>
        </w:rPr>
      </w:pPr>
      <w:r>
        <w:rPr>
          <w:rFonts w:ascii="Arial" w:cs="Arial" w:eastAsia="Arial" w:hAnsi="Arial"/>
          <w:sz w:val="13"/>
          <w:szCs w:val="13"/>
          <w:color w:val="auto"/>
        </w:rPr>
        <w:t>The Licensor will indemnify the Licensee (including its employees, agents and representatives) throughout the Term against all legal liability, and against the costs of any claims or actions arising under this Agreement to the extent that that liability is directly caused by negligent acts or by omissions of the Licensor in the carrying out of its obligations under this Agreement or is caused by a breach of any warranty or representation given by the Licensor under this Agreement.</w:t>
      </w:r>
    </w:p>
    <w:p>
      <w:pPr>
        <w:spacing w:after="0" w:line="63" w:lineRule="exact"/>
        <w:rPr>
          <w:sz w:val="20"/>
          <w:szCs w:val="20"/>
          <w:color w:val="auto"/>
        </w:rPr>
      </w:pPr>
    </w:p>
    <w:p>
      <w:pPr>
        <w:ind w:left="341" w:hanging="341"/>
        <w:spacing w:after="0"/>
        <w:tabs>
          <w:tab w:leader="none" w:pos="341" w:val="left"/>
        </w:tabs>
        <w:numPr>
          <w:ilvl w:val="0"/>
          <w:numId w:val="96"/>
        </w:numPr>
        <w:rPr>
          <w:rFonts w:ascii="Arial" w:cs="Arial" w:eastAsia="Arial" w:hAnsi="Arial"/>
          <w:sz w:val="13"/>
          <w:szCs w:val="13"/>
          <w:color w:val="auto"/>
        </w:rPr>
      </w:pPr>
      <w:r>
        <w:rPr>
          <w:rFonts w:ascii="Arial" w:cs="Arial" w:eastAsia="Arial" w:hAnsi="Arial"/>
          <w:sz w:val="13"/>
          <w:szCs w:val="13"/>
          <w:b w:val="1"/>
          <w:bCs w:val="1"/>
          <w:color w:val="auto"/>
        </w:rPr>
        <w:t>FAILURE TO GRANT OR SUBSEQUENT REVOCATION OF PATENT</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1"/>
          <w:szCs w:val="11"/>
          <w:u w:val="single" w:color="auto"/>
          <w:color w:val="auto"/>
        </w:rPr>
        <w:t>Royalties to be Reduced</w:t>
      </w:r>
    </w:p>
    <w:p>
      <w:pPr>
        <w:spacing w:after="0" w:line="96" w:lineRule="exact"/>
        <w:rPr>
          <w:sz w:val="20"/>
          <w:szCs w:val="20"/>
          <w:color w:val="auto"/>
        </w:rPr>
      </w:pPr>
    </w:p>
    <w:p>
      <w:pPr>
        <w:ind w:left="341" w:right="100"/>
        <w:spacing w:after="0" w:line="276" w:lineRule="auto"/>
        <w:rPr>
          <w:sz w:val="20"/>
          <w:szCs w:val="20"/>
          <w:color w:val="auto"/>
        </w:rPr>
      </w:pPr>
      <w:r>
        <w:rPr>
          <w:rFonts w:ascii="Arial" w:cs="Arial" w:eastAsia="Arial" w:hAnsi="Arial"/>
          <w:sz w:val="13"/>
          <w:szCs w:val="13"/>
          <w:color w:val="auto"/>
        </w:rPr>
        <w:t>If as a result of the refusal to grant any Patent Application or the subsequent invalidity, revocation or expiration of any Patent in any part of the Territory, the profitability of the Licensee or any of the Licensee’s sub-licensees in that part of the Territory is significantly and materially adversely affected with regard to the manufacture, use and sale of Product: [****].</w:t>
      </w:r>
    </w:p>
    <w:p>
      <w:pPr>
        <w:spacing w:after="0" w:line="4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u w:val="single" w:color="auto"/>
          <w:color w:val="auto"/>
        </w:rPr>
        <w:t>Reduction of Royalty Guarantee</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2"/>
          <w:szCs w:val="12"/>
          <w:color w:val="auto"/>
        </w:rPr>
        <w:t>If the Royalty is reduced under Clause 12.1, there will be a corresponding reduction in the amount required to be paid by the Licensee to the Licensor under Clause 4.1 and Clause 4.1 will be read accordingly.</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38" w:name="page139"/>
    <w:bookmarkEnd w:id="138"/>
    <w:p>
      <w:pPr>
        <w:ind w:left="341" w:hanging="341"/>
        <w:spacing w:after="0"/>
        <w:tabs>
          <w:tab w:leader="none" w:pos="341" w:val="left"/>
        </w:tabs>
        <w:numPr>
          <w:ilvl w:val="0"/>
          <w:numId w:val="97"/>
        </w:numPr>
        <w:rPr>
          <w:rFonts w:ascii="Arial" w:cs="Arial" w:eastAsia="Arial" w:hAnsi="Arial"/>
          <w:sz w:val="13"/>
          <w:szCs w:val="13"/>
          <w:color w:val="auto"/>
        </w:rPr>
      </w:pPr>
      <w:r>
        <w:rPr>
          <w:rFonts w:ascii="Arial" w:cs="Arial" w:eastAsia="Arial" w:hAnsi="Arial"/>
          <w:sz w:val="13"/>
          <w:szCs w:val="13"/>
          <w:b w:val="1"/>
          <w:bCs w:val="1"/>
          <w:color w:val="auto"/>
        </w:rPr>
        <w:t>PATENT INFRINGEMENT</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u w:val="single" w:color="auto"/>
          <w:color w:val="auto"/>
        </w:rPr>
        <w:t>Licensee to take Infringement Action</w:t>
      </w:r>
    </w:p>
    <w:p>
      <w:pPr>
        <w:spacing w:after="0" w:line="96" w:lineRule="exact"/>
        <w:rPr>
          <w:sz w:val="20"/>
          <w:szCs w:val="20"/>
          <w:color w:val="auto"/>
        </w:rPr>
      </w:pPr>
    </w:p>
    <w:p>
      <w:pPr>
        <w:ind w:left="341"/>
        <w:spacing w:after="0" w:line="334" w:lineRule="auto"/>
        <w:rPr>
          <w:sz w:val="20"/>
          <w:szCs w:val="20"/>
          <w:color w:val="auto"/>
        </w:rPr>
      </w:pPr>
      <w:r>
        <w:rPr>
          <w:rFonts w:ascii="Arial" w:cs="Arial" w:eastAsia="Arial" w:hAnsi="Arial"/>
          <w:sz w:val="11"/>
          <w:szCs w:val="11"/>
          <w:color w:val="auto"/>
        </w:rPr>
        <w:t>The Licensor appoints and constitutes the Licensee its agent and attorney during the Term, to assert from time to time in the name of and for the account of the Licensor but for the benefit of and at the expense of the Licensee whatever claims and rights the Licensor may have arising from any actual or apparent infringement of any Patent, Patent Application, Project Patent, Project Application or unauthorised use of any Project Results or Invention, Information, Know-how or Improvement, and the Licensee will promptly assert and enforce all such claims and rights and institute and prosecute an action against such infringement.</w:t>
      </w:r>
    </w:p>
    <w:p>
      <w:pPr>
        <w:spacing w:after="0" w:line="3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u w:val="single" w:color="auto"/>
          <w:color w:val="auto"/>
        </w:rPr>
        <w:t>Licensee to Notify Licensor</w:t>
      </w:r>
    </w:p>
    <w:p>
      <w:pPr>
        <w:spacing w:after="0" w:line="96" w:lineRule="exact"/>
        <w:rPr>
          <w:sz w:val="20"/>
          <w:szCs w:val="20"/>
          <w:color w:val="auto"/>
        </w:rPr>
      </w:pPr>
    </w:p>
    <w:p>
      <w:pPr>
        <w:ind w:left="341" w:right="240"/>
        <w:spacing w:after="0" w:line="276" w:lineRule="auto"/>
        <w:rPr>
          <w:sz w:val="20"/>
          <w:szCs w:val="20"/>
          <w:color w:val="auto"/>
        </w:rPr>
      </w:pPr>
      <w:r>
        <w:rPr>
          <w:rFonts w:ascii="Arial" w:cs="Arial" w:eastAsia="Arial" w:hAnsi="Arial"/>
          <w:sz w:val="13"/>
          <w:szCs w:val="13"/>
          <w:color w:val="auto"/>
        </w:rPr>
        <w:t>In the event the Licensee asserts a claim or institutes an action as a result of an actual or apparent infringement of any Patent, Patent Application, Project Patent, Project Application or unauthorised use of any Project Results, Invention, Information, Know-how or Improvement, the Licensee will immediately notify the Licensor.</w:t>
      </w:r>
    </w:p>
    <w:p>
      <w:pPr>
        <w:spacing w:after="0" w:line="5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1"/>
          <w:szCs w:val="11"/>
          <w:u w:val="single" w:color="auto"/>
          <w:color w:val="auto"/>
        </w:rPr>
        <w:t>Licensor to Assist Licensee</w:t>
      </w:r>
    </w:p>
    <w:p>
      <w:pPr>
        <w:spacing w:after="0" w:line="96" w:lineRule="exact"/>
        <w:rPr>
          <w:sz w:val="20"/>
          <w:szCs w:val="20"/>
          <w:color w:val="auto"/>
        </w:rPr>
      </w:pPr>
    </w:p>
    <w:p>
      <w:pPr>
        <w:ind w:left="341" w:right="20"/>
        <w:spacing w:after="0" w:line="264" w:lineRule="auto"/>
        <w:rPr>
          <w:sz w:val="20"/>
          <w:szCs w:val="20"/>
          <w:color w:val="auto"/>
        </w:rPr>
      </w:pPr>
      <w:r>
        <w:rPr>
          <w:rFonts w:ascii="Arial" w:cs="Arial" w:eastAsia="Arial" w:hAnsi="Arial"/>
          <w:sz w:val="13"/>
          <w:szCs w:val="13"/>
          <w:color w:val="auto"/>
        </w:rPr>
        <w:t>The Licensor will, if required by the Licensee and if necessary for the purposes of Clause 13.1, lend its name and will otherwise do all acts and things the Licensee may reasonably require to assist the Licensee in performing its obligations under Clause 13.1. Without limiting the preceding sentence, the Licensor will execute all documents and do all things reasonably necessary to aid and co-operate in the prosecution of any action brought by the Licensee pursuant to Clause 13.1.</w:t>
      </w:r>
    </w:p>
    <w:p>
      <w:pPr>
        <w:spacing w:after="0" w:line="6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2"/>
          <w:szCs w:val="12"/>
          <w:u w:val="single" w:color="auto"/>
          <w:color w:val="auto"/>
        </w:rPr>
        <w:t>Licensee to Indemnify Licensor</w:t>
      </w:r>
    </w:p>
    <w:p>
      <w:pPr>
        <w:spacing w:after="0" w:line="96" w:lineRule="exact"/>
        <w:rPr>
          <w:sz w:val="20"/>
          <w:szCs w:val="20"/>
          <w:color w:val="auto"/>
        </w:rPr>
      </w:pPr>
    </w:p>
    <w:p>
      <w:pPr>
        <w:ind w:left="341" w:right="160"/>
        <w:spacing w:after="0" w:line="276" w:lineRule="auto"/>
        <w:rPr>
          <w:sz w:val="20"/>
          <w:szCs w:val="20"/>
          <w:color w:val="auto"/>
        </w:rPr>
      </w:pPr>
      <w:r>
        <w:rPr>
          <w:rFonts w:ascii="Arial" w:cs="Arial" w:eastAsia="Arial" w:hAnsi="Arial"/>
          <w:sz w:val="13"/>
          <w:szCs w:val="13"/>
          <w:color w:val="auto"/>
        </w:rPr>
        <w:t>The Licensee will keep the Licensor indemnified from and against all loss costs and damage suffered or incurred by the Licensor arising out of the Licensee exercising its powers and performing its obligations under this Clause 13.</w:t>
      </w:r>
    </w:p>
    <w:p>
      <w:pPr>
        <w:spacing w:after="0" w:line="5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1"/>
          <w:szCs w:val="11"/>
          <w:u w:val="single" w:color="auto"/>
          <w:color w:val="auto"/>
        </w:rPr>
        <w:t>Proceeds</w:t>
      </w:r>
    </w:p>
    <w:p>
      <w:pPr>
        <w:spacing w:after="0" w:line="96" w:lineRule="exact"/>
        <w:rPr>
          <w:sz w:val="20"/>
          <w:szCs w:val="20"/>
          <w:color w:val="auto"/>
        </w:rPr>
      </w:pPr>
    </w:p>
    <w:p>
      <w:pPr>
        <w:ind w:left="341" w:right="140"/>
        <w:spacing w:after="0" w:line="276" w:lineRule="auto"/>
        <w:rPr>
          <w:sz w:val="20"/>
          <w:szCs w:val="20"/>
          <w:color w:val="auto"/>
        </w:rPr>
      </w:pPr>
      <w:r>
        <w:rPr>
          <w:rFonts w:ascii="Arial" w:cs="Arial" w:eastAsia="Arial" w:hAnsi="Arial"/>
          <w:sz w:val="13"/>
          <w:szCs w:val="13"/>
          <w:color w:val="auto"/>
        </w:rPr>
        <w:t>The proceeds from any judgement or settlement made by the Licensee in any action brought by it pursuant to Clause 13.1 will be used first to reimburse the Licensee’s costs and expenses incurred in the action, second, to reimburse the Licensor for all expenses incurred by it in assisting the Licensee in prosecuting such action and the remainder shall be the Licensee’s.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139" w:name="page140"/>
    <w:bookmarkEnd w:id="139"/>
    <w:p>
      <w:pPr>
        <w:ind w:left="341" w:hanging="341"/>
        <w:spacing w:after="0"/>
        <w:tabs>
          <w:tab w:leader="none" w:pos="341"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TERMINATION</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u w:val="single" w:color="auto"/>
          <w:color w:val="auto"/>
        </w:rPr>
        <w:t>Termination by Licensor</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The Licensor may at any time, immediately terminate this Agreement upon the happening of any of the following events:</w:t>
      </w:r>
    </w:p>
    <w:p>
      <w:pPr>
        <w:spacing w:after="0" w:line="86" w:lineRule="exact"/>
        <w:rPr>
          <w:sz w:val="20"/>
          <w:szCs w:val="20"/>
          <w:color w:val="auto"/>
        </w:rPr>
      </w:pPr>
    </w:p>
    <w:p>
      <w:pPr>
        <w:ind w:left="681" w:hanging="455"/>
        <w:spacing w:after="0" w:line="320" w:lineRule="auto"/>
        <w:tabs>
          <w:tab w:leader="none" w:pos="681" w:val="left"/>
        </w:tabs>
        <w:numPr>
          <w:ilvl w:val="0"/>
          <w:numId w:val="99"/>
        </w:numPr>
        <w:rPr>
          <w:rFonts w:ascii="Arial" w:cs="Arial" w:eastAsia="Arial" w:hAnsi="Arial"/>
          <w:sz w:val="12"/>
          <w:szCs w:val="12"/>
          <w:color w:val="auto"/>
        </w:rPr>
      </w:pPr>
      <w:r>
        <w:rPr>
          <w:rFonts w:ascii="Arial" w:cs="Arial" w:eastAsia="Arial" w:hAnsi="Arial"/>
          <w:sz w:val="12"/>
          <w:szCs w:val="12"/>
          <w:color w:val="auto"/>
        </w:rPr>
        <w:t>If an order is made or a resolution passed for the winding up or the dissolution without winding up of the Licensee, provided always that default shall not be deemed to have occurred where the winding up is for the purpose of reconstruction or amalgamation and the scheme for reconstruction or amalgamation has the Licensor’s prior written consent (which consent shall not be unreasonably withheld);</w:t>
      </w:r>
    </w:p>
    <w:p>
      <w:pPr>
        <w:spacing w:after="0" w:line="35" w:lineRule="exact"/>
        <w:rPr>
          <w:rFonts w:ascii="Arial" w:cs="Arial" w:eastAsia="Arial" w:hAnsi="Arial"/>
          <w:sz w:val="12"/>
          <w:szCs w:val="12"/>
          <w:color w:val="auto"/>
        </w:rPr>
      </w:pPr>
    </w:p>
    <w:p>
      <w:pPr>
        <w:ind w:left="681" w:hanging="455"/>
        <w:spacing w:after="0"/>
        <w:tabs>
          <w:tab w:leader="none" w:pos="6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If without the Licensor’s prior written consent the Licensee enters into an arrangement reconstruction or composition with its creditors or any of them;</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if a receiver is appointed to the Licensee;</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99"/>
        </w:numPr>
        <w:rPr>
          <w:rFonts w:ascii="Arial" w:cs="Arial" w:eastAsia="Arial" w:hAnsi="Arial"/>
          <w:sz w:val="12"/>
          <w:szCs w:val="12"/>
          <w:color w:val="auto"/>
        </w:rPr>
      </w:pPr>
      <w:r>
        <w:rPr>
          <w:rFonts w:ascii="Arial" w:cs="Arial" w:eastAsia="Arial" w:hAnsi="Arial"/>
          <w:sz w:val="12"/>
          <w:szCs w:val="12"/>
          <w:color w:val="auto"/>
        </w:rPr>
        <w:t>if pursuant to the provisions of the Corporations Law the Licensee is placed under voluntary administration, official management or an inspector is appointed to investigate the affairs of the Licensee;</w:t>
      </w:r>
    </w:p>
    <w:p>
      <w:pPr>
        <w:spacing w:after="0" w:line="107" w:lineRule="exact"/>
        <w:rPr>
          <w:rFonts w:ascii="Arial" w:cs="Arial" w:eastAsia="Arial" w:hAnsi="Arial"/>
          <w:sz w:val="12"/>
          <w:szCs w:val="12"/>
          <w:color w:val="auto"/>
        </w:rPr>
      </w:pPr>
    </w:p>
    <w:p>
      <w:pPr>
        <w:ind w:left="681" w:right="80" w:hanging="455"/>
        <w:spacing w:after="0" w:line="276" w:lineRule="auto"/>
        <w:tabs>
          <w:tab w:leader="none" w:pos="6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if without the Licensor’s prior written consent (which consent shall not be unreasonably withheld) the Licensee assigns, transfers or parts with possession of any material undertaking or assets to a person who is not an Affiliate of the Licensee, otherwise than in the ordinary course of business of the Licensee;</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if default is made by the Licensee in payment of a Royalty, and such default is not remedied within thirty (30) days after notice specifying such default and requiring the Licensee to remedy the same has been given by the Licensor to the Licensee; or</w:t>
      </w:r>
    </w:p>
    <w:p>
      <w:pPr>
        <w:spacing w:after="0" w:line="59" w:lineRule="exact"/>
        <w:rPr>
          <w:rFonts w:ascii="Arial" w:cs="Arial" w:eastAsia="Arial" w:hAnsi="Arial"/>
          <w:sz w:val="13"/>
          <w:szCs w:val="13"/>
          <w:color w:val="auto"/>
        </w:rPr>
      </w:pPr>
    </w:p>
    <w:p>
      <w:pPr>
        <w:jc w:val="both"/>
        <w:ind w:left="681" w:right="140" w:hanging="455"/>
        <w:spacing w:after="0" w:line="371" w:lineRule="auto"/>
        <w:tabs>
          <w:tab w:leader="none" w:pos="681" w:val="left"/>
        </w:tabs>
        <w:numPr>
          <w:ilvl w:val="0"/>
          <w:numId w:val="99"/>
        </w:numPr>
        <w:rPr>
          <w:rFonts w:ascii="Arial" w:cs="Arial" w:eastAsia="Arial" w:hAnsi="Arial"/>
          <w:sz w:val="11"/>
          <w:szCs w:val="11"/>
          <w:color w:val="auto"/>
        </w:rPr>
      </w:pPr>
      <w:r>
        <w:rPr>
          <w:rFonts w:ascii="Arial" w:cs="Arial" w:eastAsia="Arial" w:hAnsi="Arial"/>
          <w:sz w:val="11"/>
          <w:szCs w:val="11"/>
          <w:color w:val="auto"/>
        </w:rPr>
        <w:t>if default is made by the Licensee in performance or observance of any material provision of this Agreement other than a default referred to in paragraph (f) of this Clause 14.1 and where such default is capable of remedy such default is not remedied within thirty (30) days after notice specifying such default and requiring the Licensee to remedy the same has been given by the Licensor or the Licensee.</w:t>
      </w:r>
    </w:p>
    <w:p>
      <w:pPr>
        <w:spacing w:after="0" w:line="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1"/>
          <w:szCs w:val="11"/>
          <w:u w:val="single" w:color="auto"/>
          <w:color w:val="auto"/>
        </w:rPr>
        <w:t>Termination by Licensee</w:t>
      </w:r>
    </w:p>
    <w:p>
      <w:pPr>
        <w:spacing w:after="0" w:line="96" w:lineRule="exact"/>
        <w:rPr>
          <w:sz w:val="20"/>
          <w:szCs w:val="20"/>
          <w:color w:val="auto"/>
        </w:rPr>
      </w:pPr>
    </w:p>
    <w:p>
      <w:pPr>
        <w:ind w:left="341" w:right="280"/>
        <w:spacing w:after="0" w:line="371" w:lineRule="auto"/>
        <w:rPr>
          <w:sz w:val="20"/>
          <w:szCs w:val="20"/>
          <w:color w:val="auto"/>
        </w:rPr>
      </w:pPr>
      <w:r>
        <w:rPr>
          <w:rFonts w:ascii="Arial" w:cs="Arial" w:eastAsia="Arial" w:hAnsi="Arial"/>
          <w:sz w:val="11"/>
          <w:szCs w:val="11"/>
          <w:color w:val="auto"/>
        </w:rPr>
        <w:t>The Licensee may at any time terminate this Agreement by notice if material default is made by the Licensor in the performance or observance of any provision of this Agreement, and where such default is capable of remedy such default is not remedied within thirty (30) days after notice specifying such default and requiring the Licensor to remedy the same has been given by the Licensee to the Licensor.</w:t>
      </w:r>
    </w:p>
    <w:p>
      <w:pPr>
        <w:spacing w:after="0" w:line="6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16" w:right="299" w:bottom="1440" w:gutter="0" w:footer="0" w:header="0"/>
        </w:sectPr>
      </w:pPr>
    </w:p>
    <w:bookmarkStart w:id="140" w:name="page141"/>
    <w:bookmarkEnd w:id="140"/>
    <w:p>
      <w:pPr>
        <w:ind w:left="341" w:hanging="341"/>
        <w:spacing w:after="0"/>
        <w:tabs>
          <w:tab w:leader="none" w:pos="341" w:val="left"/>
        </w:tabs>
        <w:numPr>
          <w:ilvl w:val="0"/>
          <w:numId w:val="100"/>
        </w:numPr>
        <w:rPr>
          <w:rFonts w:ascii="Arial" w:cs="Arial" w:eastAsia="Arial" w:hAnsi="Arial"/>
          <w:sz w:val="13"/>
          <w:szCs w:val="13"/>
          <w:color w:val="auto"/>
        </w:rPr>
      </w:pPr>
      <w:r>
        <w:rPr>
          <w:rFonts w:ascii="Arial" w:cs="Arial" w:eastAsia="Arial" w:hAnsi="Arial"/>
          <w:sz w:val="13"/>
          <w:szCs w:val="13"/>
          <w:b w:val="1"/>
          <w:bCs w:val="1"/>
          <w:color w:val="auto"/>
        </w:rPr>
        <w:t>EFFECTS OF TERMINATION</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15.1</w:t>
      </w:r>
      <w:r>
        <w:rPr>
          <w:sz w:val="20"/>
          <w:szCs w:val="20"/>
          <w:color w:val="auto"/>
        </w:rPr>
        <w:tab/>
      </w:r>
      <w:r>
        <w:rPr>
          <w:rFonts w:ascii="Arial" w:cs="Arial" w:eastAsia="Arial" w:hAnsi="Arial"/>
          <w:sz w:val="12"/>
          <w:szCs w:val="12"/>
          <w:u w:val="single" w:color="auto"/>
          <w:color w:val="auto"/>
        </w:rPr>
        <w:t>Effects of Termination</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Upon termination of this Agreement for any reason whatsoever:</w:t>
      </w:r>
    </w:p>
    <w:p>
      <w:pPr>
        <w:spacing w:after="0" w:line="86" w:lineRule="exact"/>
        <w:rPr>
          <w:sz w:val="20"/>
          <w:szCs w:val="20"/>
          <w:color w:val="auto"/>
        </w:rPr>
      </w:pPr>
    </w:p>
    <w:p>
      <w:pPr>
        <w:ind w:left="681" w:right="20" w:hanging="455"/>
        <w:spacing w:after="0" w:line="276" w:lineRule="auto"/>
        <w:tabs>
          <w:tab w:leader="none" w:pos="68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each Party will return to the other Party all of the second mentioned Party’s Confidential Information in the possession or under the control, or in the possession or under the control of the servants or agents of the first mentioned Party;</w:t>
      </w:r>
    </w:p>
    <w:p>
      <w:pPr>
        <w:spacing w:after="0" w:line="59" w:lineRule="exact"/>
        <w:rPr>
          <w:rFonts w:ascii="Arial" w:cs="Arial" w:eastAsia="Arial" w:hAnsi="Arial"/>
          <w:sz w:val="13"/>
          <w:szCs w:val="13"/>
          <w:color w:val="auto"/>
        </w:rPr>
      </w:pPr>
    </w:p>
    <w:p>
      <w:pPr>
        <w:ind w:left="681" w:hanging="455"/>
        <w:spacing w:after="0" w:line="264" w:lineRule="auto"/>
        <w:tabs>
          <w:tab w:leader="none" w:pos="68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subject to paragraph (c) of this Clause 15.1 neither Party will have any further rights in relation to the other Party’s Confidential Information whether under common or other law, statute or otherwise and, each Party will at its own expense execute and deliver to the other Party such instructions and take all other action as the other Party deems reasonably necessary to ensure the termination of any such rights, and to vest every interest in the Confidential Information in the Party owning that Confidential Information;</w:t>
      </w:r>
    </w:p>
    <w:p>
      <w:pPr>
        <w:spacing w:after="0" w:line="66" w:lineRule="exact"/>
        <w:rPr>
          <w:rFonts w:ascii="Arial" w:cs="Arial" w:eastAsia="Arial" w:hAnsi="Arial"/>
          <w:sz w:val="13"/>
          <w:szCs w:val="13"/>
          <w:color w:val="auto"/>
        </w:rPr>
      </w:pPr>
    </w:p>
    <w:p>
      <w:pPr>
        <w:ind w:left="681" w:right="180" w:hanging="455"/>
        <w:spacing w:after="0" w:line="276" w:lineRule="auto"/>
        <w:tabs>
          <w:tab w:leader="none" w:pos="68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Sub-license will remain in full force and effect provided the sub-licensee is not in breach of the sub-license and performs all actions required by the Licensor to effect a novation of the Sub-license to the Licensor;</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Clauses 3.8, 9.2, 10, 15.2 and this Clause 15.1 will continue to bind the Parties;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Clause 3 will continue to bind the Parties until the Licensor is satisfied that all Royalties payable under this Agreement are paid.</w:t>
      </w:r>
    </w:p>
    <w:p>
      <w:pPr>
        <w:spacing w:after="0" w:line="86"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15.2</w:t>
      </w:r>
      <w:r>
        <w:rPr>
          <w:sz w:val="20"/>
          <w:szCs w:val="20"/>
          <w:color w:val="auto"/>
        </w:rPr>
        <w:tab/>
      </w:r>
      <w:r>
        <w:rPr>
          <w:rFonts w:ascii="Arial" w:cs="Arial" w:eastAsia="Arial" w:hAnsi="Arial"/>
          <w:sz w:val="12"/>
          <w:szCs w:val="12"/>
          <w:u w:val="single" w:color="auto"/>
          <w:color w:val="auto"/>
        </w:rPr>
        <w:t>Accrued Rights</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The termination of this Agreement will not affect any right of action which may have accrued to either Party in respect of any breach prior to the date of such termination.</w:t>
      </w:r>
    </w:p>
    <w:p>
      <w:pPr>
        <w:spacing w:after="0" w:line="92" w:lineRule="exact"/>
        <w:rPr>
          <w:sz w:val="20"/>
          <w:szCs w:val="20"/>
          <w:color w:val="auto"/>
        </w:rPr>
      </w:pPr>
    </w:p>
    <w:p>
      <w:pPr>
        <w:ind w:left="341" w:hanging="341"/>
        <w:spacing w:after="0"/>
        <w:tabs>
          <w:tab w:leader="none" w:pos="341" w:val="left"/>
        </w:tabs>
        <w:numPr>
          <w:ilvl w:val="0"/>
          <w:numId w:val="102"/>
        </w:numPr>
        <w:rPr>
          <w:rFonts w:ascii="Arial" w:cs="Arial" w:eastAsia="Arial" w:hAnsi="Arial"/>
          <w:sz w:val="13"/>
          <w:szCs w:val="13"/>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16.1</w:t>
      </w:r>
      <w:r>
        <w:rPr>
          <w:sz w:val="20"/>
          <w:szCs w:val="20"/>
          <w:color w:val="auto"/>
        </w:rPr>
        <w:tab/>
      </w:r>
      <w:r>
        <w:rPr>
          <w:rFonts w:ascii="Arial" w:cs="Arial" w:eastAsia="Arial" w:hAnsi="Arial"/>
          <w:sz w:val="12"/>
          <w:szCs w:val="12"/>
          <w:u w:val="single" w:color="auto"/>
          <w:color w:val="auto"/>
        </w:rPr>
        <w:t>Waiver</w:t>
      </w:r>
    </w:p>
    <w:p>
      <w:pPr>
        <w:spacing w:after="0" w:line="96" w:lineRule="exact"/>
        <w:rPr>
          <w:sz w:val="20"/>
          <w:szCs w:val="20"/>
          <w:color w:val="auto"/>
        </w:rPr>
      </w:pPr>
    </w:p>
    <w:p>
      <w:pPr>
        <w:ind w:left="341" w:right="460"/>
        <w:spacing w:after="0" w:line="276" w:lineRule="auto"/>
        <w:rPr>
          <w:sz w:val="20"/>
          <w:szCs w:val="20"/>
          <w:color w:val="auto"/>
        </w:rPr>
      </w:pPr>
      <w:r>
        <w:rPr>
          <w:rFonts w:ascii="Arial" w:cs="Arial" w:eastAsia="Arial" w:hAnsi="Arial"/>
          <w:sz w:val="13"/>
          <w:szCs w:val="13"/>
          <w:color w:val="auto"/>
        </w:rPr>
        <w:t>Any waiver or other indulgence by either Party in respect of any obligation of the other Party under this Agreement will operate only if in writing and will apply only to the specified instance, and will not constitute a waiver of or an indulgence in respect of any other right or obligation under this Agreement.</w:t>
      </w:r>
    </w:p>
    <w:p>
      <w:pPr>
        <w:spacing w:after="0" w:line="59"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2"/>
          <w:szCs w:val="12"/>
          <w:u w:val="single" w:color="auto"/>
          <w:color w:val="auto"/>
        </w:rPr>
        <w:t>Entire Agreement</w:t>
      </w:r>
    </w:p>
    <w:p>
      <w:pPr>
        <w:spacing w:after="0" w:line="96" w:lineRule="exact"/>
        <w:rPr>
          <w:sz w:val="20"/>
          <w:szCs w:val="20"/>
          <w:color w:val="auto"/>
        </w:rPr>
      </w:pPr>
    </w:p>
    <w:p>
      <w:pPr>
        <w:ind w:left="341"/>
        <w:spacing w:after="0"/>
        <w:rPr>
          <w:sz w:val="20"/>
          <w:szCs w:val="20"/>
          <w:color w:val="auto"/>
        </w:rPr>
      </w:pPr>
      <w:r>
        <w:rPr>
          <w:rFonts w:ascii="Arial" w:cs="Arial" w:eastAsia="Arial" w:hAnsi="Arial"/>
          <w:sz w:val="11"/>
          <w:szCs w:val="11"/>
          <w:color w:val="auto"/>
        </w:rPr>
        <w:t>This Agreement constitutes the whole and entire agreement between the Parties and replaces all previous representations, understandings or arrangements given or made by the Parties, whether oral or in writing.</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41" w:name="page142"/>
    <w:bookmarkEnd w:id="141"/>
    <w:p>
      <w:pPr>
        <w:spacing w:after="0"/>
        <w:tabs>
          <w:tab w:leader="none" w:pos="320" w:val="left"/>
        </w:tabs>
        <w:rPr>
          <w:sz w:val="20"/>
          <w:szCs w:val="20"/>
          <w:color w:val="auto"/>
        </w:rPr>
      </w:pPr>
      <w:r>
        <w:rPr>
          <w:rFonts w:ascii="Arial" w:cs="Arial" w:eastAsia="Arial" w:hAnsi="Arial"/>
          <w:sz w:val="13"/>
          <w:szCs w:val="13"/>
          <w:color w:val="auto"/>
        </w:rPr>
        <w:t>16.3</w:t>
      </w:r>
      <w:r>
        <w:rPr>
          <w:sz w:val="20"/>
          <w:szCs w:val="20"/>
          <w:color w:val="auto"/>
        </w:rPr>
        <w:tab/>
      </w:r>
      <w:r>
        <w:rPr>
          <w:rFonts w:ascii="Arial" w:cs="Arial" w:eastAsia="Arial" w:hAnsi="Arial"/>
          <w:sz w:val="11"/>
          <w:szCs w:val="11"/>
          <w:u w:val="single" w:color="auto"/>
          <w:color w:val="auto"/>
        </w:rPr>
        <w:t>Assignment</w:t>
      </w:r>
    </w:p>
    <w:p>
      <w:pPr>
        <w:spacing w:after="0" w:line="86" w:lineRule="exact"/>
        <w:rPr>
          <w:sz w:val="20"/>
          <w:szCs w:val="20"/>
          <w:color w:val="auto"/>
        </w:rPr>
      </w:pPr>
    </w:p>
    <w:p>
      <w:pPr>
        <w:ind w:left="680" w:hanging="455"/>
        <w:spacing w:after="0" w:line="276" w:lineRule="auto"/>
        <w:tabs>
          <w:tab w:leader="none" w:pos="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Subject to Clauses 16.3(b) and 16.3(c), neither Party will assign all or any of its rights under this Agreement without the prior written consent of the other Party, which consent must not he unreasonably withheld.</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Licensee may assign all or any of its rights and obligations under this Agreement to an Affiliate (other than SCS KK) without the prior consent of the Licensor.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Licensee may assign all or any of its rights and obligations under this Agreement to SCS KK with the prior written consent of the Licensor which consent must not be unreasonably withheld.</w:t>
      </w:r>
    </w:p>
    <w:p>
      <w:pPr>
        <w:spacing w:after="0" w:line="34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Agreement is governed by and to be construed according to the laws of the State of Victoria, Australia and the Parties submit to the jurisdiction of that State.</w:t>
      </w:r>
    </w:p>
    <w:p>
      <w:pPr>
        <w:spacing w:after="0" w:line="9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16.5</w:t>
      </w:r>
      <w:r>
        <w:rPr>
          <w:sz w:val="20"/>
          <w:szCs w:val="20"/>
          <w:color w:val="auto"/>
        </w:rPr>
        <w:tab/>
      </w:r>
      <w:r>
        <w:rPr>
          <w:rFonts w:ascii="Arial" w:cs="Arial" w:eastAsia="Arial" w:hAnsi="Arial"/>
          <w:sz w:val="11"/>
          <w:szCs w:val="11"/>
          <w:u w:val="single" w:color="auto"/>
          <w:color w:val="auto"/>
        </w:rPr>
        <w:t>Amendments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Agreement may not be varied except in writing signed by the Parties.</w:t>
      </w:r>
    </w:p>
    <w:p>
      <w:pPr>
        <w:spacing w:after="0" w:line="9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16.6</w:t>
      </w:r>
      <w:r>
        <w:rPr>
          <w:sz w:val="20"/>
          <w:szCs w:val="20"/>
          <w:color w:val="auto"/>
        </w:rPr>
        <w:tab/>
      </w:r>
      <w:r>
        <w:rPr>
          <w:rFonts w:ascii="Arial" w:cs="Arial" w:eastAsia="Arial" w:hAnsi="Arial"/>
          <w:sz w:val="12"/>
          <w:szCs w:val="12"/>
          <w:u w:val="single" w:color="auto"/>
          <w:color w:val="auto"/>
        </w:rPr>
        <w:t>Severability</w:t>
      </w:r>
    </w:p>
    <w:p>
      <w:pPr>
        <w:spacing w:after="0" w:line="96" w:lineRule="exact"/>
        <w:rPr>
          <w:sz w:val="20"/>
          <w:szCs w:val="20"/>
          <w:color w:val="auto"/>
        </w:rPr>
      </w:pPr>
    </w:p>
    <w:p>
      <w:pPr>
        <w:ind w:left="340" w:right="100"/>
        <w:spacing w:after="0" w:line="276" w:lineRule="auto"/>
        <w:rPr>
          <w:sz w:val="20"/>
          <w:szCs w:val="20"/>
          <w:color w:val="auto"/>
        </w:rPr>
      </w:pPr>
      <w:r>
        <w:rPr>
          <w:rFonts w:ascii="Arial" w:cs="Arial" w:eastAsia="Arial" w:hAnsi="Arial"/>
          <w:sz w:val="13"/>
          <w:szCs w:val="13"/>
          <w:color w:val="auto"/>
        </w:rPr>
        <w:t>If any provision of this Agreement is held by a court to be unlawful, invalid, unenforceable or in conflict with any rule of law, statute, ordinance or regulation, the validity and enforceability of the remaining provisions will not be thereby affected.</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Any notice or other communication to be given under this Agreement:</w:t>
      </w:r>
    </w:p>
    <w:p>
      <w:pPr>
        <w:spacing w:after="0" w:line="86" w:lineRule="exact"/>
        <w:rPr>
          <w:sz w:val="20"/>
          <w:szCs w:val="20"/>
          <w:color w:val="auto"/>
        </w:rPr>
      </w:pPr>
    </w:p>
    <w:p>
      <w:pPr>
        <w:ind w:left="680" w:hanging="455"/>
        <w:spacing w:after="0"/>
        <w:tabs>
          <w:tab w:leader="none" w:pos="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will be in writing;</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may be given by hand, mail or facsimile;</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will be given to the address of the recipient which is set out below unless the recipient notifies the sender of another address to which notices or communications are to be given:</w:t>
      </w:r>
    </w:p>
    <w:p>
      <w:pPr>
        <w:sectPr>
          <w:pgSz w:w="11900" w:h="16838" w:orient="portrait"/>
          <w:cols w:equalWidth="0" w:num="1">
            <w:col w:w="11240"/>
          </w:cols>
          <w:pgMar w:left="220" w:top="720" w:right="439" w:bottom="1440" w:gutter="0" w:footer="0" w:header="0"/>
        </w:sectPr>
      </w:pPr>
    </w:p>
    <w:p>
      <w:pPr>
        <w:spacing w:after="0" w:line="165" w:lineRule="exact"/>
        <w:rPr>
          <w:sz w:val="20"/>
          <w:szCs w:val="20"/>
          <w:color w:val="auto"/>
        </w:rPr>
      </w:pPr>
    </w:p>
    <w:p>
      <w:pPr>
        <w:jc w:val="center"/>
        <w:ind w:left="800"/>
        <w:spacing w:after="0"/>
        <w:rPr>
          <w:sz w:val="20"/>
          <w:szCs w:val="20"/>
          <w:color w:val="auto"/>
        </w:rPr>
      </w:pPr>
      <w:r>
        <w:rPr>
          <w:rFonts w:ascii="Arial" w:cs="Arial" w:eastAsia="Arial" w:hAnsi="Arial"/>
          <w:sz w:val="12"/>
          <w:szCs w:val="12"/>
          <w:color w:val="auto"/>
        </w:rPr>
        <w:t>Licensor: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Edinburgh Research and Innovation Limited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University of Edinburgh</w:t>
      </w:r>
    </w:p>
    <w:p>
      <w:pPr>
        <w:spacing w:after="0" w:line="158" w:lineRule="exact"/>
        <w:rPr>
          <w:sz w:val="20"/>
          <w:szCs w:val="20"/>
          <w:color w:val="auto"/>
        </w:rPr>
      </w:pPr>
    </w:p>
    <w:p>
      <w:pPr>
        <w:sectPr>
          <w:pgSz w:w="11900" w:h="16838" w:orient="portrait"/>
          <w:cols w:equalWidth="0" w:num="2">
            <w:col w:w="1980" w:space="720"/>
            <w:col w:w="8540"/>
          </w:cols>
          <w:pgMar w:left="220" w:top="720" w:right="439" w:bottom="1440" w:gutter="0" w:footer="0" w:header="0"/>
          <w:type w:val="continuous"/>
        </w:sectPr>
      </w:pPr>
    </w:p>
    <w:p>
      <w:pPr>
        <w:jc w:val="center"/>
        <w:ind w:left="78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1-7 Roxburgh Street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Edinburgh EH8 9TA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158" w:lineRule="exact"/>
        <w:rPr>
          <w:sz w:val="20"/>
          <w:szCs w:val="20"/>
          <w:color w:val="auto"/>
        </w:rPr>
      </w:pPr>
    </w:p>
    <w:p>
      <w:pPr>
        <w:sectPr>
          <w:pgSz w:w="11900" w:h="16838" w:orient="portrait"/>
          <w:cols w:equalWidth="0" w:num="2">
            <w:col w:w="1980" w:space="720"/>
            <w:col w:w="8540"/>
          </w:cols>
          <w:pgMar w:left="220" w:top="720" w:right="439" w:bottom="1440" w:gutter="0" w:footer="0" w:header="0"/>
          <w:type w:val="continuous"/>
        </w:sectPr>
      </w:pPr>
    </w:p>
    <w:p>
      <w:pPr>
        <w:ind w:left="1140"/>
        <w:spacing w:after="0"/>
        <w:rPr>
          <w:sz w:val="20"/>
          <w:szCs w:val="20"/>
          <w:color w:val="auto"/>
        </w:rPr>
      </w:pPr>
      <w:r>
        <w:rPr>
          <w:rFonts w:ascii="Arial" w:cs="Arial" w:eastAsia="Arial" w:hAnsi="Arial"/>
          <w:sz w:val="12"/>
          <w:szCs w:val="12"/>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(31) 651 4020</w:t>
      </w:r>
    </w:p>
    <w:p>
      <w:pPr>
        <w:spacing w:after="0" w:line="168" w:lineRule="exact"/>
        <w:rPr>
          <w:sz w:val="20"/>
          <w:szCs w:val="20"/>
          <w:color w:val="auto"/>
        </w:rPr>
      </w:pPr>
    </w:p>
    <w:p>
      <w:pPr>
        <w:sectPr>
          <w:pgSz w:w="11900" w:h="16838" w:orient="portrait"/>
          <w:cols w:equalWidth="0" w:num="2">
            <w:col w:w="1980" w:space="720"/>
            <w:col w:w="8540"/>
          </w:cols>
          <w:pgMar w:left="220" w:top="720" w:right="439" w:bottom="1440" w:gutter="0" w:footer="0" w:header="0"/>
          <w:type w:val="continuous"/>
        </w:sectPr>
      </w:pPr>
    </w:p>
    <w:p>
      <w:pPr>
        <w:jc w:val="center"/>
        <w:ind w:right="-2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20" w:right="439" w:bottom="1440" w:gutter="0" w:footer="0" w:header="0"/>
          <w:type w:val="continuous"/>
        </w:sectPr>
      </w:pPr>
    </w:p>
    <w:bookmarkStart w:id="142" w:name="page143"/>
    <w:bookmarkEnd w:id="142"/>
    <w:p>
      <w:pPr>
        <w:jc w:val="center"/>
        <w:ind w:left="820"/>
        <w:spacing w:after="0"/>
        <w:rPr>
          <w:sz w:val="20"/>
          <w:szCs w:val="20"/>
          <w:color w:val="auto"/>
        </w:rPr>
      </w:pPr>
      <w:r>
        <w:rPr>
          <w:rFonts w:ascii="Arial" w:cs="Arial" w:eastAsia="Arial" w:hAnsi="Arial"/>
          <w:sz w:val="12"/>
          <w:szCs w:val="12"/>
          <w:color w:val="auto"/>
        </w:rPr>
        <w:t>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Stem Cell Sciences Limited</w:t>
      </w:r>
    </w:p>
    <w:p>
      <w:pPr>
        <w:spacing w:after="0" w:line="188" w:lineRule="exact"/>
        <w:rPr>
          <w:sz w:val="20"/>
          <w:szCs w:val="20"/>
          <w:color w:val="auto"/>
        </w:rPr>
      </w:pPr>
    </w:p>
    <w:p>
      <w:pPr>
        <w:sectPr>
          <w:pgSz w:w="11900" w:h="16838" w:orient="portrait"/>
          <w:cols w:equalWidth="0" w:num="2">
            <w:col w:w="1980" w:space="720"/>
            <w:col w:w="8420"/>
          </w:cols>
          <w:pgMar w:left="220" w:top="878" w:right="559" w:bottom="1440" w:gutter="0" w:footer="0" w:header="0"/>
        </w:sectPr>
      </w:pPr>
    </w:p>
    <w:p>
      <w:pPr>
        <w:jc w:val="center"/>
        <w:ind w:left="78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1st Floor</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Riddel Parade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Elsternwick</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Victoria 3185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158" w:lineRule="exact"/>
        <w:rPr>
          <w:sz w:val="20"/>
          <w:szCs w:val="20"/>
          <w:color w:val="auto"/>
        </w:rPr>
      </w:pPr>
    </w:p>
    <w:p>
      <w:pPr>
        <w:sectPr>
          <w:pgSz w:w="11900" w:h="16838" w:orient="portrait"/>
          <w:cols w:equalWidth="0" w:num="2">
            <w:col w:w="1980" w:space="720"/>
            <w:col w:w="8420"/>
          </w:cols>
          <w:pgMar w:left="220" w:top="878" w:right="559" w:bottom="1440" w:gutter="0" w:footer="0" w:header="0"/>
          <w:type w:val="continuous"/>
        </w:sectPr>
      </w:pPr>
    </w:p>
    <w:p>
      <w:pPr>
        <w:ind w:left="1140"/>
        <w:spacing w:after="0"/>
        <w:rPr>
          <w:sz w:val="20"/>
          <w:szCs w:val="20"/>
          <w:color w:val="auto"/>
        </w:rPr>
      </w:pPr>
      <w:r>
        <w:rPr>
          <w:rFonts w:ascii="Arial" w:cs="Arial" w:eastAsia="Arial" w:hAnsi="Arial"/>
          <w:sz w:val="12"/>
          <w:szCs w:val="12"/>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(03) 347 3804</w:t>
      </w:r>
    </w:p>
    <w:p>
      <w:pPr>
        <w:spacing w:after="0" w:line="109" w:lineRule="exact"/>
        <w:rPr>
          <w:sz w:val="20"/>
          <w:szCs w:val="20"/>
          <w:color w:val="auto"/>
        </w:rPr>
      </w:pPr>
    </w:p>
    <w:p>
      <w:pPr>
        <w:sectPr>
          <w:pgSz w:w="11900" w:h="16838" w:orient="portrait"/>
          <w:cols w:equalWidth="0" w:num="2">
            <w:col w:w="1980" w:space="720"/>
            <w:col w:w="8420"/>
          </w:cols>
          <w:pgMar w:left="220" w:top="878" w:right="559" w:bottom="1440" w:gutter="0" w:footer="0" w:header="0"/>
          <w:type w:val="continuous"/>
        </w:sectPr>
      </w:pPr>
    </w:p>
    <w:p>
      <w:pPr>
        <w:ind w:left="680" w:hanging="455"/>
        <w:spacing w:after="0"/>
        <w:tabs>
          <w:tab w:leader="none" w:pos="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if given by hand, will be deemed to have been given on the day it was so delivered;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if given by mail, will be deemed to have been given seven clear business days after being sent by pre-paid mail; and</w:t>
      </w:r>
    </w:p>
    <w:p>
      <w:pPr>
        <w:spacing w:after="0" w:line="96" w:lineRule="exact"/>
        <w:rPr>
          <w:rFonts w:ascii="Arial" w:cs="Arial" w:eastAsia="Arial" w:hAnsi="Arial"/>
          <w:sz w:val="13"/>
          <w:szCs w:val="13"/>
          <w:color w:val="auto"/>
        </w:rPr>
      </w:pPr>
    </w:p>
    <w:p>
      <w:pPr>
        <w:ind w:left="680" w:hanging="455"/>
        <w:spacing w:after="0" w:line="320" w:lineRule="auto"/>
        <w:tabs>
          <w:tab w:leader="none" w:pos="6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if given by facsimile, will be deemed to have been given on the day on which the facsimile is sent and the sender’s machine records that the transmission has been received by the recipient’s facsimile machine and, if a hard copy of the relevant notice is sent to the recipient by pre-paid mail within 24 hours of a successful transmission report by the sender’s facsimile machine.</w:t>
      </w:r>
    </w:p>
    <w:p>
      <w:pPr>
        <w:spacing w:after="0" w:line="2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16.8</w:t>
      </w:r>
      <w:r>
        <w:rPr>
          <w:sz w:val="20"/>
          <w:szCs w:val="20"/>
          <w:color w:val="auto"/>
        </w:rPr>
        <w:tab/>
      </w:r>
      <w:r>
        <w:rPr>
          <w:rFonts w:ascii="Arial" w:cs="Arial" w:eastAsia="Arial" w:hAnsi="Arial"/>
          <w:sz w:val="11"/>
          <w:szCs w:val="11"/>
          <w:u w:val="single" w:color="auto"/>
          <w:color w:val="auto"/>
        </w:rPr>
        <w:t>Further Agreements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Each Party shall execute such agreements, deeds and documents and do or cause to be executed or done all such acts and things as than be necessary to give effect to this Agreement.</w:t>
      </w:r>
    </w:p>
    <w:p>
      <w:pPr>
        <w:spacing w:after="0" w:line="9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16.9</w:t>
      </w:r>
      <w:r>
        <w:rPr>
          <w:sz w:val="20"/>
          <w:szCs w:val="20"/>
          <w:color w:val="auto"/>
        </w:rPr>
        <w:tab/>
      </w:r>
      <w:r>
        <w:rPr>
          <w:rFonts w:ascii="Arial" w:cs="Arial" w:eastAsia="Arial" w:hAnsi="Arial"/>
          <w:sz w:val="11"/>
          <w:szCs w:val="11"/>
          <w:u w:val="single" w:color="auto"/>
          <w:color w:val="auto"/>
        </w:rPr>
        <w:t>Changes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All stamp duties and governmental charges arising out of or incidental to this Agreement shall be the responsibility of and payable by the Licensee.</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20"/>
          </w:cols>
          <w:pgMar w:left="220" w:top="878" w:right="559" w:bottom="1440" w:gutter="0" w:footer="0" w:header="0"/>
          <w:type w:val="continuous"/>
        </w:sectPr>
      </w:pPr>
    </w:p>
    <w:bookmarkStart w:id="143" w:name="page144"/>
    <w:bookmarkEnd w:id="143"/>
    <w:p>
      <w:pPr>
        <w:ind w:left="9680"/>
        <w:spacing w:after="0"/>
        <w:rPr>
          <w:sz w:val="20"/>
          <w:szCs w:val="20"/>
          <w:color w:val="auto"/>
        </w:rPr>
      </w:pPr>
      <w:r>
        <w:rPr>
          <w:rFonts w:ascii="Arial" w:cs="Arial" w:eastAsia="Arial" w:hAnsi="Arial"/>
          <w:sz w:val="11"/>
          <w:szCs w:val="11"/>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177165</wp:posOffset>
            </wp:positionV>
            <wp:extent cx="4493895" cy="3370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93895" cy="337058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00"/>
        <w:spacing w:after="0" w:line="281" w:lineRule="auto"/>
        <w:rPr>
          <w:sz w:val="20"/>
          <w:szCs w:val="20"/>
          <w:color w:val="auto"/>
        </w:rPr>
      </w:pPr>
      <w:r>
        <w:rPr>
          <w:rFonts w:ascii="Arial" w:cs="Arial" w:eastAsia="Arial" w:hAnsi="Arial"/>
          <w:sz w:val="12"/>
          <w:szCs w:val="12"/>
          <w:color w:val="auto"/>
        </w:rPr>
        <w:t>We have issued our reports dated March 10, 2010, with respect to the consolidated financial statements and internal control over financial reporting included in the Annual Report of StemCells, Inc. on Form 10-K for the year ended December 31, 2009. We hereby consent to the incorporation by reference of said reports in the previously filed Registration Statements of StemCells, Inc. on Forms S-3 (File Nos. 333-159604, effective May 29, 2009, 333-151891, effective June 24, 2008 and amended on July 18, 2008, 333-117360, effective July 14, 2004, 333-105664, effective May 29, 2003 and amended on June 3, 2003, 333-83992, effective on March 8, 2002 and amended on July 2, 2002, 333-75806, effective December 21, 2001 and amended on January 1, 2009, and 333-66692, effective August 3, 2001 and amended on August 8, 2001) Form S-1 (File No. 333-61726, effective May 25, 2001 and amended on June 29, 2001 and July 2, 2001) and Forms S-8 (File Nos. 333-10773, effective August 23, 1996, 333-29335, effective June 16, 1997, 333-37313, effective October 7, 1997, 333-66700, effective August 3, 2001, 333-118263, effective August 16, 2004, 333-144747, effective July 20, 2007, and 33-49524, effective July 10, 1992) and Registration Statements of CytoTherapeutics, Inc. on Forms S-3 (File Nos. 33-91228, effective April 14, 1995, and 33-68900, effective September 15, 1993).</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10, 2010</w:t>
      </w:r>
    </w:p>
    <w:p>
      <w:pPr>
        <w:sectPr>
          <w:pgSz w:w="11900" w:h="16838" w:orient="portrait"/>
          <w:cols w:equalWidth="0" w:num="1">
            <w:col w:w="11460"/>
          </w:cols>
          <w:pgMar w:left="220" w:top="127" w:right="2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Martin McGlynn, certify that:</w:t>
      </w:r>
    </w:p>
    <w:p>
      <w:pPr>
        <w:spacing w:after="0" w:line="86" w:lineRule="exact"/>
        <w:rPr>
          <w:sz w:val="20"/>
          <w:szCs w:val="20"/>
          <w:color w:val="auto"/>
        </w:rPr>
      </w:pPr>
    </w:p>
    <w:p>
      <w:pPr>
        <w:ind w:left="680" w:hanging="455"/>
        <w:spacing w:after="0"/>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10, 2010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127"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Rodney K.B. Young, certify that:</w:t>
      </w:r>
    </w:p>
    <w:p>
      <w:pPr>
        <w:spacing w:after="0" w:line="86" w:lineRule="exact"/>
        <w:rPr>
          <w:sz w:val="20"/>
          <w:szCs w:val="20"/>
          <w:color w:val="auto"/>
        </w:rPr>
      </w:pPr>
    </w:p>
    <w:p>
      <w:pPr>
        <w:ind w:left="680" w:hanging="455"/>
        <w:spacing w:after="0"/>
        <w:tabs>
          <w:tab w:leader="none" w:pos="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10, 2010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127"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b w:val="1"/>
          <w:bCs w:val="1"/>
          <w:color w:val="auto"/>
        </w:rPr>
        <w:t>Exhibit 32.1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In connection with the StemCells, Inc. (the “Company”) Annual Report on Form 10-K for the year ended December 31, 2009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10, 2010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127" w:right="2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3"/>
          <w:szCs w:val="13"/>
          <w:b w:val="1"/>
          <w:bCs w:val="1"/>
          <w:color w:val="auto"/>
        </w:rPr>
        <w:t>Exhibit 32.2</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In connection with the StemCells, Inc. (the “Company”) Annual Report on Form 10-K for the year ended December 31, 2009 as filed with the Securities and Exchange Commission on the date hereof (the “Report”), I, Rodney K.B. Young, Chief Financial Officer of the Company, certify pursuant to 18 U.S.C. Section 1350, as adopted pursuant to Section 906 of the Sarbanes-Oxley Act of 2002, that, to the best of my knowledge: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10, 2010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o"/>
      <w:numFmt w:val="bullet"/>
      <w:start w:val="1"/>
    </w:lvl>
  </w:abstractNum>
  <w:abstractNum w:abstractNumId="2">
    <w:nsid w:val="23F9C13C"/>
    <w:multiLevelType w:val="hybridMultilevel"/>
    <w:lvl w:ilvl="0">
      <w:lvlJc w:val="left"/>
      <w:lvlText w:val="1"/>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lvl w:ilvl="1">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lowerRoman"/>
      <w:start w:val="2"/>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lowerLetter"/>
      <w:start w:val="1"/>
    </w:lvl>
  </w:abstractNum>
  <w:abstractNum w:abstractNumId="19">
    <w:nsid w:val="579BE4F1"/>
    <w:multiLevelType w:val="hybridMultilevel"/>
    <w:lvl w:ilvl="0">
      <w:lvlJc w:val="left"/>
      <w:lvlText w:val="(%1)"/>
      <w:numFmt w:val="lowerLetter"/>
      <w:start w:val="2"/>
    </w:lvl>
  </w:abstractNum>
  <w:abstractNum w:abstractNumId="20">
    <w:nsid w:val="310C50B3"/>
    <w:multiLevelType w:val="hybridMultilevel"/>
    <w:lvl w:ilvl="0">
      <w:lvlJc w:val="left"/>
      <w:lvlText w:val="(%1)"/>
      <w:numFmt w:val="lowerLetter"/>
      <w:start w:val="3"/>
    </w:lvl>
    <w:lvl w:ilvl="1">
      <w:lvlJc w:val="left"/>
      <w:lvlText w:val="•"/>
      <w:numFmt w:val="bullet"/>
      <w:start w:val="1"/>
    </w:lvl>
  </w:abstractNum>
  <w:abstractNum w:abstractNumId="21">
    <w:nsid w:val="5FF87E05"/>
    <w:multiLevelType w:val="hybridMultilevel"/>
    <w:lvl w:ilvl="0">
      <w:lvlJc w:val="left"/>
      <w:lvlText w:val="3"/>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1)"/>
      <w:numFmt w:val="decimal"/>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1)"/>
      <w:numFmt w:val="lowerLetter"/>
      <w:start w:val="1"/>
    </w:lvl>
    <w:lvl w:ilvl="1">
      <w:lvlJc w:val="left"/>
      <w:lvlText w:val="(%2)"/>
      <w:numFmt w:val="decimal"/>
      <w:start w:val="1"/>
    </w:lvl>
  </w:abstractNum>
  <w:abstractNum w:abstractNumId="45">
    <w:nsid w:val="BF72B14"/>
    <w:multiLevelType w:val="hybridMultilevel"/>
    <w:lvl w:ilvl="0">
      <w:lvlJc w:val="left"/>
      <w:lvlText w:val="(%1)"/>
      <w:numFmt w:val="decimal"/>
      <w:start w:val="2"/>
    </w:lvl>
  </w:abstractNum>
  <w:abstractNum w:abstractNumId="46">
    <w:nsid w:val="11447B73"/>
    <w:multiLevelType w:val="hybridMultilevel"/>
    <w:lvl w:ilvl="0">
      <w:lvlJc w:val="left"/>
      <w:lvlText w:val="(%1)"/>
      <w:numFmt w:val="decimal"/>
      <w:start w:val="3"/>
    </w:lvl>
  </w:abstractNum>
  <w:abstractNum w:abstractNumId="47">
    <w:nsid w:val="42963E5A"/>
    <w:multiLevelType w:val="hybridMultilevel"/>
    <w:lvl w:ilvl="0">
      <w:lvlJc w:val="left"/>
      <w:lvlText w:val="&amp;"/>
      <w:numFmt w:val="bullet"/>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6"/>
    </w:lvl>
  </w:abstractNum>
  <w:abstractNum w:abstractNumId="50">
    <w:nsid w:val="1A32234B"/>
    <w:multiLevelType w:val="hybridMultilevel"/>
    <w:lvl w:ilvl="0">
      <w:lvlJc w:val="left"/>
      <w:lvlText w:val="&amp;"/>
      <w:numFmt w:val="bullet"/>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14"/>
    </w:lvl>
  </w:abstractNum>
  <w:abstractNum w:abstractNumId="53">
    <w:nsid w:val="4962813B"/>
    <w:multiLevelType w:val="hybridMultilevel"/>
    <w:lvl w:ilvl="0">
      <w:lvlJc w:val="left"/>
      <w:lvlText w:val="(%1)"/>
      <w:numFmt w:val="lowerLetter"/>
      <w:start w:val="1"/>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3"/>
    </w:lvl>
  </w:abstractNum>
  <w:abstractNum w:abstractNumId="57">
    <w:nsid w:val="7FFFCA11"/>
    <w:multiLevelType w:val="hybridMultilevel"/>
    <w:lvl w:ilvl="0">
      <w:lvlJc w:val="left"/>
      <w:lvlText w:val="%1."/>
      <w:numFmt w:val="decimal"/>
      <w:start w:val="4"/>
    </w:lvl>
  </w:abstractNum>
  <w:abstractNum w:abstractNumId="58">
    <w:nsid w:val="1A27709E"/>
    <w:multiLevelType w:val="hybridMultilevel"/>
    <w:lvl w:ilvl="0">
      <w:lvlJc w:val="left"/>
      <w:lvlText w:val="%1."/>
      <w:numFmt w:val="decimal"/>
      <w:start w:val="9"/>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4"/>
    </w:lvl>
  </w:abstractNum>
  <w:abstractNum w:abstractNumId="61">
    <w:nsid w:val="7FB7E0AA"/>
    <w:multiLevelType w:val="hybridMultilevel"/>
    <w:lvl w:ilvl="0">
      <w:lvlJc w:val="left"/>
      <w:lvlText w:val="(%1)"/>
      <w:numFmt w:val="decimal"/>
      <w:start w:val="6"/>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3"/>
    </w:lvl>
  </w:abstractNum>
  <w:abstractNum w:abstractNumId="64">
    <w:nsid w:val="94211F2"/>
    <w:multiLevelType w:val="hybridMultilevel"/>
    <w:lvl w:ilvl="0">
      <w:lvlJc w:val="left"/>
      <w:lvlText w:val="(%1)"/>
      <w:numFmt w:val="upperLetter"/>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Letter"/>
      <w:start w:val="1"/>
    </w:lvl>
  </w:abstractNum>
  <w:abstractNum w:abstractNumId="69">
    <w:nsid w:val="14E17E33"/>
    <w:multiLevelType w:val="hybridMultilevel"/>
    <w:lvl w:ilvl="0">
      <w:lvlJc w:val="left"/>
      <w:lvlText w:val="%1"/>
      <w:numFmt w:val="decimal"/>
      <w:start w:val="1"/>
    </w:lvl>
    <w:lvl w:ilvl="1">
      <w:lvlJc w:val="left"/>
      <w:lvlText w:val="(%2)"/>
      <w:numFmt w:val="lowerLetter"/>
      <w:start w:val="1"/>
    </w:lvl>
  </w:abstractNum>
  <w:abstractNum w:abstractNumId="70">
    <w:nsid w:val="3222E7CD"/>
    <w:multiLevelType w:val="hybridMultilevel"/>
    <w:lvl w:ilvl="0">
      <w:lvlJc w:val="left"/>
      <w:lvlText w:val="%1."/>
      <w:numFmt w:val="decimal"/>
      <w:start w:val="2"/>
    </w:lvl>
    <w:lvl w:ilvl="1">
      <w:lvlJc w:val="left"/>
      <w:lvlText w:val="%2"/>
      <w:numFmt w:val="lowerLetter"/>
      <w:start w:val="1"/>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decimal"/>
      <w:start w:val="3"/>
    </w:lvl>
  </w:abstractNum>
  <w:abstractNum w:abstractNumId="74">
    <w:nsid w:val="46B7D447"/>
    <w:multiLevelType w:val="hybridMultilevel"/>
    <w:lvl w:ilvl="0">
      <w:lvlJc w:val="left"/>
      <w:lvlText w:val="(%1)"/>
      <w:numFmt w:val="lowerLetter"/>
      <w:start w:val="1"/>
    </w:lvl>
    <w:lvl w:ilvl="1">
      <w:lvlJc w:val="left"/>
      <w:lvlText w:val="(%2)"/>
      <w:numFmt w:val="lowerRoman"/>
      <w:start w:val="1"/>
    </w:lvl>
  </w:abstractNum>
  <w:abstractNum w:abstractNumId="75">
    <w:nsid w:val="4A2AC315"/>
    <w:multiLevelType w:val="hybridMultilevel"/>
    <w:lvl w:ilvl="0">
      <w:lvlJc w:val="left"/>
      <w:lvlText w:val="(%1)"/>
      <w:numFmt w:val="lowerLetter"/>
      <w:start w:val="1"/>
    </w:lvl>
    <w:lvl w:ilvl="1">
      <w:lvlJc w:val="left"/>
      <w:lvlText w:val="(%2)"/>
      <w:numFmt w:val="lowerLetter"/>
      <w:start w:val="9"/>
    </w:lvl>
  </w:abstractNum>
  <w:abstractNum w:abstractNumId="76">
    <w:nsid w:val="39EE015C"/>
    <w:multiLevelType w:val="hybridMultilevel"/>
    <w:lvl w:ilvl="0">
      <w:lvlJc w:val="left"/>
      <w:lvlText w:val="%1"/>
      <w:numFmt w:val="lowerLetter"/>
      <w:start w:val="1"/>
    </w:lvl>
    <w:lvl w:ilvl="1">
      <w:lvlJc w:val="left"/>
      <w:lvlText w:val="(%2)"/>
      <w:numFmt w:val="lowerRoman"/>
      <w:start w:val="2"/>
    </w:lvl>
  </w:abstractNum>
  <w:abstractNum w:abstractNumId="77">
    <w:nsid w:val="57FC4FBB"/>
    <w:multiLevelType w:val="hybridMultilevel"/>
    <w:lvl w:ilvl="0">
      <w:lvlJc w:val="left"/>
      <w:lvlText w:val="(%1)"/>
      <w:numFmt w:val="lowerLetter"/>
      <w:start w:val="2"/>
    </w:lvl>
    <w:lvl w:ilvl="1">
      <w:lvlJc w:val="left"/>
      <w:lvlText w:val="%2"/>
      <w:numFmt w:val="lowerRoman"/>
      <w:start w:val="1"/>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1"/>
    </w:lvl>
    <w:lvl w:ilvl="1">
      <w:lvlJc w:val="left"/>
      <w:lvlText w:val="(%2)"/>
      <w:numFmt w:val="lowerRoman"/>
      <w:start w:val="1"/>
    </w:lvl>
  </w:abstractNum>
  <w:abstractNum w:abstractNumId="80">
    <w:nsid w:val="60EF0119"/>
    <w:multiLevelType w:val="hybridMultilevel"/>
    <w:lvl w:ilvl="0">
      <w:lvlJc w:val="left"/>
      <w:lvlText w:val="(%1)"/>
      <w:numFmt w:val="lowerRoman"/>
      <w:start w:val="1"/>
    </w:lvl>
  </w:abstractNum>
  <w:abstractNum w:abstractNumId="81">
    <w:nsid w:val="26F324BA"/>
    <w:multiLevelType w:val="hybridMultilevel"/>
    <w:lvl w:ilvl="0">
      <w:lvlJc w:val="left"/>
      <w:lvlText w:val="%1"/>
      <w:numFmt w:val="decimal"/>
      <w:start w:val="1"/>
    </w:lvl>
    <w:lvl w:ilvl="1">
      <w:lvlJc w:val="left"/>
      <w:lvlText w:val="(%2)"/>
      <w:numFmt w:val="lowerLetter"/>
      <w:start w:val="1"/>
    </w:lvl>
  </w:abstractNum>
  <w:abstractNum w:abstractNumId="82">
    <w:nsid w:val="7F01579B"/>
    <w:multiLevelType w:val="hybridMultilevel"/>
    <w:lvl w:ilvl="0">
      <w:lvlJc w:val="left"/>
      <w:lvlText w:val="%1."/>
      <w:numFmt w:val="decimal"/>
      <w:start w:val="4"/>
    </w:lvl>
    <w:lvl w:ilvl="1">
      <w:lvlJc w:val="left"/>
      <w:lvlText w:val="%2"/>
      <w:numFmt w:val="lowerLetter"/>
      <w:start w:val="1"/>
    </w:lvl>
  </w:abstractNum>
  <w:abstractNum w:abstractNumId="83">
    <w:nsid w:val="49DA307D"/>
    <w:multiLevelType w:val="hybridMultilevel"/>
    <w:lvl w:ilvl="0">
      <w:lvlJc w:val="left"/>
      <w:lvlText w:val="(%1)"/>
      <w:numFmt w:val="lowerRoman"/>
      <w:start w:val="1"/>
    </w:lvl>
  </w:abstractNum>
  <w:abstractNum w:abstractNumId="84">
    <w:nsid w:val="7055A5F5"/>
    <w:multiLevelType w:val="hybridMultilevel"/>
    <w:lvl w:ilvl="0">
      <w:lvlJc w:val="left"/>
      <w:lvlText w:val="%1."/>
      <w:numFmt w:val="decimal"/>
      <w:start w:val="5"/>
    </w:lvl>
  </w:abstractNum>
  <w:abstractNum w:abstractNumId="85">
    <w:nsid w:val="5FB8370B"/>
    <w:multiLevelType w:val="hybridMultilevel"/>
    <w:lvl w:ilvl="0">
      <w:lvlJc w:val="left"/>
      <w:lvlText w:val="%1."/>
      <w:numFmt w:val="decimal"/>
      <w:start w:val="6"/>
    </w:lvl>
  </w:abstractNum>
  <w:abstractNum w:abstractNumId="86">
    <w:nsid w:val="50801EE1"/>
    <w:multiLevelType w:val="hybridMultilevel"/>
    <w:lvl w:ilvl="0">
      <w:lvlJc w:val="left"/>
      <w:lvlText w:val="%1."/>
      <w:numFmt w:val="decimal"/>
      <w:start w:val="7"/>
    </w:lvl>
  </w:abstractNum>
  <w:abstractNum w:abstractNumId="87">
    <w:nsid w:val="488AC1A"/>
    <w:multiLevelType w:val="hybridMultilevel"/>
    <w:lvl w:ilvl="0">
      <w:lvlJc w:val="left"/>
      <w:lvlText w:val="%1."/>
      <w:numFmt w:val="decimal"/>
      <w:start w:val="8"/>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decimal"/>
      <w:start w:val="9"/>
    </w:lvl>
  </w:abstractNum>
  <w:abstractNum w:abstractNumId="90">
    <w:nsid w:val="7672BD23"/>
    <w:multiLevelType w:val="hybridMultilevel"/>
    <w:lvl w:ilvl="0">
      <w:lvlJc w:val="left"/>
      <w:lvlText w:val="%1."/>
      <w:numFmt w:val="decimal"/>
      <w:start w:val="10"/>
    </w:lvl>
  </w:abstractNum>
  <w:abstractNum w:abstractNumId="91">
    <w:nsid w:val="6FC75AF8"/>
    <w:multiLevelType w:val="hybridMultilevel"/>
    <w:lvl w:ilvl="0">
      <w:lvlJc w:val="left"/>
      <w:lvlText w:val="%1"/>
      <w:numFmt w:val="decimal"/>
      <w:start w:val="1"/>
    </w:lvl>
    <w:lvl w:ilvl="1">
      <w:lvlJc w:val="left"/>
      <w:lvlText w:val="(%2)"/>
      <w:numFmt w:val="lowerLetter"/>
      <w:start w:val="1"/>
    </w:lvl>
  </w:abstractNum>
  <w:abstractNum w:abstractNumId="92">
    <w:nsid w:val="6A5F7029"/>
    <w:multiLevelType w:val="hybridMultilevel"/>
    <w:lvl w:ilvl="0">
      <w:lvlJc w:val="left"/>
      <w:lvlText w:val="%1."/>
      <w:numFmt w:val="decimal"/>
      <w:start w:val="11"/>
    </w:lvl>
    <w:lvl w:ilvl="1">
      <w:lvlJc w:val="left"/>
      <w:lvlText w:val="%2"/>
      <w:numFmt w:val="lowerLetter"/>
      <w:start w:val="1"/>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lowerLetter"/>
      <w:start w:val="5"/>
    </w:lvl>
  </w:abstractNum>
  <w:abstractNum w:abstractNumId="95">
    <w:nsid w:val="73A1821B"/>
    <w:multiLevelType w:val="hybridMultilevel"/>
    <w:lvl w:ilvl="0">
      <w:lvlJc w:val="left"/>
      <w:lvlText w:val="%1."/>
      <w:numFmt w:val="decimal"/>
      <w:start w:val="12"/>
    </w:lvl>
  </w:abstractNum>
  <w:abstractNum w:abstractNumId="96">
    <w:nsid w:val="7DE67713"/>
    <w:multiLevelType w:val="hybridMultilevel"/>
    <w:lvl w:ilvl="0">
      <w:lvlJc w:val="left"/>
      <w:lvlText w:val="%1."/>
      <w:numFmt w:val="decimal"/>
      <w:start w:val="13"/>
    </w:lvl>
  </w:abstractNum>
  <w:abstractNum w:abstractNumId="97">
    <w:nsid w:val="555C55B5"/>
    <w:multiLevelType w:val="hybridMultilevel"/>
    <w:lvl w:ilvl="0">
      <w:lvlJc w:val="left"/>
      <w:lvlText w:val="%1."/>
      <w:numFmt w:val="decimal"/>
      <w:start w:val="14"/>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decimal"/>
      <w:start w:val="15"/>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16"/>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lowerLetter"/>
      <w:start w:val="4"/>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2019-12-10T09:40:25Z</dcterms:created>
  <dcterms:modified xsi:type="dcterms:W3CDTF">2019-12-10T09:40:25Z</dcterms:modified>
</cp:coreProperties>
</file>