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13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TSUKAMOTO ANN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EVP, Research and Development</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134"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NEWARK</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94560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jc w:val="right"/>
              <w:ind w:right="1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01/08/2015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250,000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627,506</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01/08/2015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727,506</w:t>
            </w:r>
            <w:r>
              <w:rPr>
                <w:rFonts w:ascii="Arial" w:cs="Arial" w:eastAsia="Arial" w:hAnsi="Arial"/>
                <w:sz w:val="22"/>
                <w:szCs w:val="22"/>
                <w:color w:val="008000"/>
                <w:w w:val="84"/>
                <w:vertAlign w:val="superscript"/>
              </w:rPr>
              <w:t>(4)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4"/>
              <w:spacing w:after="0"/>
              <w:rPr>
                <w:sz w:val="20"/>
                <w:szCs w:val="20"/>
                <w:color w:val="auto"/>
              </w:rPr>
            </w:pPr>
            <w:r>
              <w:rPr>
                <w:rFonts w:ascii="Arial" w:cs="Arial" w:eastAsia="Arial" w:hAnsi="Arial"/>
                <w:sz w:val="18"/>
                <w:szCs w:val="18"/>
                <w:color w:val="0000FF"/>
                <w:w w:val="88"/>
              </w:rPr>
              <w:t>3,643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4"/>
              <w:spacing w:after="0"/>
              <w:rPr>
                <w:sz w:val="20"/>
                <w:szCs w:val="20"/>
                <w:color w:val="auto"/>
              </w:rPr>
            </w:pPr>
            <w:r>
              <w:rPr>
                <w:rFonts w:ascii="Arial" w:cs="Arial" w:eastAsia="Arial" w:hAnsi="Arial"/>
                <w:sz w:val="18"/>
                <w:szCs w:val="18"/>
                <w:color w:val="0000FF"/>
                <w:w w:val="87"/>
              </w:rPr>
              <w:t>26,490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1/3 vesting on each of January 8, 2016, January 8, 2017, and January 8, 2018.</w:t>
      </w:r>
    </w:p>
    <w:p>
      <w:pPr>
        <w:spacing w:after="0" w:line="41" w:lineRule="exact"/>
        <w:rPr>
          <w:rFonts w:ascii="Arial" w:cs="Arial" w:eastAsia="Arial" w:hAnsi="Arial"/>
          <w:sz w:val="14"/>
          <w:szCs w:val="14"/>
          <w:color w:val="008000"/>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210,000 restricted stock units, with 70,000 of these vesting on each of June 6, 2015, June 6, 2026, and June 6, 2017; (2) 43,333 restricted stock units vesting on January 27, 2015; and (3) 250,000 restricted stock units, with 83,333 of these vesting on each of January 8, 2016, January 8, 2017, and January 8, 2018.</w:t>
      </w:r>
    </w:p>
    <w:p>
      <w:pPr>
        <w:spacing w:after="0" w:line="30"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performance based vesting set by the issuer's Board of Directors and tied to the timely and successful conduct and completion of the issuer's Phase II clinical studies in dry AMD and spinal cord injury.</w:t>
      </w:r>
    </w:p>
    <w:p>
      <w:pPr>
        <w:spacing w:after="0" w:line="30" w:lineRule="exact"/>
        <w:rPr>
          <w:rFonts w:ascii="Arial" w:cs="Arial" w:eastAsia="Arial" w:hAnsi="Arial"/>
          <w:sz w:val="14"/>
          <w:szCs w:val="14"/>
          <w:color w:val="008000"/>
        </w:rPr>
      </w:pPr>
    </w:p>
    <w:p>
      <w:pPr>
        <w:ind w:left="40" w:right="2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210,000 restricted stock units, with 70,000 of these vesting on each of June 6, 2015, June 6, 2026, and June 6, 2017; (2) 43,333 restricted stock units vesting on January 27, 2015; (3) 250,000 restricted stock units, with 83,333 of these vesting on each of January 8, 2016, January 8, 2017, and January 8, 2018; and (4) 100,000 restricted stock units with performance based vesting.</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2,284 shares held in trust as to which Dr. Tsukamoto disclaims beneficial ownership.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01/09/2015</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2"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2019-12-24T02:48:12Z</dcterms:created>
  <dcterms:modified xsi:type="dcterms:W3CDTF">2019-12-24T02:48:12Z</dcterms:modified>
</cp:coreProperties>
</file>