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29,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6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On April 29, 2024, Microbot Medical Inc. (the “Company”) issued a press release announcing that the first phase of its previously announced collaboration with Corewell Health has been completed, which demonstrated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System’s technical capabilities and outlines potential future applications in a range of endovascular interventions. The objective of the collaboration, which will take place in multiple phases, is to enable telerobotics between remote centers by utilizing the LIBERTY System. The agreement with Corewell Health includes the right to mutually evaluate the LIBERTY System for remote procedures and it is being led by Ryan Madder, M.D., Section Chief of Interventional Cardiology and Director of the Cardiac Cath Lab at Corewell Health in Grand Rapids, Michigan.</w:t>
      </w:r>
    </w:p>
    <w:p>
      <w:pPr>
        <w:spacing w:after="0" w:line="2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Dr. Madder and colleagues have recently published an abstract reflecting the results of the first phase of the aforementioned collaboration in the Journal of the American College of Cardiology: Cardiovascular Interventions, highlighting the Technical Success of Coronary Guidewire and Stent Delivery Using a Novel Miniaturized Robotic System in a Pre-Clinical Study.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220" w:type="dxa"/>
            <w:vAlign w:val="bottom"/>
          </w:tcPr>
          <w:p>
            <w:pPr>
              <w:spacing w:after="0"/>
              <w:rPr>
                <w:sz w:val="20"/>
                <w:szCs w:val="20"/>
                <w:color w:val="auto"/>
              </w:rPr>
            </w:pPr>
          </w:p>
        </w:tc>
      </w:tr>
      <w:tr>
        <w:trPr>
          <w:trHeight w:val="41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220" w:type="dxa"/>
            <w:vAlign w:val="bottom"/>
          </w:tcPr>
          <w:p>
            <w:pPr>
              <w:spacing w:after="0"/>
              <w:rPr>
                <w:sz w:val="24"/>
                <w:szCs w:val="24"/>
                <w:color w:val="auto"/>
              </w:rPr>
            </w:pPr>
          </w:p>
        </w:tc>
      </w:tr>
      <w:tr>
        <w:trPr>
          <w:trHeight w:val="24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9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Press Release</w:t>
            </w:r>
          </w:p>
        </w:tc>
        <w:tc>
          <w:tcPr>
            <w:tcW w:w="9220" w:type="dxa"/>
            <w:vAlign w:val="bottom"/>
            <w:tcBorders>
              <w:top w:val="single" w:sz="8" w:color="auto"/>
            </w:tcBorders>
          </w:tcPr>
          <w:p>
            <w:pPr>
              <w:spacing w:after="0"/>
              <w:rPr>
                <w:sz w:val="24"/>
                <w:szCs w:val="24"/>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164465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Announces Positive Results from the First Phase of its Collaboration with Corewell Health™</w:t>
      </w:r>
    </w:p>
    <w:p>
      <w:pPr>
        <w:spacing w:after="0" w:line="227" w:lineRule="exact"/>
        <w:rPr>
          <w:sz w:val="20"/>
          <w:szCs w:val="20"/>
          <w:color w:val="auto"/>
        </w:rPr>
      </w:pPr>
    </w:p>
    <w:p>
      <w:pPr>
        <w:jc w:val="center"/>
        <w:ind w:left="340" w:right="380"/>
        <w:spacing w:after="0" w:line="284" w:lineRule="auto"/>
        <w:rPr>
          <w:sz w:val="20"/>
          <w:szCs w:val="20"/>
          <w:color w:val="auto"/>
        </w:rPr>
      </w:pPr>
      <w:r>
        <w:rPr>
          <w:rFonts w:ascii="Times New Roman" w:cs="Times New Roman" w:eastAsia="Times New Roman" w:hAnsi="Times New Roman"/>
          <w:sz w:val="18"/>
          <w:szCs w:val="18"/>
          <w:i w:val="1"/>
          <w:iCs w:val="1"/>
          <w:color w:val="auto"/>
        </w:rPr>
        <w:t>The next step of the collaboration will explore potential future applications of the LIBERTY system, including its potential capabilities for remote endovascular procedures</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BRAINTREE, Mass., April 29, 2024 </w:t>
      </w:r>
      <w:r>
        <w:rPr>
          <w:rFonts w:ascii="Times New Roman" w:cs="Times New Roman" w:eastAsia="Times New Roman" w:hAnsi="Times New Roman"/>
          <w:sz w:val="18"/>
          <w:szCs w:val="18"/>
          <w:color w:val="auto"/>
        </w:rPr>
        <w:t>– Microbot Medical Inc. (Nasdaq: MBOT), developer of the innovative LIBERTY® Endovascular Robotic Surgical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today reports that the first phase of the previously announced collaboration with Corewell Health has been completed, which demonstrated the LIBERTY® System’s technical capabilities and outlines potential future applications in a range of endovascular interventions. The objective of the collaboration, which will take place in multiple phases, is to enable telerobotics between remote centers by utilizing the LIBERTY System. The agreement with Corewell Health includes the right to mutually evaluate the LIBERTY System for remote procedures and it is being led by Ryan Madder, M.D., Section Chief of Interventional Cardiology and Director of the Cardiac Cath Lab at Corewell Health in Grand Rapids, Michigan.</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Madder and colleagues have recently published an abstract reflecting the results of the first phase of the aforementioned collaboration in the Journal of the American College of Cardiology: Cardiovascular Interventions, highlighting the Technical Success of Coronary Guidewire and Stent Delivery Using a Novel Miniaturized Robotic System in a Pre-Clinical Study.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aims to improve the way surgical robotics are being used in endovascular procedures today, by eliminating the need for large, cumbersome, and expensive capital equipment, while reducing radiation exposure and physician strain. The Company</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believes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has the potential to be the first system to democratize endovascular interventional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w:t>
      </w:r>
    </w:p>
    <w:p>
      <w:pPr>
        <w:spacing w:after="0" w:line="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Surgical System, the outcome of its studies to evaluate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uncertainty in the results of pre-clinical and clinical trials or regulatory pathways and regulatory approvals, including whether the Company succeeds in obtaining FDA approval to commence its pivotal study in humans, any failure or inability to recruit physicians and clinicians to serve as primary investigators to conduct regulatory studies which could adversely affect or delay such studies, , disruptions resulting from new and ongoing hostilities between Israel and the Palestinians and other neighboring countries,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+972-(0)52-3044404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2024-04-29T07:34:03Z</dcterms:created>
  <dcterms:modified xsi:type="dcterms:W3CDTF">2024-04-29T07:34:03Z</dcterms:modified>
</cp:coreProperties>
</file>