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333-250966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782,495 Shares of Common Stock</w:t>
      </w:r>
    </w:p>
    <w:p>
      <w:pPr>
        <w:spacing w:after="0" w:line="31" w:lineRule="exact"/>
        <w:rPr>
          <w:sz w:val="24"/>
          <w:szCs w:val="24"/>
          <w:color w:val="auto"/>
        </w:rPr>
      </w:pPr>
    </w:p>
    <w:p>
      <w:pPr>
        <w:ind w:left="2800" w:right="2460" w:hanging="13"/>
        <w:spacing w:after="0" w:line="260" w:lineRule="auto"/>
        <w:rPr>
          <w:sz w:val="20"/>
          <w:szCs w:val="20"/>
          <w:color w:val="auto"/>
        </w:rPr>
      </w:pPr>
      <w:r>
        <w:rPr>
          <w:rFonts w:ascii="Times New Roman" w:cs="Times New Roman" w:eastAsia="Times New Roman" w:hAnsi="Times New Roman"/>
          <w:sz w:val="18"/>
          <w:szCs w:val="18"/>
          <w:b w:val="1"/>
          <w:bCs w:val="1"/>
          <w:color w:val="auto"/>
        </w:rPr>
        <w:t>Pre-Funded Warrants to purchase up to 240,000 Shares of Common Stock Up to 240,000 Shares of Common Stock Underlying the Pre-Funded Warrants</w:t>
      </w:r>
    </w:p>
    <w:p>
      <w:pPr>
        <w:spacing w:after="0" w:line="181"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offering 782,495 shares of our common stock, par value $0.01 per share (“common stock”), to an institutional investor at an offering price of $4.89 per share, pursuant to this prospectus supplement and the accompanying prospectus.</w:t>
      </w:r>
    </w:p>
    <w:p>
      <w:pPr>
        <w:spacing w:after="0" w:line="162"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offering pre-funded warrants to purchase 240,000 shares of our common stock (“pre-funded warrants”) in lieu of shares of common stock to the same institutional investor whose purchase of shares of common stock in this offering would otherwise result in the investor, together with its affiliates, beneficially owning more than 4.99% (or, at the election of the investor, 9.99%) of our common stock. Each pre-funded warrant will be sold in this offering at a purchase price equal to $4.8899 (equal to the purchase price per share of common stock sold in this offering, minus $0.0001). The per share exercise price for the pre-funded warrants will be $0.0001, and the pre-funded warrants are immediately exercisable and may be exercised at any time until all of the pre-funded warrants are exercised in full. This offering also relates to the shares of common stock issuable upon exercise of the pre-funded warrants sold in this offering.</w:t>
      </w:r>
    </w:p>
    <w:p>
      <w:pPr>
        <w:spacing w:after="0" w:line="189" w:lineRule="exact"/>
        <w:rPr>
          <w:sz w:val="24"/>
          <w:szCs w:val="24"/>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institutional investor of our shares of common stock and pre-funded warrants to purchase shares of common stock, unregistered series A preferred investment options to purchase up to 1,022,495 shares of our common stock (the “series A preferred investment options”) and unregistered series B preferred investment options to purchase up to 1,022,495 shares of our common stock (the “series B preferred investment options” and, with the series A preferred investment options, the “preferred investment options”). Each series A preferred investment option will be exercisable for one share of common stock at an exercise price of $4.64 commencing on the date of issuance and will expire five years from the initial exercise date. Each series B preferred investment option will be exercisable for one share of common stock at an exercise price of $4.64 commencing on the date of issuance and will expire two years from the initial exercise date. The preferred investment options and the shares of common stock issuable upon the exercise of such preferred investment options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None of the securities issued in the concurrent private placement are or will be listed for trading on any national securities exchange.</w:t>
      </w:r>
    </w:p>
    <w:p>
      <w:pPr>
        <w:spacing w:after="0" w:line="19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listed and trades on The Nasdaq Capital Market under the symbol “MBOT.” There is no established trading market for the pre-funded warrants, and we do not expect a market to develop. We do not intend to apply for a listing for any such pre-funded warrants on any securities exchange or other nationally recognized trading system.</w:t>
      </w:r>
    </w:p>
    <w:p>
      <w:pPr>
        <w:spacing w:after="0" w:line="176"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the aggregate market value of our outstanding common stock held by non-affiliates, computed by reference to the price at which our common stock was last sold on The Nasdaq Capital Market on September 12, 2022, which was $5.93 per share, was approximately $39.9 million, based on 7,108,133 shares of our outstanding common stock as of the date of this prospectus supplement, of which 6,729,258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not sold any securities pursuant to General Instruction I.B.6 of Form S-3.</w:t>
      </w:r>
    </w:p>
    <w:p>
      <w:pPr>
        <w:spacing w:after="0" w:line="18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and pre-funded warrants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Per Pre-Funded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tcPr>
          <w:p>
            <w:pPr>
              <w:spacing w:after="0"/>
              <w:rPr>
                <w:sz w:val="21"/>
                <w:szCs w:val="21"/>
                <w:color w:val="auto"/>
              </w:rPr>
            </w:pPr>
          </w:p>
        </w:tc>
        <w:tc>
          <w:tcPr>
            <w:tcW w:w="1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360" w:type="dxa"/>
            <w:vAlign w:val="bottom"/>
          </w:tcPr>
          <w:p>
            <w:pPr>
              <w:spacing w:after="0"/>
              <w:rPr>
                <w:sz w:val="21"/>
                <w:szCs w:val="21"/>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agent’s fees (1)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0.3423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0.342293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4.5477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4.547607</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4,650,001</w:t>
            </w:r>
          </w:p>
        </w:tc>
      </w:tr>
    </w:tbl>
    <w:p>
      <w:pPr>
        <w:spacing w:after="0" w:line="198" w:lineRule="exact"/>
        <w:rPr>
          <w:sz w:val="24"/>
          <w:szCs w:val="24"/>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have agreed to pay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S-15 of this prospectus supplement for more information.</w:t>
      </w:r>
    </w:p>
    <w:p>
      <w:pPr>
        <w:sectPr>
          <w:pgSz w:w="11900" w:h="16882" w:orient="portrait"/>
          <w:cols w:equalWidth="0" w:num="1">
            <w:col w:w="11240"/>
          </w:cols>
          <w:pgMar w:left="320" w:top="441"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(2) Does not include proceeds from the exercise of the placement agent warrants to be issued to the placement agent in cash, if 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Delivery of the shares of common stock and pre-funded warrants offered hereby is expected to be made on or about October 25, 2022, subject to satisfaction of customary closing conditions.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S-7 of this prospectus supplement and the risk factors incorporated by reference into this prospectus supplement and the accompanying base prospectus.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r>
      <w:tr>
        <w:trPr>
          <w:trHeight w:val="460"/>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1240" w:type="dxa"/>
            <w:vAlign w:val="bottom"/>
            <w:tcBorders>
              <w:top w:val="single" w:sz="8" w:color="auto"/>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6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PRIVATE PLACEMENT TRANSACTION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175"/>
        </w:trPr>
        <w:tc>
          <w:tcPr>
            <w:tcW w:w="316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4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473"/>
        </w:trPr>
        <w:tc>
          <w:tcPr>
            <w:tcW w:w="78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40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180" w:type="dxa"/>
            <w:vAlign w:val="bottom"/>
            <w:tcBorders>
              <w:top w:val="single" w:sz="8" w:color="0000EE"/>
              <w:bottom w:val="single" w:sz="8" w:color="CCEEFF"/>
            </w:tcBorders>
          </w:tcPr>
          <w:p>
            <w:pPr>
              <w:spacing w:after="0"/>
              <w:rPr>
                <w:sz w:val="24"/>
                <w:szCs w:val="24"/>
                <w:color w:val="auto"/>
              </w:rPr>
            </w:pPr>
          </w:p>
        </w:tc>
        <w:tc>
          <w:tcPr>
            <w:tcW w:w="120" w:type="dxa"/>
            <w:vAlign w:val="bottom"/>
            <w:tcBorders>
              <w:top w:val="single" w:sz="8" w:color="0000EE"/>
              <w:bottom w:val="single" w:sz="8" w:color="CCEEFF"/>
            </w:tcBorders>
          </w:tcPr>
          <w:p>
            <w:pPr>
              <w:spacing w:after="0"/>
              <w:rPr>
                <w:sz w:val="24"/>
                <w:szCs w:val="24"/>
                <w:color w:val="auto"/>
              </w:rPr>
            </w:pPr>
          </w:p>
        </w:tc>
        <w:tc>
          <w:tcPr>
            <w:tcW w:w="440" w:type="dxa"/>
            <w:vAlign w:val="bottom"/>
            <w:tcBorders>
              <w:top w:val="single" w:sz="8" w:color="0000EE"/>
              <w:bottom w:val="single" w:sz="8" w:color="CCEEFF"/>
            </w:tcBorders>
          </w:tcPr>
          <w:p>
            <w:pPr>
              <w:spacing w:after="0"/>
              <w:rPr>
                <w:sz w:val="24"/>
                <w:szCs w:val="24"/>
                <w:color w:val="auto"/>
              </w:rPr>
            </w:pPr>
          </w:p>
        </w:tc>
        <w:tc>
          <w:tcPr>
            <w:tcW w:w="40" w:type="dxa"/>
            <w:vAlign w:val="bottom"/>
            <w:tcBorders>
              <w:top w:val="single" w:sz="8" w:color="0000EE"/>
              <w:bottom w:val="single" w:sz="8" w:color="CCEEFF"/>
            </w:tcBorders>
          </w:tcPr>
          <w:p>
            <w:pPr>
              <w:spacing w:after="0"/>
              <w:rPr>
                <w:sz w:val="24"/>
                <w:szCs w:val="24"/>
                <w:color w:val="auto"/>
              </w:rPr>
            </w:pPr>
          </w:p>
        </w:tc>
        <w:tc>
          <w:tcPr>
            <w:tcW w:w="40" w:type="dxa"/>
            <w:vAlign w:val="bottom"/>
            <w:tcBorders>
              <w:top w:val="single" w:sz="8" w:color="0000EE"/>
              <w:bottom w:val="single" w:sz="8" w:color="CCEEFF"/>
            </w:tcBorders>
          </w:tcPr>
          <w:p>
            <w:pPr>
              <w:spacing w:after="0"/>
              <w:rPr>
                <w:sz w:val="24"/>
                <w:szCs w:val="24"/>
                <w:color w:val="auto"/>
              </w:rPr>
            </w:pPr>
          </w:p>
        </w:tc>
        <w:tc>
          <w:tcPr>
            <w:tcW w:w="40" w:type="dxa"/>
            <w:vAlign w:val="bottom"/>
            <w:tcBorders>
              <w:top w:val="single" w:sz="8" w:color="0000EE"/>
              <w:bottom w:val="single" w:sz="8" w:color="CCEEFF"/>
            </w:tcBorders>
          </w:tcPr>
          <w:p>
            <w:pPr>
              <w:spacing w:after="0"/>
              <w:rPr>
                <w:sz w:val="24"/>
                <w:szCs w:val="24"/>
                <w:color w:val="auto"/>
              </w:rPr>
            </w:pPr>
          </w:p>
        </w:tc>
        <w:tc>
          <w:tcPr>
            <w:tcW w:w="340" w:type="dxa"/>
            <w:vAlign w:val="bottom"/>
            <w:tcBorders>
              <w:top w:val="single" w:sz="8" w:color="0000EE"/>
              <w:bottom w:val="single" w:sz="8" w:color="CCEEFF"/>
            </w:tcBorders>
          </w:tcPr>
          <w:p>
            <w:pPr>
              <w:spacing w:after="0"/>
              <w:rPr>
                <w:sz w:val="24"/>
                <w:szCs w:val="24"/>
                <w:color w:val="auto"/>
              </w:rPr>
            </w:pPr>
          </w:p>
        </w:tc>
        <w:tc>
          <w:tcPr>
            <w:tcW w:w="480" w:type="dxa"/>
            <w:vAlign w:val="bottom"/>
            <w:tcBorders>
              <w:top w:val="single" w:sz="8" w:color="0000EE"/>
              <w:bottom w:val="single" w:sz="8" w:color="CCEEFF"/>
            </w:tcBorders>
          </w:tcPr>
          <w:p>
            <w:pPr>
              <w:spacing w:after="0"/>
              <w:rPr>
                <w:sz w:val="24"/>
                <w:szCs w:val="24"/>
                <w:color w:val="auto"/>
              </w:rPr>
            </w:pPr>
          </w:p>
        </w:tc>
        <w:tc>
          <w:tcPr>
            <w:tcW w:w="80" w:type="dxa"/>
            <w:vAlign w:val="bottom"/>
            <w:tcBorders>
              <w:top w:val="single" w:sz="8" w:color="0000EE"/>
              <w:bottom w:val="single" w:sz="8" w:color="CCEEFF"/>
            </w:tcBorders>
          </w:tcPr>
          <w:p>
            <w:pPr>
              <w:spacing w:after="0"/>
              <w:rPr>
                <w:sz w:val="24"/>
                <w:szCs w:val="24"/>
                <w:color w:val="auto"/>
              </w:rPr>
            </w:pPr>
          </w:p>
        </w:tc>
        <w:tc>
          <w:tcPr>
            <w:tcW w:w="100" w:type="dxa"/>
            <w:vAlign w:val="bottom"/>
            <w:tcBorders>
              <w:top w:val="single" w:sz="8" w:color="0000EE"/>
              <w:bottom w:val="single" w:sz="8" w:color="CCEEFF"/>
            </w:tcBorders>
          </w:tcPr>
          <w:p>
            <w:pPr>
              <w:spacing w:after="0"/>
              <w:rPr>
                <w:sz w:val="24"/>
                <w:szCs w:val="24"/>
                <w:color w:val="auto"/>
              </w:rPr>
            </w:pPr>
          </w:p>
        </w:tc>
        <w:tc>
          <w:tcPr>
            <w:tcW w:w="20" w:type="dxa"/>
            <w:vAlign w:val="bottom"/>
            <w:tcBorders>
              <w:top w:val="single" w:sz="8" w:color="0000EE"/>
              <w:bottom w:val="single" w:sz="8" w:color="CCEEFF"/>
            </w:tcBorders>
          </w:tcPr>
          <w:p>
            <w:pPr>
              <w:spacing w:after="0"/>
              <w:rPr>
                <w:sz w:val="24"/>
                <w:szCs w:val="24"/>
                <w:color w:val="auto"/>
              </w:rPr>
            </w:pPr>
          </w:p>
        </w:tc>
        <w:tc>
          <w:tcPr>
            <w:tcW w:w="140" w:type="dxa"/>
            <w:vAlign w:val="bottom"/>
            <w:tcBorders>
              <w:top w:val="single" w:sz="8" w:color="0000EE"/>
              <w:bottom w:val="single" w:sz="8" w:color="CCEEFF"/>
            </w:tcBorders>
          </w:tcPr>
          <w:p>
            <w:pPr>
              <w:spacing w:after="0"/>
              <w:rPr>
                <w:sz w:val="24"/>
                <w:szCs w:val="24"/>
                <w:color w:val="auto"/>
              </w:rPr>
            </w:pPr>
          </w:p>
        </w:tc>
        <w:tc>
          <w:tcPr>
            <w:tcW w:w="140" w:type="dxa"/>
            <w:vAlign w:val="bottom"/>
            <w:tcBorders>
              <w:top w:val="single" w:sz="8" w:color="0000EE"/>
              <w:bottom w:val="single" w:sz="8" w:color="CCEEFF"/>
            </w:tcBorders>
          </w:tcPr>
          <w:p>
            <w:pPr>
              <w:spacing w:after="0"/>
              <w:rPr>
                <w:sz w:val="24"/>
                <w:szCs w:val="24"/>
                <w:color w:val="auto"/>
              </w:rPr>
            </w:pPr>
          </w:p>
        </w:tc>
        <w:tc>
          <w:tcPr>
            <w:tcW w:w="380" w:type="dxa"/>
            <w:vAlign w:val="bottom"/>
            <w:tcBorders>
              <w:top w:val="single" w:sz="8" w:color="0000EE"/>
              <w:bottom w:val="single" w:sz="8" w:color="CCEEFF"/>
            </w:tcBorders>
          </w:tcPr>
          <w:p>
            <w:pPr>
              <w:spacing w:after="0"/>
              <w:rPr>
                <w:sz w:val="24"/>
                <w:szCs w:val="24"/>
                <w:color w:val="auto"/>
              </w:rPr>
            </w:pPr>
          </w:p>
        </w:tc>
        <w:tc>
          <w:tcPr>
            <w:tcW w:w="440" w:type="dxa"/>
            <w:vAlign w:val="bottom"/>
            <w:tcBorders>
              <w:top w:val="single" w:sz="8" w:color="0000EE"/>
              <w:bottom w:val="single" w:sz="8" w:color="CCEEFF"/>
            </w:tcBorders>
          </w:tcPr>
          <w:p>
            <w:pPr>
              <w:spacing w:after="0"/>
              <w:rPr>
                <w:sz w:val="24"/>
                <w:szCs w:val="24"/>
                <w:color w:val="auto"/>
              </w:rPr>
            </w:pPr>
          </w:p>
        </w:tc>
        <w:tc>
          <w:tcPr>
            <w:tcW w:w="300" w:type="dxa"/>
            <w:vAlign w:val="bottom"/>
            <w:tcBorders>
              <w:top w:val="single" w:sz="8" w:color="0000EE"/>
              <w:bottom w:val="single" w:sz="8" w:color="CCEEFF"/>
            </w:tcBorders>
          </w:tcPr>
          <w:p>
            <w:pPr>
              <w:spacing w:after="0"/>
              <w:rPr>
                <w:sz w:val="24"/>
                <w:szCs w:val="24"/>
                <w:color w:val="auto"/>
              </w:rPr>
            </w:pPr>
          </w:p>
        </w:tc>
        <w:tc>
          <w:tcPr>
            <w:tcW w:w="100" w:type="dxa"/>
            <w:vAlign w:val="bottom"/>
            <w:tcBorders>
              <w:top w:val="single" w:sz="8" w:color="0000EE"/>
              <w:bottom w:val="single" w:sz="8" w:color="CCEEFF"/>
            </w:tcBorders>
          </w:tcPr>
          <w:p>
            <w:pPr>
              <w:spacing w:after="0"/>
              <w:rPr>
                <w:sz w:val="24"/>
                <w:szCs w:val="24"/>
                <w:color w:val="auto"/>
              </w:rPr>
            </w:pPr>
          </w:p>
        </w:tc>
        <w:tc>
          <w:tcPr>
            <w:tcW w:w="400" w:type="dxa"/>
            <w:vAlign w:val="bottom"/>
            <w:tcBorders>
              <w:top w:val="single" w:sz="8" w:color="0000EE"/>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1060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534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31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746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858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registration statement on Form S-3 (File No. 333-250966) utilizing a shelf registration process relating to the securities described in this prospectus supplement was initially filed with the Securities and Exchange Commission, or the SEC, on November 25, 2020 and was declared effective on December 4, 2020.</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42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7042150"/>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pre-clinical medical device company specializing in the research, design and development of next generation robotic endoluminal surgery devices targeting the minimally invasive surgery space. We are developing the first ever fully disposable robot for various endovascular interventional procedures, and our primary mission is to enable accessibility to robotic solutions to all stakeholders by removing barriers for adoption such as capital expense and enabling remote access to patients and users.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current technological platforms are comprised of the proprietary LIBERTY® and One &amp; Done™ (the instrument platform which currently includes assets acquired from Cardiosert and Nitiloop) innovative technological platforms. In addition, we are focused on the development of a Multi Generation Product Portfolio utilizing our proprietary technologies, which together is expected to redefine surgical robotics while improving surgical outcomes for patients.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 concurrent private placement, we are also issuing to the purchasers of our shares and pre-funded warrants in this offering, series A preferred investment options to purchase up to 1,022,495 shares of our common stock and series B preferred investment options to purchase up to 1,022,495 shares of our common stock. Each series A preferred investment option will be exercisable for one share of common stock at an exercise price of $4.64 commencing on the date of issuance and will expire five years from the initial exercise date. Each series B preferred investment option will be exercisable for one share of common stock at an exercise price of $4.64 commencing on the date of issuance and will expire two years from the initial exercise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On October 21, 2022, we delivered written notice to Wainwright that we were suspending and terminating the prospectus supplement (the “ATM Prospectus Supplement”) related to our common stock issuable pursuant to the At The Market Offering Agreement, dated June 10, 2021, by and between us and Wainwright (the “ATM Agreement”). We will not make any sales of our securities pursuant to the ATM Agreement, unless and until a new prospectus supplement is filed. Other than the termination and suspension of the ATM Prospectus Supplement, the ATM Agreement remains in full force and effect.</w:t>
      </w:r>
    </w:p>
    <w:p>
      <w:pPr>
        <w:spacing w:after="0" w:line="18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On October 18, 2022, we announced that we have submitted the anticipated follow-up pre-submission package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to ensure we remain fully aligned with the U.S. Food and Drug Administration (FDA) as we prepare for our Investigational Device Exemption (IDE) submission and first-in-human clinical trial with the system in 2023.</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13, 2022, we announced a significant development milestone as we completed the GLP animal study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w:t>
      </w:r>
    </w:p>
    <w:p>
      <w:pPr>
        <w:spacing w:after="0"/>
        <w:rPr>
          <w:sz w:val="20"/>
          <w:szCs w:val="20"/>
          <w:color w:val="auto"/>
        </w:rPr>
      </w:pPr>
      <w:r>
        <w:rPr>
          <w:rFonts w:ascii="Times New Roman" w:cs="Times New Roman" w:eastAsia="Times New Roman" w:hAnsi="Times New Roman"/>
          <w:sz w:val="18"/>
          <w:szCs w:val="18"/>
          <w:color w:val="auto"/>
        </w:rPr>
        <w:t>System.</w:t>
      </w:r>
    </w:p>
    <w:p>
      <w:pPr>
        <w:spacing w:after="0" w:line="205"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color w:val="auto"/>
        </w:rPr>
        <w:t>On October 11, 2022, we announced that, following the recent acquisition of the endovascular assets of Nitiloop Ltd. along with other significant developments regarding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we have made the strategic decision to suspend the continued research and development of our Self-Cleaning Shunt (SCS) project, effective immediately. We further announced that we are planning to focus our strategic efforts on the growing endovascular space and advancing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to achieve our regulatory and commercial milestones, as well as</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expanding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ecosystem. We plan to explore opportunities with the SCS assets with the focus on maximizing shareholders value, which may include seeking buyers for the assets, entering into joint ventures, licensing arrangements, spinning-off the assets into a new operating company or discontinue the project altogether.</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46"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71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4718685"/>
                    </a:xfrm>
                    <a:prstGeom prst="rect">
                      <a:avLst/>
                    </a:prstGeom>
                    <a:noFill/>
                  </pic:spPr>
                </pic:pic>
              </a:graphicData>
            </a:graphic>
          </wp:anchor>
        </w:drawing>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2021 as described under the caption “Incorporation of Documents by Reference” on page S-18 of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highlight w:val="white"/>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25 Recreation Park Drive, Unit 108, Hingham, Massachusetts 02043. Microbot also has an executive office at 6 Hayozma Street, Yoqneam, P.O.B. 242, Israel 2069204. Our telephone number is (781) 875-3605. We maintain an Internet website at </w:t>
      </w:r>
      <w:r>
        <w:rPr>
          <w:rFonts w:ascii="Times New Roman" w:cs="Times New Roman" w:eastAsia="Times New Roman" w:hAnsi="Times New Roman"/>
          <w:sz w:val="18"/>
          <w:szCs w:val="18"/>
          <w:i w:val="1"/>
          <w:iCs w:val="1"/>
          <w:color w:val="auto"/>
        </w:rPr>
        <w:t>www.microbotmedical.com</w:t>
      </w:r>
      <w:r>
        <w:rPr>
          <w:rFonts w:ascii="Times New Roman" w:cs="Times New Roman" w:eastAsia="Times New Roman" w:hAnsi="Times New Roman"/>
          <w:sz w:val="18"/>
          <w:szCs w:val="18"/>
          <w:color w:val="auto"/>
        </w:rPr>
        <w:t>.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46"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75"/>
        </w:trPr>
        <w:tc>
          <w:tcPr>
            <w:tcW w:w="40" w:type="dxa"/>
            <w:vAlign w:val="bottom"/>
            <w:tcBorders>
              <w:right w:val="single" w:sz="8" w:color="auto"/>
            </w:tcBorders>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674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Offered in This Offering</w:t>
            </w: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782,495 shares of our common stock, par value $0.01 per share</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Pre-Funded Warrants Offering in This Offering</w:t>
            </w: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are offering pre-funded warrants to purchase 240,000 shares of</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common stock in lieu of shares of common stock to the investor whose</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purchase of shares of common stock in this offering would otherwise</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result in the investor, together with its affiliates, beneficially owning</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more than 4.99% (or, at the election of the purchaser, 9.99%) of our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outstanding common stock immediately following the consummation of</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this offering. The purchase price of each pre-funded warrant is equal to</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price at which a share of common stock is sold to the public in this</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offering, minus $0.0001, and the exercise price of each pre-funded</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warrant is $0.0001 per share. Each pre-funded warrant will be exercisable</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immediately and may be exercised at any time until all of the pre-funded</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warrants are exercised in full.</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This prospectus supplement and accompanying prospectus also relate to</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offering of the shares of common stock issuable upon exercise of the</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pre-funded warrants.</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Outstanding Before This Offering</w:t>
            </w: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7,108,133 shares.</w:t>
            </w:r>
          </w:p>
        </w:tc>
        <w:tc>
          <w:tcPr>
            <w:tcW w:w="0" w:type="dxa"/>
            <w:vAlign w:val="bottom"/>
          </w:tcPr>
          <w:p>
            <w:pPr>
              <w:spacing w:after="0"/>
              <w:rPr>
                <w:sz w:val="1"/>
                <w:szCs w:val="1"/>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7,890,628 shares assuming no exercise of the pre-funded warrants.</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6740" w:type="dxa"/>
            <w:vAlign w:val="bottom"/>
            <w:tcBorders>
              <w:right w:val="single" w:sz="8" w:color="auto"/>
            </w:tcBorders>
            <w:vMerge w:val="restart"/>
          </w:tcPr>
          <w:p>
            <w:pPr>
              <w:ind w:left="1240"/>
              <w:spacing w:after="0"/>
              <w:rPr>
                <w:sz w:val="20"/>
                <w:szCs w:val="20"/>
                <w:color w:val="auto"/>
              </w:rPr>
            </w:pPr>
            <w:r>
              <w:rPr>
                <w:rFonts w:ascii="Times New Roman" w:cs="Times New Roman" w:eastAsia="Times New Roman" w:hAnsi="Times New Roman"/>
                <w:sz w:val="18"/>
                <w:szCs w:val="18"/>
                <w:color w:val="auto"/>
              </w:rPr>
              <w:t>We estimate the net proceeds from this offering will be approximately</w:t>
            </w:r>
          </w:p>
        </w:tc>
        <w:tc>
          <w:tcPr>
            <w:tcW w:w="0" w:type="dxa"/>
            <w:vAlign w:val="bottom"/>
          </w:tcPr>
          <w:p>
            <w:pPr>
              <w:spacing w:after="0"/>
              <w:rPr>
                <w:sz w:val="1"/>
                <w:szCs w:val="1"/>
                <w:color w:val="auto"/>
              </w:rPr>
            </w:pPr>
          </w:p>
        </w:tc>
      </w:tr>
      <w:tr>
        <w:trPr>
          <w:trHeight w:val="198"/>
        </w:trPr>
        <w:tc>
          <w:tcPr>
            <w:tcW w:w="40" w:type="dxa"/>
            <w:vAlign w:val="bottom"/>
            <w:tcBorders>
              <w:right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6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$4.32 million after deducting estimated offering expenses payable by us.</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for the</w:t>
            </w: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tcPr>
          <w:p>
            <w:pPr>
              <w:spacing w:after="0"/>
              <w:rPr>
                <w:sz w:val="19"/>
                <w:szCs w:val="19"/>
                <w:color w:val="auto"/>
              </w:rPr>
            </w:pPr>
          </w:p>
        </w:tc>
        <w:tc>
          <w:tcPr>
            <w:tcW w:w="4460" w:type="dxa"/>
            <w:vAlign w:val="bottom"/>
          </w:tcPr>
          <w:p>
            <w:pPr>
              <w:spacing w:after="0"/>
              <w:rPr>
                <w:sz w:val="19"/>
                <w:szCs w:val="19"/>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continued development, commercialization and regulatory activities for</w:t>
            </w:r>
          </w:p>
        </w:tc>
        <w:tc>
          <w:tcPr>
            <w:tcW w:w="0" w:type="dxa"/>
            <w:vAlign w:val="bottom"/>
          </w:tcPr>
          <w:p>
            <w:pPr>
              <w:spacing w:after="0"/>
              <w:rPr>
                <w:sz w:val="1"/>
                <w:szCs w:val="1"/>
                <w:color w:val="auto"/>
              </w:rPr>
            </w:pPr>
          </w:p>
        </w:tc>
      </w:tr>
      <w:tr>
        <w:trPr>
          <w:trHeight w:val="253"/>
        </w:trPr>
        <w:tc>
          <w:tcPr>
            <w:tcW w:w="40" w:type="dxa"/>
            <w:vAlign w:val="bottom"/>
            <w:tcBorders>
              <w:right w:val="single" w:sz="8" w:color="auto"/>
            </w:tcBorders>
          </w:tcPr>
          <w:p>
            <w:pPr>
              <w:spacing w:after="0"/>
              <w:rPr>
                <w:sz w:val="21"/>
                <w:szCs w:val="21"/>
                <w:color w:val="auto"/>
              </w:rPr>
            </w:pPr>
          </w:p>
        </w:tc>
        <w:tc>
          <w:tcPr>
            <w:tcW w:w="4460" w:type="dxa"/>
            <w:vAlign w:val="bottom"/>
          </w:tcPr>
          <w:p>
            <w:pPr>
              <w:spacing w:after="0"/>
              <w:rPr>
                <w:sz w:val="21"/>
                <w:szCs w:val="21"/>
                <w:color w:val="auto"/>
              </w:rPr>
            </w:pPr>
          </w:p>
        </w:tc>
        <w:tc>
          <w:tcPr>
            <w:tcW w:w="6740" w:type="dxa"/>
            <w:vAlign w:val="bottom"/>
            <w:tcBorders>
              <w:right w:val="single" w:sz="8" w:color="auto"/>
            </w:tcBorders>
          </w:tcPr>
          <w:p>
            <w:pPr>
              <w:ind w:left="1240"/>
              <w:spacing w:after="0" w:line="252" w:lineRule="exact"/>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additional applications derived from our existing intellectual property</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portfolio, and for working capital and other general corporate purposes.</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As a result, our management will retain broad discretion in the allocation</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and use of the net proceeds of this offering, and investors will be relying</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on the judgment of our management with regard to the use of these net</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proceeds. Pending application of the net proceeds for the purposes as</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described above, we expect to invest the net proceeds in short-term,</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interest-bearing securities, investment grade securities, certificates of</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deposit or direct or guaranteed obligations of the U.S. government. See</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“Use of Proceeds” on page S-10.</w:t>
            </w:r>
          </w:p>
        </w:tc>
        <w:tc>
          <w:tcPr>
            <w:tcW w:w="0" w:type="dxa"/>
            <w:vAlign w:val="bottom"/>
          </w:tcPr>
          <w:p>
            <w:pPr>
              <w:spacing w:after="0"/>
              <w:rPr>
                <w:sz w:val="1"/>
                <w:szCs w:val="1"/>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Before you</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decide to invest in our common stock, you should carefully read this</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prospectus supplement in its entirety and carefully consider the risks and</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uncertainties described in “Risk Factors” beginning on page S-7 of this</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prospectus supplement, beginning on page 4 of the accompanying base</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prospectus and in our Annual Report on Form 10-K for the fiscal year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ended December 31, 2021, as such risk factors may be amended, updated</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or modified periodically in our reports filed with the SEC, and the</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financial data and related notes and the reports incorporated by reference</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67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herein and therein.</w:t>
            </w:r>
          </w:p>
        </w:tc>
        <w:tc>
          <w:tcPr>
            <w:tcW w:w="0" w:type="dxa"/>
            <w:vAlign w:val="bottom"/>
          </w:tcPr>
          <w:p>
            <w:pPr>
              <w:spacing w:after="0"/>
              <w:rPr>
                <w:sz w:val="1"/>
                <w:szCs w:val="1"/>
                <w:color w:val="auto"/>
              </w:rPr>
            </w:pPr>
          </w:p>
        </w:tc>
      </w:tr>
      <w:tr>
        <w:trPr>
          <w:trHeight w:val="125"/>
        </w:trPr>
        <w:tc>
          <w:tcPr>
            <w:tcW w:w="40" w:type="dxa"/>
            <w:vAlign w:val="bottom"/>
            <w:tcBorders>
              <w:right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c>
          <w:tcPr>
            <w:tcW w:w="6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Concurrent Private Placement</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institutional investor of our shares of common stock and pre-funded warrants to purchase shares of common stock, unregistered series A preferred investment options to purchase up to 1,022,495 shares of our common stock and unregistered series B preferred investment options to purchase up to 1,022,495 shares of our common stock. Each series A preferred investment option will be exercisable for one share of common stock at an exercise price of $4.64 commencing on the date of issuance and will expire five years from the initial exercise date. Each series B preferred investment option will be exercisable for one share of common stock at an exercise price of $4.64 commencing on the date of issuance and will expire two years from the initial exercise date. The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 (2) under the Securities Act and Rule 506(b) promulgated thereunder. See the section titled “Private Placement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-2710180</wp:posOffset>
            </wp:positionV>
            <wp:extent cx="7127875" cy="7461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746188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4860" w:space="720"/>
            <w:col w:w="5340"/>
          </w:cols>
          <w:pgMar w:left="480" w:top="850" w:right="4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Nasdaq Capital Market Symbol</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“MBOT”. There is no established public trading market for the pre-funded warrants, and we do not expect a market to develop. We do not intend to list the pre-funded warrants on any securities exchange or nationally recognized trading system. Without an active trading market, the liquidity of the pre-funded warrants will be limited.</w:t>
      </w:r>
    </w:p>
    <w:p>
      <w:pPr>
        <w:spacing w:after="0" w:line="183" w:lineRule="exact"/>
        <w:rPr>
          <w:sz w:val="20"/>
          <w:szCs w:val="20"/>
          <w:color w:val="auto"/>
        </w:rPr>
      </w:pPr>
    </w:p>
    <w:p>
      <w:pPr>
        <w:sectPr>
          <w:pgSz w:w="11900" w:h="16838" w:orient="portrait"/>
          <w:cols w:equalWidth="0" w:num="2">
            <w:col w:w="4860" w:space="720"/>
            <w:col w:w="5340"/>
          </w:cols>
          <w:pgMar w:left="480" w:top="850" w:right="49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7,108,133 shares of our common stock outstanding as of June 30, 2022 and excludes the following securities outstanding on June 30, 2022:</w:t>
      </w:r>
    </w:p>
    <w:p>
      <w:pPr>
        <w:spacing w:after="0" w:line="162" w:lineRule="exact"/>
        <w:rPr>
          <w:sz w:val="20"/>
          <w:szCs w:val="20"/>
          <w:color w:val="auto"/>
        </w:rPr>
      </w:pPr>
    </w:p>
    <w:p>
      <w:pPr>
        <w:ind w:left="660" w:right="2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1,175,898 shares of our common stock issuable upon the exercise of outstanding stock options, with exercise prices ranging from approximately $0.005 to $19.35 and having a weighted-average exercise price of $8.17 per share;</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92,419 shares of our common stock reserved for future grant under our 2017 Equity Incentive Plan;</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915,476 shares of our common stock reserved for future grant under our 2020 Omnibus Performance Award Plan;</w:t>
      </w:r>
    </w:p>
    <w:p>
      <w:pPr>
        <w:spacing w:after="0" w:line="225"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shares of our common stock issuable upon the exercise of outstanding warrants expiring in April 2023, at an exercise price per share of $2,754;</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8,082 shares of our common stock issuable upon the exercise of outstanding warrants expiring in July 2022, at an exercise price per share of $8.13;</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 shares of our common stock issuable upon the exercise of outstanding warrants expiring in July 2022, at an exercise price per share of $12.50;</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93,262 shares of our common stock issuable upon the exercise of outstanding warrants expiring in June 2023, at an exercise price per share of $13.13; and</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45,045 shares of our common stock issuable upon the exercise of outstanding warrants expiring in June 2023, at an exercise price per share of $13.88.</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pre-funded warrants, the placement agent warrants and any securities issued in the concurrent private placement.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50" w:right="4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securities sold in this offering, you will incur immediate dilution.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net tangible book value per share of our common stock, you will suffer dilution with respect to the net tangible book value of the shares of common stock you purchase in this offering. Based on a public offering price of $4.89 per share and our net tangible book value as of June 30, 2022, if you purchase securities in this offering, you will suffer immediate dilution of $3.31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securities purchase agreement (“SPA”) related to our June 8, 2017 equity financing (the “Financing”), of which the Plaintiffs participated, and fraudulently induced Plaintiffs into signing the SPA. The complaint seeks rescission of the SPA and return of the Plaintiffs’ $6.75 million purchase price with respect to the Financing. We filed a Motion to Dismiss on March 16, 2020, which Motion was denied in February 2021. On March 18, 2021, we filed a notice of appeal of the denial of the Motion to Dismiss, which we ultimately did not pursue. The parties presently are engaged in discovery. At this time no estimation of the potential outcome of the litigation can be made, and management is unable to assess the likelihood that we will succeed at trial with respect to the SPA or the Financing, having previously lost another lawsuit with respect to the Financing; however, we believe that differentiating facts could result in a different outcome from the prior lawsuit. Our failure to apply the net proceeds from this offering effectively, including to any adverse outcome with respect to the defense or settlement of litigation, could have a material adverse effect on our business, delay our product development and cause the price of our common stock to decline.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sales of our securities or other dilution of our equity, which may adversely affect the market price of our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45 days from the closing of this offering.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Based on our cash balance and recurring losses since inception and inadequacy of existing capital resources to fund planned operations during the next 12 months, we will require significant additional funding to continue operations. We will receive net proceeds of approximately $4.32 million from the sale of the securities offered by us in this offering, after deducting the placement agent fees and estimated offering expenses payable by us and excluding any proceeds we may receive upon exercise of the securities issued in the concurrent private placement.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operations and product development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working capital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persons whose sales or lack of sales could result in positive or negative pricing pressure on the market price for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and decline in demand for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industry or our prospects;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 COVID-19 pandemic has resulted in significant financial market volatility and uncertainty in the recent past. These market fluctuations may also materially and adversely affect the market price of our common stock. As a result, you may be unable to resell your shares of our common stock at a desired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selling the securities offered in this prospectus on a “best efforts” basis and may not be able to sell any of the securities offered herein.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Pre-Funded Warrants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apply for any listing of the pre-funded warrants on any exchange or nationally recognized trading system, and we do not expect a market to develop for the pre-funded warrants.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intend to apply for any listing of either of the pre-funded warrants on the Nasdaq Capital Market or any other securities exchange or nationally recognized trading system, and we do not expect a market to develop for the pre-funded warrants. Without an active market, the liquidity of the pre-funded warrants will be limited. Further, the existence of the pre-funded warrants may act to reduce both the trading volume and the trading price of our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as otherwise provided in the pre-funded warrants, holders of pre-funded warrants purchased in this offering will have no rights as stockholders of common stock until such holders exercise their warrants or pre-funded warrants and acquire our common stock.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pre-funded warrants offered in this offering do not confer any rights of common stock ownership on their holders, such as voting rights or the right to receive dividends, but rather merely represent the right to acquire shares of our common stock at a fixed price. A holder of a pre-funded warrant may exercise the right to acquire a share of common stock and pay a nominal exercise price of $0.0001 at any time. Upon exercise of the pre-funded warrants, the holders thereof will be entitled to exercise the rights of a holder of common stock only as to matters for which the record date occurs after the exercise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any additional funds upon the exercise of the pre-funded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exercise of the pre-funded warrants.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the net proceeds to us from the sale of our common stock in this offering, if any, will be approximately $4.32 million after deducting the placement agent fees and estimated offering expenses payable by us and excluding any proceeds we may receive upon exercise of the pre-funded warrants.</w:t>
      </w:r>
    </w:p>
    <w:p>
      <w:pPr>
        <w:spacing w:after="0" w:line="17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the continued development, commercialization and regulatory activities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June 30, 2022 was approximately $8,540,000, or $1.20 per share, based on 7,108,133 shares of our common stock outstanding at June 30, 2022.</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issuance and sale in this offering of 782,495 shares of common stock at the offering price of $4.89 per share, 240,000 pre-funded warrants at the offering price of $4.8899 and the issuance of shares of common stock underlying the pre-funded warrants upon the exercise thereof, after deducting the estimated placement agent’s fees and estimated offering expenses payable by us, our as adjusted net tangible book value on June 30, 2022, would have been approximately $12,860,000, or $1.58 per share. This represents an immediate increase in the net tangible book value of $0.38 per share attributable to this offering and an immediate dilution of $3.31 per share to the new investors in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the immediate dilution to the new investors:</w:t>
            </w:r>
          </w:p>
        </w:tc>
        <w:tc>
          <w:tcPr>
            <w:tcW w:w="10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6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06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6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on June 30, 2022</w:t>
            </w:r>
          </w:p>
        </w:tc>
        <w:tc>
          <w:tcPr>
            <w:tcW w:w="10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1.20</w:t>
            </w:r>
          </w:p>
        </w:tc>
        <w:tc>
          <w:tcPr>
            <w:tcW w:w="11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0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0.38</w:t>
            </w:r>
          </w:p>
        </w:tc>
        <w:tc>
          <w:tcPr>
            <w:tcW w:w="11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 adjusted net tangible book value per share as of June 30, 2022, after giving effect to this</w:t>
            </w:r>
          </w:p>
        </w:tc>
        <w:tc>
          <w:tcPr>
            <w:tcW w:w="10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10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06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7,108,133 shares of our common stock outstanding as of June 30, 2022 and excludes the following securities outstanding on June 30, 2022:</w:t>
      </w:r>
    </w:p>
    <w:p>
      <w:pPr>
        <w:spacing w:after="0" w:line="162"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1,175,898 shares of our common stock issuable upon the exercise of outstanding stock options, with exercise prices ranging from approximately $0.005 to $19.35 and having a weighted-average exercise price of $8.17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92,419 shares of our common stock reserved for future grant under our 2017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915,476 shares of our common stock reserved for future grant under our 2020 Omnibus Performance Award Plan;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shares of our common stock issuable upon the exercise of outstanding warrants expiring in April 2023, at an exercise price per share of $2,754;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8,082 shares of our common stock issuable upon the exercise of outstanding warrants expiring in July 2022, at an exercise price per share of $8.13;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 shares of our common stock issuable upon the exercise of outstanding warrants expiring in July 2022, at an exercise price per share of $12.50;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93,262 shares of our common stock issuable upon the exercise of outstanding warrants expiring in June 2023, at an exercise price per share of $13.13;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45,045 shares of our common stock issuable upon the exercise of outstanding warrants expiring in June 2023, at an exercise price per share of $13.88.</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otherwise indicated, this prospectus supplement assumes no exercise of the pre-funded warrants, the placement agent warrants and any securities issued in the concurrent private placement.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offering shares of common stock and pre-funded warrants to purchase shares of our common stock. The following description of our shares of common stock and pre-funded warrants to purchase shares of our common stock summarizes the material terms and provisions thereof, including the material terms of the shares of common stock and pre-funded warrants to purchase shares of our common stock we are offering under this prospectus supplement and the accompanying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description of the rights associated with the common stock, see “Description of Common Stock” in the accompanying prospectus. Our common stock is listed on The Nasdaq Capital Market under the symbol “MBOT.” Our transfer agent is Computershare Trust Company, 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certain terms and provisions of the pre-funded warrants that are being offered hereby is not complete and is subject to, and qualified in its entirety by, the provisions of the pre-funded warrant, the form of which will be filed as an exhibit to our Current Report on Form 8-K. Prospective investors should carefully review the terms and provisions of the form of pre-funded warrant for a complete description of the terms and conditions of the pre-funded warrants.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pre-funded warrant will be sold in this offering at a purchase price equal to $4.8899 (equal to the purchase price per share of common stock sold in this offering, minus $0.0001). The purpose of the pre-funded warrants is to enable investors that may have restrictions on their ability to beneficially own more than 4.99% (or, upon election of the holder, 9.99%) of our outstanding common stock following the consummation of this offering the opportunity to make an investment in the Company without triggering their ownership restrictions, by receiving pre-funded warrants in lieu of our common stock which would result in such ownership of more than 4.99% (or 9.99%), and receive the ability to exercise their option to purchase the shares underlying the pre-funded warrants at such nominal price at a later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Price and Duration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pre-funded warrants will have an exercise price of $0.0001 per share. The pre-funded warrants are exercisable immediately upon issuance, and may be exercised at any time until all of the pre-funded warrants are exercised in full. The exercise price is subject to appropriate adjustment in the event of certain stock dividends and distributions, stock splits, stock combinations, reclassifications or similar events affecting our shares of common stock and also upon any distributions of assets, including cash, stock or other property to our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and, at any time a registration statement registering the issuance of the shares of common stock underlying the pre-funded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lieu of making the cash payment otherwise contemplated to be made to us upon exercise of a pre-funded warrant in payment of the aggregate exercise price, the holder may elect instead to receive upon such exercise (either in whole or in part) the net number of shares of common stock determined according to a formula set forth in the pre-funded warrant.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Exercise Limitation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will not have the right to exercise any portion of the pre-funded warrant if the holder (together with its affiliates) would beneficially own in excess of 4.99% (or 9.99% upon the request of the holder) of the number of common shares outstanding immediately after giving effect to the exercise, as such percentage ownership is determined in accordance with the terms of the pre-funded warrants. However, any holder may increase or decrease such percentage, provided that any increase will not be effective until the 61st day after such election.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fractional common shares will be issued upon the exercise of the pre-funded warrants. Rather, the number of shares of common stock to be issued will be rounded to the nearest whole number.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issued in this offering, and we do not expect a market to develop. We do not intend to apply for listing of the pre-funded warrants on any securities exchange or other nationally recognized trading system. Without an active trading market, the liquidity of the pre-funded warrants will be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as a Shareholder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our shares of common stock, the holder of a pre-funded warrant does not have the rights or privileges of a holder of our common shares, including any voting rights, until the holder exercises the pre-funded warrant.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reclassification, reorganization or recapitalization of our shares of common stock, the sale, lease, license, assignment, transfer, conveyance or other disposition of all or substantially all of our properties or assets, our consolidation or merger with or into another person, the acquisition of more than 50% of the outstanding shares of common stock or more than 50% or more of the voting power of the common equity of the Company, or any person or group becoming the beneficial owner of 50% of the voting power represented by our outstanding shares of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Waiver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pre-funded warrants may be modified or amended or the provisions thereof waived with the written consent of our company and the respective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also agreed to issue to the placement agent the placement agent warrants to purchase up to an aggregate of 51,125 shares of common stock. The placement agent warrants will become exercisable on the date of issuance and will have substantially the same terms as the series A preferred investment options described below, except that the placement agent warrants will have an exercise price of $6.1125 per share and have a term of five years from the commencement of sales in this offering. Reference is hereby made to the provisions of the placement agent warrant, which will be filed with the SEC as an exhibit to a Current Report on Form 8-K in connection with this offering and incorporated by reference into the registration statement of which this prospectus supplement forms a part. Prospective investors should carefully review the terms and provisions of the form of placement agent warrant for a complete description of the terms and conditions of the placement agent warrant.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 concurrent private placement, we are also selling to the same institutional investor of our shares of common stock and pre-funded warrants to purchase shares of common stock, unregistered series A preferred investment options to purchase up to 1,022,495 shares of our common stock (the “series A preferred investment options”) and unregistered series B preferred investment options to purchase up to 1,022,495 shares of our common stock (the “series B preferred investment options” and, with the series A preferred investment options, the “preferred investment options”). Each series A preferred investment option will be exercisable for one share of common stock at an exercise price of $4.64 commencing on the date of issuance and will expire five years from the initial exercise date. Each series B preferred investment option will be exercisable for one share of common stock at an exercise price of $4.64 commencing on the date of issuance and will expire two years from the initial exercise date.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holder of preferred investment options will not have the right to exercise any portion of its preferred investment options if the holder, together with its affiliates, would beneficially own in excess of 4.99% of the number of shares of common stock outstanding immediately after giving effect to such exercise; provided, however, that upon notice to the Company, the holder may increase or decrease such beneficial ownership limitation, provided that in no event shall such beneficial ownership limitation exceed 9.99% and any increase in the beneficial ownership limitation will not be effective until 61 days following notice of such increase from the holder to us. In addition, the holders of the preferred investment options will have the right to participate in any rights offering or distribution of assets together with the holders of our shares of common stock on an as-exercised basis.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preferred investment options and the shares of common stock issuable upon the exercise of such securities are not being registered under the Securities Act of 1933, as amended (the “Securities Act”), are not being offered pursuant to this prospectus supplement and the accompanying prospectus and are being offered pursuant to the exemption provided in Section 4(a)(2) under the Securities Act and Rule 506(b) promulgated thereunder. Accordingly, purchasers of the preferred investment options, may only sell shares of our common stock issued upon exercise of such securities being sold to them in the concurrent private placement, pursuant to an effective registration statement under the Securities Act covering the resale of those shares, an exemption under Rule 144 under the Securities Act or another applicable exemption under the Securities Act. None of the securities issued in the concurrent private placement are or will be listed for trading on any national securities exchange.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the shares of common stock issuable upon the exercise of the preferred investment options will be subject to adjustment for stock splits, reverse splits, and similar capital transactions, as described in the preferred investment options. The preferred investment options will be exercisable on a “cashless” basis in certain circumstances.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if a fundamental transaction occurs, then the successor entity will succeed to, and be substituted for us, and may exercise every right and power that we may exercise and will assume all of our obligations under the preferred investment options with the same effect as if such successor entity had been named in the preferred investment option itself. If holders of our shares of common stock are given a choice as to the securities, cash or property to be received in a fundamental transaction, then the holder shall be given the same choice as to the consideration it receives upon any exercise of the preferred investment option following such fundamental transaction. As more fully described in the form of preferred investment option, in the event of certain fundamental transactions, the holders of the preferred investment options will be entitled to receive consideration in an amount equal to the Black Scholes value of the preferred investment option on the date of consummation of the transaction.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an engagement letter agreement dated October 3, 2022, we have engaged H.C. Wainwright &amp; Co., LLC, referred to herein as Wainwright or the placement agent,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placement agent proposes to arrange for the sale of the securities we are offering pursuant to this prospectus supplement and accompanying prospectus to one or more institutional or accredited investors through securities purchase agreements directly between the purchaser and us. We will only sell to such investors who have entered into the securities purchase agreement with 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Delivery of the securities offered hereby is expected to take place on or about October 25, 2022, subject to satisfaction of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agreed to pay the placement agent a cash fee of 7.0%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Per Pre-Funded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tcPr>
          <w:p>
            <w:pPr>
              <w:spacing w:after="0"/>
              <w:rPr>
                <w:sz w:val="21"/>
                <w:szCs w:val="21"/>
                <w:color w:val="auto"/>
              </w:rPr>
            </w:pPr>
          </w:p>
        </w:tc>
        <w:tc>
          <w:tcPr>
            <w:tcW w:w="1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360" w:type="dxa"/>
            <w:vAlign w:val="bottom"/>
          </w:tcPr>
          <w:p>
            <w:pPr>
              <w:spacing w:after="0"/>
              <w:rPr>
                <w:sz w:val="21"/>
                <w:szCs w:val="21"/>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Placement agent’s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0.3423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0.342293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4.5477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4.547607</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4,650,001</w:t>
            </w:r>
          </w:p>
        </w:tc>
      </w:tr>
      <w:tr>
        <w:trPr>
          <w:trHeight w:val="223"/>
        </w:trPr>
        <w:tc>
          <w:tcPr>
            <w:tcW w:w="2820" w:type="dxa"/>
            <w:vAlign w:val="bottom"/>
            <w:tcBorders>
              <w:bottom w:val="single" w:sz="8" w:color="auto"/>
            </w:tcBorders>
          </w:tcPr>
          <w:p>
            <w:pPr>
              <w:spacing w:after="0"/>
              <w:rPr>
                <w:sz w:val="19"/>
                <w:szCs w:val="19"/>
                <w:color w:val="auto"/>
              </w:rPr>
            </w:pP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agreed to reimburse the placement agent for its non-accountable expenses in the amount of $150,000 and for its clearing expenses in the amount of $15,950. We estimate the total offering expenses of this offering that will be payable by us, excluding the placement agent’s fees and expenses, will be approximately $164,000.</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will issue to the placement agent, or its designees, warrants to purchase up to 51,125 shares of Common Stock. The Placement Agent Warrants will have an exercise price equal to $6.1125 and will be exercisable for five years from the commencement of sales in this offering.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purchase agreement that we entered into with certain investors prohibits, with certain limited exceptions, us: (i) for forty-five (45) days following the closing date from issuing any shares of Common Stock or Common Stock Equivalents (as defined in the securities purchase agreement) or filing any registration statement (other than a Form S-8), and (ii) for twelve (12) months following the closing date from issuing any shares of Common Stock or Common Stock Equivalents in a Variable Rate Transaction (as defined in the securities purchase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granted Wainwright, subject to certain exceptions, a right of first refusal for a period of twelve (12) months following the consummation of this offering to act as our exclusive underwriter or placement agent for any further capital raising transactions undertaken by us or any of our subsidiaries.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six (6) months following the expiration of termination of the engagement of the placement agent, we shall pay the placement agent the cash compensation provided above, calculated in the same manner.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upon any exercise for cash of any preferred investment options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preferred investment options issued to investors in this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shares of Common Stock trade on the Nasdaq Capital Market under the ticker symbol “MBOT.” We do not intend to apply for listing of the Pre-Funded Warrants or the Purchase Warrants on any securities exchange or other nationally recognized trading system.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2021,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www.microbotmedical.com</w:t>
      </w:r>
      <w:r>
        <w:rPr>
          <w:rFonts w:ascii="Times New Roman" w:cs="Times New Roman" w:eastAsia="Times New Roman" w:hAnsi="Times New Roman"/>
          <w:sz w:val="18"/>
          <w:szCs w:val="18"/>
          <w:color w:val="auto"/>
        </w:rPr>
        <w:t>, through which you can access our SEC filings. The information set forth on our website is not part of this prospectus supplement or the accompanying prospectus.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2021 filed with the SEC on March 31,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2022 and June 30, 2022, filed with the SEC on May 16, 2022 and August 15, 2022,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February 1, 2022, April 6, 2022, September 26, 2022, October 7, 2022, October 11, 2022, October 13, 2022, October 18, 2022 and October 21, 2022 (in each case, except for information contained therein which is furnished rather than filed);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25 Recreation Park Drive, Unit 108, Hingham, Massachusetts 02043. You may also telephone us at (781) 875-3605.</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November 24, 2020, the last reported sale price of our common stock on The Nasdaq Capital Market was $7.25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r>
      <w:tr>
        <w:trPr>
          <w:trHeight w:val="473"/>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6"/>
        </w:trPr>
        <w:tc>
          <w:tcPr>
            <w:tcW w:w="2200" w:type="dxa"/>
            <w:vAlign w:val="bottom"/>
            <w:tcBorders>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PROSPECTUS SUMMARY</w:t>
            </w:r>
          </w:p>
        </w:tc>
        <w:tc>
          <w:tcPr>
            <w:tcW w:w="840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06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566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49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32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6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4,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7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18"/>
          <w:szCs w:val="18"/>
          <w:color w:val="auto"/>
        </w:rPr>
        <w:t>Microbot’s current technological platforms, ViRob</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TipCAT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and Liberty™ (including certain CardioSert assets), are comprised of proprietary innovative technologies. Using the ViRob platform, Microbot is currently developing the Self Cleaning Shunt, or SCS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Microbot has a patent portfolio of 40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ViRob</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TipCAT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CardioSert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and without the need for constant tool exchanges – the “One &amp; Done” feature of Liberty may drastically reduce procedure time and costs while enhancing the operator experience.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continuously exploring and evaluating additional innovative guidewire/microcatheter technologies to be integrated and combined with the Liberty robotic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2019 as described under the caption “Incorporation of Documents by Reference” on page 23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25 Recreation Park Drive, Unit 108, Hingham, Massachusetts 02043.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conversion terms,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par value $0.01 per share. As of September 30, 2020 we had 7,108,133 shares of common stock issued and outstanding and approximately 139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“MBOT.”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authority to issue 1,000,000 shares of preferred stock, par value $0.01 per share. As of the date of this prospectus, no shares of our preferred stock were outstanding or designated.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will, when issued,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2020, we had outstanding:</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183 shares of our common stock at an exercise price of $2,754.00 per share, which are exercisable through April 9, 2023;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2,770 shares of our common stock at an exercise price of $40.50 per share, which are exercisable through March 14,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8,082 shares of our common stock at an exercise price of $8.13 per share, which are exercisable through July 14,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29,500 shares of our common stock at an exercise price of $12.50 per share, which are exercisable through July 15,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45,643 shares of our common stock at an exercise price of $13.13 per share, which are exercisable through June 25, 2023;</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47,619 shares of our common stock at an exercise price of $13.13 per share, which are exercisable through June 27, 2023;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45,045 shares of our common stock at an exercise price of $13.88 per share, which are exercisable through June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Delaware Law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31F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Staggered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stockholder vote required for certain 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Limitation of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5540" w:right="4920" w:hanging="4884"/>
        <w:spacing w:after="0" w:line="409" w:lineRule="auto"/>
        <w:tabs>
          <w:tab w:leader="none" w:pos="98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any breach of the director’s duty of loyalty to us or our stockholders;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by us will be passed upon for us by Mintz, Levin, Cohn, Ferris, Glovsky and Popeo, P.C., Boston, Massachusetts.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appearing it its Annual Report on Form 10-K for the year ended December 31, 2019, have been audited by Brightman Almagor Zohar &amp; Co., a firm in the Deloitte Global Network,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2019 filed with the SEC on April 14, 2020 and Amendment No. 1 to our Annual Report on Form 10-K for the year ended December 31, 2019 filed on April 29, 2020;</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2020, June 30, 2020 and September 30, 2020 that we filed with the SEC on May 15, 2020, August 14, 2020 and November 16, 2020.</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(except for the information furnished under Items 2.02 or 7.01 and the exhibits furnished thereto) on: February 25, 2020, February 28, 2020, March 3, 2020, April 1, 2020, May 7, 2020, June 19, 2020, August 3, 2020 and September 4, 2020;</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782,495 Shares of Common Stock</w:t>
      </w:r>
    </w:p>
    <w:p>
      <w:pPr>
        <w:spacing w:after="0" w:line="31" w:lineRule="exact"/>
        <w:rPr>
          <w:sz w:val="20"/>
          <w:szCs w:val="20"/>
          <w:color w:val="auto"/>
        </w:rPr>
      </w:pPr>
    </w:p>
    <w:p>
      <w:pPr>
        <w:ind w:left="1680" w:right="1359" w:hanging="13"/>
        <w:spacing w:after="0" w:line="260" w:lineRule="auto"/>
        <w:rPr>
          <w:sz w:val="20"/>
          <w:szCs w:val="20"/>
          <w:color w:val="auto"/>
        </w:rPr>
      </w:pPr>
      <w:r>
        <w:rPr>
          <w:rFonts w:ascii="Times New Roman" w:cs="Times New Roman" w:eastAsia="Times New Roman" w:hAnsi="Times New Roman"/>
          <w:sz w:val="18"/>
          <w:szCs w:val="18"/>
          <w:b w:val="1"/>
          <w:bCs w:val="1"/>
          <w:color w:val="auto"/>
        </w:rPr>
        <w:t>Pre-Funded Warrants to purchase up to 240,000 Shares of Common Stock Up to 240,000 Shares of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675640</wp:posOffset>
            </wp:positionV>
            <wp:extent cx="2571750" cy="942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568325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0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2022-10-24T15:35:42Z</dcterms:created>
  <dcterms:modified xsi:type="dcterms:W3CDTF">2022-10-24T15:35:42Z</dcterms:modified>
</cp:coreProperties>
</file>