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Massey Ian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2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03/23/2015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7707 GATEWAY BLVD, STE 140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w w:val="95"/>
              </w:rPr>
              <w:t>NEWARKCA</w:t>
            </w:r>
          </w:p>
        </w:tc>
        <w:tc>
          <w:tcPr>
            <w:tcW w:w="840" w:type="dxa"/>
            <w:vAlign w:val="bottom"/>
          </w:tcPr>
          <w:p>
            <w:pPr>
              <w:jc w:val="right"/>
              <w:spacing w:after="0"/>
              <w:rPr>
                <w:sz w:val="20"/>
                <w:szCs w:val="20"/>
                <w:color w:val="auto"/>
              </w:rPr>
            </w:pPr>
            <w:r>
              <w:rPr>
                <w:rFonts w:ascii="Arial" w:cs="Arial" w:eastAsia="Arial" w:hAnsi="Arial"/>
                <w:sz w:val="18"/>
                <w:szCs w:val="18"/>
                <w:color w:val="0000FF"/>
              </w:rPr>
              <w:t>94560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Operating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0"/>
              </w:rPr>
              <w:t>No securities beneficially held at time of hire</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28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40" w:type="dxa"/>
            <w:vAlign w:val="bottom"/>
            <w:gridSpan w:val="8"/>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92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5"/>
                <w:szCs w:val="15"/>
                <w:color w:val="auto"/>
              </w:rPr>
            </w:pP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0"/>
              </w:rPr>
              <w:t>/s/ Ken Stratton, attorney-in-</w:t>
            </w:r>
          </w:p>
        </w:tc>
        <w:tc>
          <w:tcPr>
            <w:tcW w:w="248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03/25/2015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860" w:type="dxa"/>
            <w:vAlign w:val="bottom"/>
            <w:tcBorders>
              <w:top w:val="single" w:sz="8" w:color="auto"/>
            </w:tcBorders>
            <w:vMerge w:val="restart"/>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tcBorders>
              <w:top w:val="single" w:sz="8" w:color="auto"/>
              <w:bottom w:val="single" w:sz="8" w:color="auto"/>
            </w:tcBorders>
            <w:vMerge w:val="continue"/>
          </w:tcPr>
          <w:p>
            <w:pPr>
              <w:spacing w:after="0"/>
              <w:rPr>
                <w:sz w:val="7"/>
                <w:szCs w:val="7"/>
                <w:color w:val="auto"/>
              </w:rPr>
            </w:pPr>
          </w:p>
        </w:tc>
        <w:tc>
          <w:tcPr>
            <w:tcW w:w="860" w:type="dxa"/>
            <w:vAlign w:val="bottom"/>
            <w:tcBorders>
              <w:top w:val="single" w:sz="8" w:color="auto"/>
            </w:tcBorders>
            <w:vMerge w:val="continue"/>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Kenneth Stratton, George Koshy and Martin McGlynn, signing singly, the undersigned's true and lawful attorney-in-fact to:</w:t>
      </w:r>
    </w:p>
    <w:p>
      <w:pPr>
        <w:spacing w:after="0" w:line="209" w:lineRule="exact"/>
        <w:rPr>
          <w:sz w:val="20"/>
          <w:szCs w:val="20"/>
          <w:color w:val="auto"/>
        </w:rPr>
      </w:pPr>
    </w:p>
    <w:p>
      <w:pPr>
        <w:ind w:right="145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StemCells, Inc. (the "Company"), Forms 3, 4 and</w:t>
      </w: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NASDAQ Stock Market;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of 1933 or the rules promulgated thereunder, including Rule 144, or the Securities and Exchange Act of 1934 or the rules promulgated thereunder, including Section 16.</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18th day of March, 2015.</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Ian J. Massey</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Ian J. Massey</w:t>
      </w:r>
    </w:p>
    <w:p>
      <w:pPr>
        <w:ind w:left="8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9281" TargetMode="External"/><Relationship Id="rId12"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2019-12-24T02:55:03Z</dcterms:created>
  <dcterms:modified xsi:type="dcterms:W3CDTF">2019-12-24T02:55:03Z</dcterms:modified>
</cp:coreProperties>
</file>