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October 9, 2024</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MICROBOT MEDICAL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tbl>
      <w:tblPr>
        <w:tblLayout w:type="fixed"/>
        <w:tblInd w:w="780" w:type="dxa"/>
        <w:tblCellMar>
          <w:top w:w="0" w:type="dxa"/>
          <w:left w:w="0" w:type="dxa"/>
          <w:bottom w:w="0" w:type="dxa"/>
          <w:right w:w="0" w:type="dxa"/>
        </w:tblCellMar>
      </w:tblPr>
      <w:tr>
        <w:trPr>
          <w:trHeight w:val="216"/>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55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000-19871</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rPr>
              <w:t>94-3078125</w:t>
            </w:r>
          </w:p>
        </w:tc>
      </w:tr>
      <w:tr>
        <w:trPr>
          <w:trHeight w:val="216"/>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55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(Commission</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of incorporation)</w:t>
            </w:r>
          </w:p>
        </w:tc>
        <w:tc>
          <w:tcPr>
            <w:tcW w:w="55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10"/>
        </w:trPr>
        <w:tc>
          <w:tcPr>
            <w:tcW w:w="2160" w:type="dxa"/>
            <w:vAlign w:val="bottom"/>
          </w:tcPr>
          <w:p>
            <w:pPr>
              <w:spacing w:after="0"/>
              <w:rPr>
                <w:sz w:val="24"/>
                <w:szCs w:val="24"/>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288 Grove Street, Suite 388</w:t>
            </w:r>
          </w:p>
        </w:tc>
        <w:tc>
          <w:tcPr>
            <w:tcW w:w="1660" w:type="dxa"/>
            <w:vAlign w:val="bottom"/>
          </w:tcPr>
          <w:p>
            <w:pPr>
              <w:spacing w:after="0"/>
              <w:rPr>
                <w:sz w:val="24"/>
                <w:szCs w:val="24"/>
                <w:color w:val="auto"/>
              </w:rPr>
            </w:pPr>
          </w:p>
        </w:tc>
      </w:tr>
      <w:tr>
        <w:trPr>
          <w:trHeight w:val="216"/>
        </w:trPr>
        <w:tc>
          <w:tcPr>
            <w:tcW w:w="2160" w:type="dxa"/>
            <w:vAlign w:val="bottom"/>
          </w:tcPr>
          <w:p>
            <w:pPr>
              <w:spacing w:after="0"/>
              <w:rPr>
                <w:sz w:val="18"/>
                <w:szCs w:val="18"/>
                <w:color w:val="auto"/>
              </w:rPr>
            </w:pPr>
          </w:p>
        </w:tc>
        <w:tc>
          <w:tcPr>
            <w:tcW w:w="55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Braintree, MA 02184</w:t>
            </w:r>
          </w:p>
        </w:tc>
        <w:tc>
          <w:tcPr>
            <w:tcW w:w="1660" w:type="dxa"/>
            <w:vAlign w:val="bottom"/>
          </w:tcPr>
          <w:p>
            <w:pPr>
              <w:spacing w:after="0"/>
              <w:rPr>
                <w:sz w:val="18"/>
                <w:szCs w:val="18"/>
                <w:color w:val="auto"/>
              </w:rPr>
            </w:pPr>
          </w:p>
        </w:tc>
      </w:tr>
      <w:tr>
        <w:trPr>
          <w:trHeight w:val="238"/>
        </w:trPr>
        <w:tc>
          <w:tcPr>
            <w:tcW w:w="2160" w:type="dxa"/>
            <w:vAlign w:val="bottom"/>
          </w:tcPr>
          <w:p>
            <w:pPr>
              <w:spacing w:after="0"/>
              <w:rPr>
                <w:sz w:val="20"/>
                <w:szCs w:val="20"/>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 (Zip Code)</w:t>
            </w:r>
          </w:p>
        </w:tc>
        <w:tc>
          <w:tcPr>
            <w:tcW w:w="1660" w:type="dxa"/>
            <w:vAlign w:val="bottom"/>
          </w:tcPr>
          <w:p>
            <w:pPr>
              <w:spacing w:after="0"/>
              <w:rPr>
                <w:sz w:val="20"/>
                <w:szCs w:val="20"/>
                <w:color w:val="auto"/>
              </w:rPr>
            </w:pPr>
          </w:p>
        </w:tc>
      </w:tr>
      <w:tr>
        <w:trPr>
          <w:trHeight w:val="432"/>
        </w:trPr>
        <w:tc>
          <w:tcPr>
            <w:tcW w:w="2160" w:type="dxa"/>
            <w:vAlign w:val="bottom"/>
          </w:tcPr>
          <w:p>
            <w:pPr>
              <w:spacing w:after="0"/>
              <w:rPr>
                <w:sz w:val="24"/>
                <w:szCs w:val="24"/>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(781) 875-3605</w:t>
            </w:r>
          </w:p>
        </w:tc>
        <w:tc>
          <w:tcPr>
            <w:tcW w:w="1660" w:type="dxa"/>
            <w:vAlign w:val="bottom"/>
          </w:tcPr>
          <w:p>
            <w:pPr>
              <w:spacing w:after="0"/>
              <w:rPr>
                <w:sz w:val="24"/>
                <w:szCs w:val="24"/>
                <w:color w:val="auto"/>
              </w:rPr>
            </w:pPr>
          </w:p>
        </w:tc>
      </w:tr>
    </w:tbl>
    <w:p>
      <w:pPr>
        <w:spacing w:after="0" w:line="200" w:lineRule="exact"/>
        <w:rPr>
          <w:sz w:val="24"/>
          <w:szCs w:val="24"/>
          <w:color w:val="auto"/>
        </w:rPr>
      </w:pP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29"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$0.01 par value</w:t>
            </w:r>
          </w:p>
        </w:tc>
        <w:tc>
          <w:tcPr>
            <w:tcW w:w="240" w:type="dxa"/>
            <w:vAlign w:val="bottom"/>
          </w:tcPr>
          <w:p>
            <w:pPr>
              <w:spacing w:after="0"/>
              <w:rPr>
                <w:sz w:val="19"/>
                <w:szCs w:val="19"/>
                <w:color w:val="auto"/>
              </w:rPr>
            </w:pPr>
          </w:p>
        </w:tc>
        <w:tc>
          <w:tcPr>
            <w:tcW w:w="2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MBOT</w:t>
            </w:r>
          </w:p>
        </w:tc>
        <w:tc>
          <w:tcPr>
            <w:tcW w:w="220" w:type="dxa"/>
            <w:vAlign w:val="bottom"/>
          </w:tcPr>
          <w:p>
            <w:pPr>
              <w:spacing w:after="0"/>
              <w:rPr>
                <w:sz w:val="19"/>
                <w:szCs w:val="19"/>
                <w:color w:val="auto"/>
              </w:rPr>
            </w:pPr>
          </w:p>
        </w:tc>
        <w:tc>
          <w:tcPr>
            <w:tcW w:w="4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r>
    </w:tbl>
    <w:p>
      <w:pPr>
        <w:spacing w:after="0" w:line="179" w:lineRule="exact"/>
        <w:rPr>
          <w:sz w:val="24"/>
          <w:szCs w:val="24"/>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3.01 Notice of Delisting or Failure to Satisfy a Continued Listing Rule or Standard; Transfer of Listing.</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October 9, 2024, Microbot Medical Inc. (the “Company”) received a deficiency letter from the Nasdaq Listing Qualifications department (the “Staff”) of The Nasdaq Stock Market, LLC (“Nasdaq”), notifying the Company that it is not in compliance with Nasdaq Listing Rule 5550(a)(2) (the “Minimum Bid Price Requirement”) for continued listing on the Nasdaq Capital Market, as the minimum bid price of the Company’s common stock on the Nasdaq Capital Market was below $1.00 for 30 consecutive business days, from August 26, 2024 to October 7, 2024.</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accordance with Nasdaq Listing Rule 5810(c)(3)(A) (the “Compliance Period Rule”), the Company has a period of 180 calendar days, or until April 7, 2025 (the “Compliance Date”), to regain compliance with the Minimum Bid Price Requirement. If, at any time before the Compliance Date, the closing bid price of the Company’s common stock is at least $1.00 for a minimum of ten consecutive business days, the Staff will provide a written confirmation to the Company that it has regained compliance with the Minimum Bid Price Requirement.</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If the Company does not regain compliance with the Minimum Bid Price Requirement by the Compliance Date, the Company may be eligible for additional time. To qualify, the Company will be required to meet the continued listing requirement for market value of publicly held shares and all other initial listing standards for The Nasdaq Capital Market, with the exception of the Minimum Bid Price Requirement, and will need to provide written notice of its intention to cure the deficiency during the second compliance period, by effecting a reverse stock split, if necessary. If the Company meets these requirements, Nasdaq will inform the Company that it has been granted an additional 180 calendar days. However, if it appears to Nasdaq that the Company will not be able to cure the deficiency, or if the Company is otherwise not eligible, Nasdaq will provide notice that its securities will be subject to delisting. At that time, the Company may appeal the Staff’s delisting determination to a Nasdaq Listing Qualifications Panel (the “Panel”) pursuant to the procedures set forth in the applicable Nasdaq Listing Rules. However, there can be no assurance that, if the Company receives a delisting notice and appeals the delisting determination by the Staff to the Panel, such appeal would be successful.</w:t>
      </w:r>
    </w:p>
    <w:p>
      <w:pPr>
        <w:spacing w:after="0" w:line="18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Additionally, there can be no assurance that the Company will be able to regain compliance with the Minimum Bid Price Requirement, or will otherwise be compliant with other Nasdaq Listing Rules.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5.08 Shareholder Director Nominations.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currently intends to hold its annual meeting of stockholders on or about December 17, 2024 (the “2024 Annual Meeting”). The exact date, time and location of the 2024 Annual Meeting will be specified in the Company’s proxy statement for the 2024 Annual Meeting.</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Because the Company’s 2024 Annual Meeting has been changed by more than 30 calendar days from the date of the previous year’s meeting, the Company is affirming the deadline for receipt of qualified stockholder proposals submitted pursuant to Rule 14a-8 of the Securities Exchange Act of 1934, as amended (the “Exchange Act”), for inclusion in the Company’s proxy materials for the 2024 Annual Meeting.</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deadline for the receipt of any qualified stockholder proposals submitted pursuant to Rule 14a-8 under the Exchange Act shall be not later than the close of business on October 25, 2024. In addition, any qualified stockholder seeking to have a nominee to the Board of Directors to be included in the Company’s proxy materials for the 2024 Annual Meeting must provide notice to the Company of its intent to do so on a Schedule 14N and file that notice with the Securities and Exchange Commission (the “SEC”) on or before October 25, 2024.</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Qualified stockholder proposals must be received by the Company at its principal executive offices located at 288 Grove Street, Suite 388, Braintree, MA 02184 addressed to the Secretary of the Company. All proposals must comply with applicable Delaware law, the rules and regulations promulgated by the SEC and the procedures set forth in the Company’s Amended and Restated Bylaws.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 w:name="page3"/>
    <w:bookmarkEnd w:id="2"/>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Forward Looking Statements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Current Report on Form 8-K may contain “forward-looking statements.” Such statements which are not purely historical (including, but not limited to statements that contain words such as “will,” “believes,” “plans,” “anticipates,” “expects,” “intends,” “would,” “could” and “estimates”) are forward-looking statements and include any statements regarding beliefs, plans, expectations or intentions regarding the future, including but not limited to, regulatory milestones.</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Actual results could differ from those projected in any forward-looking statements due to numerous factors. These forward-looking statements are made as of the date of this Form 8-K, and the Company assumes no obligation to update the forward-looking statements, or to update the reasons why actual results could differ from those projected in the forward-looking statements, except as required by law. Although the Company believes that the beliefs, plans, expectations and intentions contained in this Form 8-K are reasonable, there can be no assurance that such beliefs, plans, expectations or intentions will prove to be accurate. Investors should consult all of the information set forth herein and should also refer to the risk factors disclosure outlined in the Company’s reports and statements filed from time-to-time with the Securities and Exchange Commission.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31"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Number</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MICROBOT MEDICAL INC.</w:t>
      </w:r>
    </w:p>
    <w:p>
      <w:pPr>
        <w:spacing w:after="0" w:line="2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Harel Gadot</w:t>
      </w:r>
    </w:p>
    <w:p>
      <w:pPr>
        <w:spacing w:after="0" w:line="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-121920</wp:posOffset>
            </wp:positionV>
            <wp:extent cx="32061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16"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 President and Chairman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11,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65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2024-10-11T16:03:31Z</dcterms:created>
  <dcterms:modified xsi:type="dcterms:W3CDTF">2024-10-11T16:03:31Z</dcterms:modified>
</cp:coreProperties>
</file>