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July 17, 2024, the closing price of our common stock was $1.07.</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completed the enrollment of clinical sites in its pivotal human clinical trial with the addition of Memorial Sloan Kettering Cancer Center, New York. Memorial Sloan Kettering Cancer Center will conduct the clinical trial as part of the Investigational Device Exemption for the</w:t>
      </w:r>
    </w:p>
    <w:p>
      <w:pPr>
        <w:spacing w:after="0" w:line="209" w:lineRule="auto"/>
        <w:rPr>
          <w:sz w:val="20"/>
          <w:szCs w:val="20"/>
          <w:color w:val="auto"/>
        </w:rPr>
      </w:pPr>
      <w:r>
        <w:rPr>
          <w:rFonts w:ascii="Times New Roman" w:cs="Times New Roman" w:eastAsia="Times New Roman" w:hAnsi="Times New Roman"/>
          <w:sz w:val="18"/>
          <w:szCs w:val="18"/>
          <w:color w:val="auto"/>
        </w:rPr>
        <w:t>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the Company expects its results will support the future marketing submission to the Food and Drug Administration and subsequent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2024-07-19T06:48:49Z</dcterms:created>
  <dcterms:modified xsi:type="dcterms:W3CDTF">2024-07-19T06:48:49Z</dcterms:modified>
</cp:coreProperties>
</file>