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96"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7"/>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5"/>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MILLENNIUM MANAGEMENT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5"/>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top w:val="single" w:sz="8" w:color="0000EE"/>
            </w:tcBorders>
            <w:gridSpan w:val="2"/>
          </w:tcPr>
          <w:p>
            <w:pPr>
              <w:spacing w:after="0" w:line="223" w:lineRule="exact"/>
              <w:rPr>
                <w:rFonts w:ascii="Arial" w:cs="Arial" w:eastAsia="Arial" w:hAnsi="Arial"/>
                <w:sz w:val="22"/>
                <w:szCs w:val="22"/>
                <w:color w:val="0000EE"/>
              </w:rPr>
            </w:pPr>
            <w:hyperlink r:id="rId11">
              <w:r>
                <w:rPr>
                  <w:rFonts w:ascii="Arial" w:cs="Arial" w:eastAsia="Arial" w:hAnsi="Arial"/>
                  <w:sz w:val="22"/>
                  <w:szCs w:val="22"/>
                  <w:color w:val="0000EE"/>
                </w:rPr>
                <w:t>LLC</w:t>
              </w:r>
            </w:hyperlink>
          </w:p>
        </w:tc>
        <w:tc>
          <w:tcPr>
            <w:tcW w:w="78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0000FF"/>
              </w:rPr>
              <w:t>12/09/2003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4"/>
                <w:szCs w:val="14"/>
                <w:color w:val="auto"/>
              </w:rPr>
              <w:t>(Last)</w:t>
            </w:r>
          </w:p>
        </w:tc>
        <w:tc>
          <w:tcPr>
            <w:tcW w:w="780" w:type="dxa"/>
            <w:vAlign w:val="bottom"/>
          </w:tcPr>
          <w:p>
            <w:pPr>
              <w:ind w:left="80"/>
              <w:spacing w:after="0"/>
              <w:rPr>
                <w:sz w:val="20"/>
                <w:szCs w:val="20"/>
                <w:color w:val="auto"/>
              </w:rPr>
            </w:pPr>
            <w:r>
              <w:rPr>
                <w:rFonts w:ascii="Arial" w:cs="Arial" w:eastAsia="Arial" w:hAnsi="Arial"/>
                <w:sz w:val="14"/>
                <w:szCs w:val="14"/>
                <w:color w:val="auto"/>
              </w:rPr>
              <w:t>(First)</w:t>
            </w:r>
          </w:p>
        </w:tc>
        <w:tc>
          <w:tcPr>
            <w:tcW w:w="142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gridSpan w:val="3"/>
          </w:tcPr>
          <w:p>
            <w:pPr>
              <w:spacing w:after="0"/>
              <w:rPr>
                <w:sz w:val="20"/>
                <w:szCs w:val="20"/>
                <w:color w:val="auto"/>
              </w:rPr>
            </w:pPr>
            <w:r>
              <w:rPr>
                <w:rFonts w:ascii="Arial" w:cs="Arial" w:eastAsia="Arial" w:hAnsi="Arial"/>
                <w:sz w:val="18"/>
                <w:szCs w:val="18"/>
                <w:color w:val="0000FF"/>
              </w:rPr>
              <w:t>666 FIFTH AVE</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60" w:type="dxa"/>
            <w:vAlign w:val="bottom"/>
            <w:gridSpan w:val="4"/>
          </w:tcPr>
          <w:p>
            <w:pPr>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780" w:type="dxa"/>
            <w:vAlign w:val="bottom"/>
          </w:tcPr>
          <w:p>
            <w:pPr>
              <w:ind w:left="80"/>
              <w:spacing w:after="0"/>
              <w:rPr>
                <w:sz w:val="20"/>
                <w:szCs w:val="20"/>
                <w:color w:val="auto"/>
              </w:rPr>
            </w:pPr>
            <w:r>
              <w:rPr>
                <w:rFonts w:ascii="Arial" w:cs="Arial" w:eastAsia="Arial" w:hAnsi="Arial"/>
                <w:sz w:val="18"/>
                <w:szCs w:val="18"/>
                <w:color w:val="0000FF"/>
              </w:rPr>
              <w:t>NY</w:t>
            </w:r>
          </w:p>
        </w:tc>
        <w:tc>
          <w:tcPr>
            <w:tcW w:w="1420" w:type="dxa"/>
            <w:vAlign w:val="bottom"/>
            <w:gridSpan w:val="2"/>
          </w:tcPr>
          <w:p>
            <w:pPr>
              <w:ind w:left="380"/>
              <w:spacing w:after="0"/>
              <w:rPr>
                <w:sz w:val="20"/>
                <w:szCs w:val="20"/>
                <w:color w:val="auto"/>
              </w:rPr>
            </w:pPr>
            <w:r>
              <w:rPr>
                <w:rFonts w:ascii="Arial" w:cs="Arial" w:eastAsia="Arial" w:hAnsi="Arial"/>
                <w:sz w:val="18"/>
                <w:szCs w:val="18"/>
                <w:color w:val="0000FF"/>
              </w:rPr>
              <w:t>10103-0899</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251"/>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21"/>
                <w:szCs w:val="21"/>
                <w:color w:val="auto"/>
              </w:rPr>
            </w:pPr>
          </w:p>
        </w:tc>
        <w:tc>
          <w:tcPr>
            <w:tcW w:w="2680" w:type="dxa"/>
            <w:vAlign w:val="bottom"/>
            <w:tcBorders>
              <w:bottom w:val="single" w:sz="8" w:color="2C2C2C"/>
            </w:tcBorders>
          </w:tcPr>
          <w:p>
            <w:pPr>
              <w:spacing w:after="0"/>
              <w:rPr>
                <w:sz w:val="21"/>
                <w:szCs w:val="21"/>
                <w:color w:val="auto"/>
              </w:rPr>
            </w:pPr>
          </w:p>
        </w:tc>
      </w:tr>
      <w:tr>
        <w:trPr>
          <w:trHeight w:val="176"/>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89"/>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bl>
    <w:p>
      <w:pPr>
        <w:spacing w:after="0" w:line="27" w:lineRule="exact"/>
        <w:rPr>
          <w:sz w:val="20"/>
          <w:szCs w:val="20"/>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96" w:orient="portrait"/>
          <w:cols w:equalWidth="0" w:num="2">
            <w:col w:w="4720" w:space="480"/>
            <w:col w:w="6220"/>
          </w:cols>
          <w:pgMar w:left="240" w:top="226" w:right="239" w:bottom="0" w:gutter="0" w:footer="0" w:header="0"/>
          <w:type w:val="continuous"/>
        </w:sectPr>
      </w:pPr>
    </w:p>
    <w:p>
      <w:pPr>
        <w:spacing w:after="0" w:line="110"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2"/>
          </w:tcPr>
          <w:p>
            <w:pPr>
              <w:ind w:left="520"/>
              <w:spacing w:after="0"/>
              <w:rPr>
                <w:sz w:val="20"/>
                <w:szCs w:val="20"/>
                <w:color w:val="auto"/>
              </w:rPr>
            </w:pPr>
            <w:r>
              <w:rPr>
                <w:rFonts w:ascii="Arial" w:cs="Arial" w:eastAsia="Arial" w:hAnsi="Arial"/>
                <w:sz w:val="14"/>
                <w:szCs w:val="14"/>
                <w:b w:val="1"/>
                <w:bCs w:val="1"/>
                <w:color w:val="auto"/>
              </w:rPr>
              <w:t>2. Amount of Securities</w:t>
            </w:r>
          </w:p>
        </w:tc>
        <w:tc>
          <w:tcPr>
            <w:tcW w:w="1220" w:type="dxa"/>
            <w:vAlign w:val="bottom"/>
            <w:gridSpan w:val="3"/>
          </w:tcPr>
          <w:p>
            <w:pPr>
              <w:ind w:left="200"/>
              <w:spacing w:after="0"/>
              <w:rPr>
                <w:sz w:val="20"/>
                <w:szCs w:val="20"/>
                <w:color w:val="auto"/>
              </w:rPr>
            </w:pPr>
            <w:r>
              <w:rPr>
                <w:rFonts w:ascii="Arial" w:cs="Arial" w:eastAsia="Arial" w:hAnsi="Arial"/>
                <w:sz w:val="14"/>
                <w:szCs w:val="14"/>
                <w:b w:val="1"/>
                <w:bCs w:val="1"/>
                <w:color w:val="auto"/>
              </w:rPr>
              <w:t>3. Ownership</w:t>
            </w:r>
          </w:p>
        </w:tc>
        <w:tc>
          <w:tcPr>
            <w:tcW w:w="3120" w:type="dxa"/>
            <w:vAlign w:val="bottom"/>
            <w:gridSpan w:val="4"/>
          </w:tcPr>
          <w:p>
            <w:pPr>
              <w:ind w:left="2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0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2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w w:val="93"/>
              </w:rPr>
              <w:t>Form: Direct (D)</w:t>
            </w:r>
          </w:p>
        </w:tc>
        <w:tc>
          <w:tcPr>
            <w:tcW w:w="148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2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(Instr. 5)</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6"/>
              </w:rPr>
              <w:t>Common Stock, par value $0.01 per share</w:t>
            </w: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ind w:left="520"/>
              <w:spacing w:after="0"/>
              <w:rPr>
                <w:sz w:val="20"/>
                <w:szCs w:val="20"/>
                <w:color w:val="auto"/>
              </w:rPr>
            </w:pPr>
            <w:r>
              <w:rPr>
                <w:rFonts w:ascii="Arial" w:cs="Arial" w:eastAsia="Arial" w:hAnsi="Arial"/>
                <w:sz w:val="18"/>
                <w:szCs w:val="18"/>
                <w:color w:val="0000FF"/>
              </w:rPr>
              <w:t>5,000,000</w:t>
            </w:r>
          </w:p>
        </w:tc>
        <w:tc>
          <w:tcPr>
            <w:tcW w:w="980" w:type="dxa"/>
            <w:vAlign w:val="bottom"/>
            <w:tcBorders>
              <w:bottom w:val="single" w:sz="8" w:color="2C2C2C"/>
            </w:tcBorders>
            <w:gridSpan w:val="2"/>
          </w:tcPr>
          <w:p>
            <w:pPr>
              <w:ind w:left="520"/>
              <w:spacing w:after="0" w:line="324" w:lineRule="exact"/>
              <w:rPr>
                <w:sz w:val="20"/>
                <w:szCs w:val="20"/>
                <w:color w:val="auto"/>
              </w:rPr>
            </w:pPr>
            <w:r>
              <w:rPr>
                <w:rFonts w:ascii="Arial" w:cs="Arial" w:eastAsia="Arial" w:hAnsi="Arial"/>
                <w:sz w:val="35"/>
                <w:szCs w:val="35"/>
                <w:color w:val="0000FF"/>
                <w:w w:val="93"/>
                <w:vertAlign w:val="subscript"/>
              </w:rPr>
              <w:t>I</w:t>
            </w:r>
            <w:r>
              <w:rPr>
                <w:rFonts w:ascii="Arial" w:cs="Arial" w:eastAsia="Arial" w:hAnsi="Arial"/>
                <w:sz w:val="11"/>
                <w:szCs w:val="11"/>
                <w:color w:val="008000"/>
                <w:w w:val="93"/>
              </w:rPr>
              <w:t>(1)(2)(3)</w:t>
            </w:r>
          </w:p>
        </w:tc>
        <w:tc>
          <w:tcPr>
            <w:tcW w:w="2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220"/>
              <w:spacing w:after="0" w:line="324" w:lineRule="exact"/>
              <w:rPr>
                <w:sz w:val="20"/>
                <w:szCs w:val="20"/>
                <w:color w:val="auto"/>
              </w:rPr>
            </w:pPr>
            <w:r>
              <w:rPr>
                <w:rFonts w:ascii="Arial" w:cs="Arial" w:eastAsia="Arial" w:hAnsi="Arial"/>
                <w:sz w:val="35"/>
                <w:szCs w:val="35"/>
                <w:color w:val="0000FF"/>
                <w:vertAlign w:val="subscript"/>
              </w:rPr>
              <w:t>See</w:t>
            </w:r>
            <w:r>
              <w:rPr>
                <w:rFonts w:ascii="Arial" w:cs="Arial" w:eastAsia="Arial" w:hAnsi="Arial"/>
                <w:sz w:val="11"/>
                <w:szCs w:val="11"/>
                <w:color w:val="008000"/>
              </w:rPr>
              <w:t>(1)(2)(3)</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320" w:type="dxa"/>
            <w:vAlign w:val="bottom"/>
            <w:tcBorders>
              <w:top w:val="single" w:sz="8" w:color="2C2C2C"/>
            </w:tcBorders>
          </w:tcPr>
          <w:p>
            <w:pPr>
              <w:spacing w:after="0"/>
              <w:rPr>
                <w:sz w:val="19"/>
                <w:szCs w:val="19"/>
                <w:color w:val="auto"/>
              </w:rPr>
            </w:pPr>
          </w:p>
        </w:tc>
        <w:tc>
          <w:tcPr>
            <w:tcW w:w="114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4460" w:type="dxa"/>
            <w:vAlign w:val="bottom"/>
            <w:tcBorders>
              <w:top w:val="single" w:sz="8" w:color="2C2C2C"/>
            </w:tcBorders>
            <w:gridSpan w:val="7"/>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60" w:type="dxa"/>
            <w:vAlign w:val="bottom"/>
            <w:gridSpan w:val="10"/>
          </w:tcPr>
          <w:p>
            <w:pPr>
              <w:ind w:left="2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rPr>
              <w:t>2. Date Exercisable and</w:t>
            </w:r>
          </w:p>
        </w:tc>
        <w:tc>
          <w:tcPr>
            <w:tcW w:w="2820" w:type="dxa"/>
            <w:vAlign w:val="bottom"/>
            <w:gridSpan w:val="3"/>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4.</w:t>
            </w:r>
          </w:p>
        </w:tc>
        <w:tc>
          <w:tcPr>
            <w:tcW w:w="60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Expiration Date</w:t>
            </w:r>
          </w:p>
        </w:tc>
        <w:tc>
          <w:tcPr>
            <w:tcW w:w="28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4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Date</w:t>
            </w: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9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ind w:left="20"/>
              <w:spacing w:after="0"/>
              <w:rPr>
                <w:sz w:val="20"/>
                <w:szCs w:val="20"/>
                <w:color w:val="auto"/>
              </w:rPr>
            </w:pPr>
            <w:r>
              <w:rPr>
                <w:rFonts w:ascii="Arial" w:cs="Arial" w:eastAsia="Arial" w:hAnsi="Arial"/>
                <w:sz w:val="14"/>
                <w:szCs w:val="14"/>
                <w:b w:val="1"/>
                <w:bCs w:val="1"/>
                <w:color w:val="auto"/>
              </w:rPr>
              <w:t>Exercisable</w:t>
            </w: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5"/>
              </w:rPr>
              <w:t>Common Stock Warrants (right to buy)</w:t>
            </w:r>
          </w:p>
        </w:tc>
        <w:tc>
          <w:tcPr>
            <w:tcW w:w="1420" w:type="dxa"/>
            <w:vAlign w:val="bottom"/>
            <w:tcBorders>
              <w:bottom w:val="single" w:sz="8" w:color="2C2C2C"/>
            </w:tcBorders>
            <w:gridSpan w:val="3"/>
          </w:tcPr>
          <w:p>
            <w:pPr>
              <w:ind w:left="880"/>
              <w:spacing w:after="0"/>
              <w:rPr>
                <w:sz w:val="20"/>
                <w:szCs w:val="20"/>
                <w:color w:val="auto"/>
              </w:rPr>
            </w:pPr>
            <w:r>
              <w:rPr>
                <w:rFonts w:ascii="Arial" w:cs="Arial" w:eastAsia="Arial" w:hAnsi="Arial"/>
                <w:sz w:val="11"/>
                <w:szCs w:val="11"/>
                <w:color w:val="008000"/>
              </w:rPr>
              <w:t>(4)</w:t>
            </w:r>
          </w:p>
        </w:tc>
        <w:tc>
          <w:tcPr>
            <w:tcW w:w="780" w:type="dxa"/>
            <w:vAlign w:val="bottom"/>
            <w:tcBorders>
              <w:bottom w:val="single" w:sz="8" w:color="2C2C2C"/>
            </w:tcBorders>
            <w:gridSpan w:val="3"/>
          </w:tcPr>
          <w:p>
            <w:pPr>
              <w:ind w:left="60"/>
              <w:spacing w:after="0"/>
              <w:rPr>
                <w:sz w:val="20"/>
                <w:szCs w:val="20"/>
                <w:color w:val="auto"/>
              </w:rPr>
            </w:pPr>
            <w:r>
              <w:rPr>
                <w:rFonts w:ascii="Arial" w:cs="Arial" w:eastAsia="Arial" w:hAnsi="Arial"/>
                <w:sz w:val="14"/>
                <w:szCs w:val="14"/>
                <w:color w:val="0000FF"/>
                <w:w w:val="99"/>
              </w:rPr>
              <w:t>07/31/2005</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146"/>
              <w:spacing w:after="0"/>
              <w:rPr>
                <w:sz w:val="20"/>
                <w:szCs w:val="20"/>
                <w:color w:val="auto"/>
              </w:rPr>
            </w:pPr>
            <w:r>
              <w:rPr>
                <w:rFonts w:ascii="Arial" w:cs="Arial" w:eastAsia="Arial" w:hAnsi="Arial"/>
                <w:sz w:val="18"/>
                <w:szCs w:val="18"/>
                <w:color w:val="0000FF"/>
                <w:w w:val="86"/>
              </w:rPr>
              <w:t>101,587</w:t>
            </w: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01"/>
              <w:spacing w:after="0"/>
              <w:rPr>
                <w:sz w:val="20"/>
                <w:szCs w:val="20"/>
                <w:color w:val="auto"/>
              </w:rPr>
            </w:pPr>
            <w:r>
              <w:rPr>
                <w:rFonts w:ascii="Arial" w:cs="Arial" w:eastAsia="Arial" w:hAnsi="Arial"/>
                <w:sz w:val="18"/>
                <w:szCs w:val="18"/>
                <w:color w:val="0000FF"/>
                <w:w w:val="91"/>
              </w:rPr>
              <w:t>4.73</w:t>
            </w:r>
          </w:p>
        </w:tc>
        <w:tc>
          <w:tcPr>
            <w:tcW w:w="880" w:type="dxa"/>
            <w:vAlign w:val="bottom"/>
            <w:tcBorders>
              <w:bottom w:val="single" w:sz="8" w:color="2C2C2C"/>
            </w:tcBorders>
          </w:tcPr>
          <w:p>
            <w:pPr>
              <w:ind w:left="24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(1)(2)(3)</w:t>
            </w:r>
          </w:p>
        </w:tc>
        <w:tc>
          <w:tcPr>
            <w:tcW w:w="1620" w:type="dxa"/>
            <w:vAlign w:val="bottom"/>
            <w:tcBorders>
              <w:bottom w:val="single" w:sz="8" w:color="2C2C2C"/>
            </w:tcBorders>
          </w:tcPr>
          <w:p>
            <w:pPr>
              <w:ind w:left="100"/>
              <w:spacing w:after="0" w:line="324" w:lineRule="exact"/>
              <w:rPr>
                <w:sz w:val="20"/>
                <w:szCs w:val="20"/>
                <w:color w:val="auto"/>
              </w:rPr>
            </w:pPr>
            <w:r>
              <w:rPr>
                <w:rFonts w:ascii="Arial" w:cs="Arial" w:eastAsia="Arial" w:hAnsi="Arial"/>
                <w:sz w:val="35"/>
                <w:szCs w:val="35"/>
                <w:color w:val="0000FF"/>
                <w:vertAlign w:val="subscript"/>
              </w:rPr>
              <w:t>See</w:t>
            </w:r>
            <w:r>
              <w:rPr>
                <w:rFonts w:ascii="Arial" w:cs="Arial" w:eastAsia="Arial" w:hAnsi="Arial"/>
                <w:sz w:val="11"/>
                <w:szCs w:val="11"/>
                <w:color w:val="008000"/>
              </w:rPr>
              <w:t>(1)(2)(3)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5"/>
              </w:rPr>
              <w:t>Common Stock Warrants (right to buy)</w:t>
            </w:r>
          </w:p>
        </w:tc>
        <w:tc>
          <w:tcPr>
            <w:tcW w:w="1420" w:type="dxa"/>
            <w:vAlign w:val="bottom"/>
            <w:tcBorders>
              <w:bottom w:val="single" w:sz="8" w:color="2C2C2C"/>
            </w:tcBorders>
            <w:gridSpan w:val="3"/>
          </w:tcPr>
          <w:p>
            <w:pPr>
              <w:ind w:left="880"/>
              <w:spacing w:after="0"/>
              <w:rPr>
                <w:sz w:val="20"/>
                <w:szCs w:val="20"/>
                <w:color w:val="auto"/>
              </w:rPr>
            </w:pPr>
            <w:r>
              <w:rPr>
                <w:rFonts w:ascii="Arial" w:cs="Arial" w:eastAsia="Arial" w:hAnsi="Arial"/>
                <w:sz w:val="11"/>
                <w:szCs w:val="11"/>
                <w:color w:val="008000"/>
              </w:rPr>
              <w:t>(4)</w:t>
            </w:r>
          </w:p>
        </w:tc>
        <w:tc>
          <w:tcPr>
            <w:tcW w:w="780" w:type="dxa"/>
            <w:vAlign w:val="bottom"/>
            <w:tcBorders>
              <w:bottom w:val="single" w:sz="8" w:color="2C2C2C"/>
            </w:tcBorders>
            <w:gridSpan w:val="3"/>
          </w:tcPr>
          <w:p>
            <w:pPr>
              <w:ind w:left="60"/>
              <w:spacing w:after="0"/>
              <w:rPr>
                <w:sz w:val="20"/>
                <w:szCs w:val="20"/>
                <w:color w:val="auto"/>
              </w:rPr>
            </w:pPr>
            <w:r>
              <w:rPr>
                <w:rFonts w:ascii="Arial" w:cs="Arial" w:eastAsia="Arial" w:hAnsi="Arial"/>
                <w:sz w:val="14"/>
                <w:szCs w:val="14"/>
                <w:color w:val="0000FF"/>
                <w:w w:val="99"/>
              </w:rPr>
              <w:t>12/04/2005</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146"/>
              <w:spacing w:after="0"/>
              <w:rPr>
                <w:sz w:val="20"/>
                <w:szCs w:val="20"/>
                <w:color w:val="auto"/>
              </w:rPr>
            </w:pPr>
            <w:r>
              <w:rPr>
                <w:rFonts w:ascii="Arial" w:cs="Arial" w:eastAsia="Arial" w:hAnsi="Arial"/>
                <w:sz w:val="18"/>
                <w:szCs w:val="18"/>
                <w:color w:val="0000FF"/>
                <w:w w:val="86"/>
              </w:rPr>
              <w:t>350,877</w:t>
            </w: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01"/>
              <w:spacing w:after="0"/>
              <w:rPr>
                <w:sz w:val="20"/>
                <w:szCs w:val="20"/>
                <w:color w:val="auto"/>
              </w:rPr>
            </w:pPr>
            <w:r>
              <w:rPr>
                <w:rFonts w:ascii="Arial" w:cs="Arial" w:eastAsia="Arial" w:hAnsi="Arial"/>
                <w:sz w:val="18"/>
                <w:szCs w:val="18"/>
                <w:color w:val="0000FF"/>
                <w:w w:val="91"/>
              </w:rPr>
              <w:t>3.42</w:t>
            </w:r>
          </w:p>
        </w:tc>
        <w:tc>
          <w:tcPr>
            <w:tcW w:w="880" w:type="dxa"/>
            <w:vAlign w:val="bottom"/>
            <w:tcBorders>
              <w:bottom w:val="single" w:sz="8" w:color="2C2C2C"/>
            </w:tcBorders>
          </w:tcPr>
          <w:p>
            <w:pPr>
              <w:ind w:left="24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(1)(2)(3)</w:t>
            </w:r>
          </w:p>
        </w:tc>
        <w:tc>
          <w:tcPr>
            <w:tcW w:w="1620" w:type="dxa"/>
            <w:vAlign w:val="bottom"/>
            <w:tcBorders>
              <w:bottom w:val="single" w:sz="8" w:color="2C2C2C"/>
            </w:tcBorders>
          </w:tcPr>
          <w:p>
            <w:pPr>
              <w:ind w:left="100"/>
              <w:spacing w:after="0" w:line="324" w:lineRule="exact"/>
              <w:rPr>
                <w:sz w:val="20"/>
                <w:szCs w:val="20"/>
                <w:color w:val="auto"/>
              </w:rPr>
            </w:pPr>
            <w:r>
              <w:rPr>
                <w:rFonts w:ascii="Arial" w:cs="Arial" w:eastAsia="Arial" w:hAnsi="Arial"/>
                <w:sz w:val="35"/>
                <w:szCs w:val="35"/>
                <w:color w:val="0000FF"/>
                <w:vertAlign w:val="subscript"/>
              </w:rPr>
              <w:t>See</w:t>
            </w:r>
            <w:r>
              <w:rPr>
                <w:rFonts w:ascii="Arial" w:cs="Arial" w:eastAsia="Arial" w:hAnsi="Arial"/>
                <w:sz w:val="11"/>
                <w:szCs w:val="11"/>
                <w:color w:val="008000"/>
              </w:rPr>
              <w:t>(1)(2)(3)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5"/>
              </w:rPr>
              <w:t>Common Stock Warrants (right to buy)</w:t>
            </w:r>
          </w:p>
        </w:tc>
        <w:tc>
          <w:tcPr>
            <w:tcW w:w="1420" w:type="dxa"/>
            <w:vAlign w:val="bottom"/>
            <w:tcBorders>
              <w:bottom w:val="single" w:sz="8" w:color="2C2C2C"/>
            </w:tcBorders>
            <w:gridSpan w:val="3"/>
          </w:tcPr>
          <w:p>
            <w:pPr>
              <w:ind w:left="880"/>
              <w:spacing w:after="0"/>
              <w:rPr>
                <w:sz w:val="20"/>
                <w:szCs w:val="20"/>
                <w:color w:val="auto"/>
              </w:rPr>
            </w:pPr>
            <w:r>
              <w:rPr>
                <w:rFonts w:ascii="Arial" w:cs="Arial" w:eastAsia="Arial" w:hAnsi="Arial"/>
                <w:sz w:val="11"/>
                <w:szCs w:val="11"/>
                <w:color w:val="008000"/>
              </w:rPr>
              <w:t>(4)</w:t>
            </w:r>
          </w:p>
        </w:tc>
        <w:tc>
          <w:tcPr>
            <w:tcW w:w="780" w:type="dxa"/>
            <w:vAlign w:val="bottom"/>
            <w:tcBorders>
              <w:bottom w:val="single" w:sz="8" w:color="2C2C2C"/>
            </w:tcBorders>
            <w:gridSpan w:val="3"/>
          </w:tcPr>
          <w:p>
            <w:pPr>
              <w:ind w:left="60"/>
              <w:spacing w:after="0"/>
              <w:rPr>
                <w:sz w:val="20"/>
                <w:szCs w:val="20"/>
                <w:color w:val="auto"/>
              </w:rPr>
            </w:pPr>
            <w:r>
              <w:rPr>
                <w:rFonts w:ascii="Arial" w:cs="Arial" w:eastAsia="Arial" w:hAnsi="Arial"/>
                <w:sz w:val="14"/>
                <w:szCs w:val="14"/>
                <w:color w:val="0000FF"/>
                <w:w w:val="99"/>
              </w:rPr>
              <w:t>08/30/2005</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146"/>
              <w:spacing w:after="0"/>
              <w:rPr>
                <w:sz w:val="20"/>
                <w:szCs w:val="20"/>
                <w:color w:val="auto"/>
              </w:rPr>
            </w:pPr>
            <w:r>
              <w:rPr>
                <w:rFonts w:ascii="Arial" w:cs="Arial" w:eastAsia="Arial" w:hAnsi="Arial"/>
                <w:sz w:val="18"/>
                <w:szCs w:val="18"/>
                <w:color w:val="0000FF"/>
                <w:w w:val="87"/>
              </w:rPr>
              <w:t>19,900</w:t>
            </w: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01"/>
              <w:spacing w:after="0"/>
              <w:rPr>
                <w:sz w:val="20"/>
                <w:szCs w:val="20"/>
                <w:color w:val="auto"/>
              </w:rPr>
            </w:pPr>
            <w:r>
              <w:rPr>
                <w:rFonts w:ascii="Arial" w:cs="Arial" w:eastAsia="Arial" w:hAnsi="Arial"/>
                <w:sz w:val="18"/>
                <w:szCs w:val="18"/>
                <w:color w:val="0000FF"/>
                <w:w w:val="91"/>
              </w:rPr>
              <w:t>6.03</w:t>
            </w:r>
          </w:p>
        </w:tc>
        <w:tc>
          <w:tcPr>
            <w:tcW w:w="880" w:type="dxa"/>
            <w:vAlign w:val="bottom"/>
            <w:tcBorders>
              <w:bottom w:val="single" w:sz="8" w:color="2C2C2C"/>
            </w:tcBorders>
          </w:tcPr>
          <w:p>
            <w:pPr>
              <w:ind w:left="24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(1)(2)(3)</w:t>
            </w:r>
          </w:p>
        </w:tc>
        <w:tc>
          <w:tcPr>
            <w:tcW w:w="1620" w:type="dxa"/>
            <w:vAlign w:val="bottom"/>
            <w:tcBorders>
              <w:bottom w:val="single" w:sz="8" w:color="2C2C2C"/>
            </w:tcBorders>
          </w:tcPr>
          <w:p>
            <w:pPr>
              <w:ind w:left="100"/>
              <w:spacing w:after="0" w:line="324" w:lineRule="exact"/>
              <w:rPr>
                <w:sz w:val="20"/>
                <w:szCs w:val="20"/>
                <w:color w:val="auto"/>
              </w:rPr>
            </w:pPr>
            <w:r>
              <w:rPr>
                <w:rFonts w:ascii="Arial" w:cs="Arial" w:eastAsia="Arial" w:hAnsi="Arial"/>
                <w:sz w:val="35"/>
                <w:szCs w:val="35"/>
                <w:color w:val="0000FF"/>
                <w:vertAlign w:val="subscript"/>
              </w:rPr>
              <w:t>See</w:t>
            </w:r>
            <w:r>
              <w:rPr>
                <w:rFonts w:ascii="Arial" w:cs="Arial" w:eastAsia="Arial" w:hAnsi="Arial"/>
                <w:sz w:val="11"/>
                <w:szCs w:val="11"/>
                <w:color w:val="008000"/>
              </w:rPr>
              <w:t>(1)(2)(3)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5"/>
              </w:rPr>
              <w:t>Common Stock Warrants (right to buy)</w:t>
            </w:r>
          </w:p>
        </w:tc>
        <w:tc>
          <w:tcPr>
            <w:tcW w:w="1420" w:type="dxa"/>
            <w:vAlign w:val="bottom"/>
            <w:tcBorders>
              <w:bottom w:val="single" w:sz="8" w:color="2C2C2C"/>
            </w:tcBorders>
            <w:gridSpan w:val="3"/>
          </w:tcPr>
          <w:p>
            <w:pPr>
              <w:ind w:left="880"/>
              <w:spacing w:after="0"/>
              <w:rPr>
                <w:sz w:val="20"/>
                <w:szCs w:val="20"/>
                <w:color w:val="auto"/>
              </w:rPr>
            </w:pPr>
            <w:r>
              <w:rPr>
                <w:rFonts w:ascii="Arial" w:cs="Arial" w:eastAsia="Arial" w:hAnsi="Arial"/>
                <w:sz w:val="11"/>
                <w:szCs w:val="11"/>
                <w:color w:val="008000"/>
              </w:rPr>
              <w:t>(4)</w:t>
            </w:r>
          </w:p>
        </w:tc>
        <w:tc>
          <w:tcPr>
            <w:tcW w:w="780" w:type="dxa"/>
            <w:vAlign w:val="bottom"/>
            <w:tcBorders>
              <w:bottom w:val="single" w:sz="8" w:color="2C2C2C"/>
            </w:tcBorders>
            <w:gridSpan w:val="3"/>
          </w:tcPr>
          <w:p>
            <w:pPr>
              <w:ind w:left="60"/>
              <w:spacing w:after="0"/>
              <w:rPr>
                <w:sz w:val="20"/>
                <w:szCs w:val="20"/>
                <w:color w:val="auto"/>
              </w:rPr>
            </w:pPr>
            <w:r>
              <w:rPr>
                <w:rFonts w:ascii="Arial" w:cs="Arial" w:eastAsia="Arial" w:hAnsi="Arial"/>
                <w:sz w:val="14"/>
                <w:szCs w:val="14"/>
                <w:color w:val="0000FF"/>
                <w:w w:val="99"/>
              </w:rPr>
              <w:t>06/09/2006</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146"/>
              <w:spacing w:after="0"/>
              <w:rPr>
                <w:sz w:val="20"/>
                <w:szCs w:val="20"/>
                <w:color w:val="auto"/>
              </w:rPr>
            </w:pPr>
            <w:r>
              <w:rPr>
                <w:rFonts w:ascii="Arial" w:cs="Arial" w:eastAsia="Arial" w:hAnsi="Arial"/>
                <w:sz w:val="18"/>
                <w:szCs w:val="18"/>
                <w:color w:val="0000FF"/>
                <w:w w:val="87"/>
              </w:rPr>
              <w:t>50,352</w:t>
            </w: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01"/>
              <w:spacing w:after="0"/>
              <w:rPr>
                <w:sz w:val="20"/>
                <w:szCs w:val="20"/>
                <w:color w:val="auto"/>
              </w:rPr>
            </w:pPr>
            <w:r>
              <w:rPr>
                <w:rFonts w:ascii="Arial" w:cs="Arial" w:eastAsia="Arial" w:hAnsi="Arial"/>
                <w:sz w:val="18"/>
                <w:szCs w:val="18"/>
                <w:color w:val="0000FF"/>
                <w:w w:val="91"/>
              </w:rPr>
              <w:t>4.77</w:t>
            </w:r>
          </w:p>
        </w:tc>
        <w:tc>
          <w:tcPr>
            <w:tcW w:w="880" w:type="dxa"/>
            <w:vAlign w:val="bottom"/>
            <w:tcBorders>
              <w:bottom w:val="single" w:sz="8" w:color="2C2C2C"/>
            </w:tcBorders>
          </w:tcPr>
          <w:p>
            <w:pPr>
              <w:ind w:left="24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(1)(2)(3)</w:t>
            </w:r>
          </w:p>
        </w:tc>
        <w:tc>
          <w:tcPr>
            <w:tcW w:w="1620" w:type="dxa"/>
            <w:vAlign w:val="bottom"/>
            <w:tcBorders>
              <w:bottom w:val="single" w:sz="8" w:color="2C2C2C"/>
            </w:tcBorders>
          </w:tcPr>
          <w:p>
            <w:pPr>
              <w:ind w:left="100"/>
              <w:spacing w:after="0" w:line="324" w:lineRule="exact"/>
              <w:rPr>
                <w:sz w:val="20"/>
                <w:szCs w:val="20"/>
                <w:color w:val="auto"/>
              </w:rPr>
            </w:pPr>
            <w:r>
              <w:rPr>
                <w:rFonts w:ascii="Arial" w:cs="Arial" w:eastAsia="Arial" w:hAnsi="Arial"/>
                <w:sz w:val="35"/>
                <w:szCs w:val="35"/>
                <w:color w:val="0000FF"/>
                <w:vertAlign w:val="subscript"/>
              </w:rPr>
              <w:t>See</w:t>
            </w:r>
            <w:r>
              <w:rPr>
                <w:rFonts w:ascii="Arial" w:cs="Arial" w:eastAsia="Arial" w:hAnsi="Arial"/>
                <w:sz w:val="11"/>
                <w:szCs w:val="11"/>
                <w:color w:val="008000"/>
              </w:rPr>
              <w:t>(1)(2)(3)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5"/>
              </w:rPr>
              <w:t>Common Stock Warrants (right to buy)</w:t>
            </w:r>
          </w:p>
        </w:tc>
        <w:tc>
          <w:tcPr>
            <w:tcW w:w="1420" w:type="dxa"/>
            <w:vAlign w:val="bottom"/>
            <w:tcBorders>
              <w:bottom w:val="single" w:sz="8" w:color="2C2C2C"/>
            </w:tcBorders>
            <w:gridSpan w:val="3"/>
          </w:tcPr>
          <w:p>
            <w:pPr>
              <w:ind w:left="880"/>
              <w:spacing w:after="0"/>
              <w:rPr>
                <w:sz w:val="20"/>
                <w:szCs w:val="20"/>
                <w:color w:val="auto"/>
              </w:rPr>
            </w:pPr>
            <w:r>
              <w:rPr>
                <w:rFonts w:ascii="Arial" w:cs="Arial" w:eastAsia="Arial" w:hAnsi="Arial"/>
                <w:sz w:val="11"/>
                <w:szCs w:val="11"/>
                <w:color w:val="008000"/>
              </w:rPr>
              <w:t>(4)</w:t>
            </w:r>
          </w:p>
        </w:tc>
        <w:tc>
          <w:tcPr>
            <w:tcW w:w="780" w:type="dxa"/>
            <w:vAlign w:val="bottom"/>
            <w:tcBorders>
              <w:bottom w:val="single" w:sz="8" w:color="2C2C2C"/>
            </w:tcBorders>
            <w:gridSpan w:val="3"/>
          </w:tcPr>
          <w:p>
            <w:pPr>
              <w:ind w:left="60"/>
              <w:spacing w:after="0"/>
              <w:rPr>
                <w:sz w:val="20"/>
                <w:szCs w:val="20"/>
                <w:color w:val="auto"/>
              </w:rPr>
            </w:pPr>
            <w:r>
              <w:rPr>
                <w:rFonts w:ascii="Arial" w:cs="Arial" w:eastAsia="Arial" w:hAnsi="Arial"/>
                <w:sz w:val="14"/>
                <w:szCs w:val="14"/>
                <w:color w:val="0000FF"/>
                <w:w w:val="99"/>
              </w:rPr>
              <w:t>05/08/2005</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146"/>
              <w:spacing w:after="0"/>
              <w:rPr>
                <w:sz w:val="20"/>
                <w:szCs w:val="20"/>
                <w:color w:val="auto"/>
              </w:rPr>
            </w:pPr>
            <w:r>
              <w:rPr>
                <w:rFonts w:ascii="Arial" w:cs="Arial" w:eastAsia="Arial" w:hAnsi="Arial"/>
                <w:sz w:val="18"/>
                <w:szCs w:val="18"/>
                <w:color w:val="0000FF"/>
                <w:w w:val="86"/>
              </w:rPr>
              <w:t>800,000</w:t>
            </w: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181"/>
              <w:spacing w:after="0"/>
              <w:rPr>
                <w:sz w:val="20"/>
                <w:szCs w:val="20"/>
                <w:color w:val="auto"/>
              </w:rPr>
            </w:pPr>
            <w:r>
              <w:rPr>
                <w:rFonts w:ascii="Arial" w:cs="Arial" w:eastAsia="Arial" w:hAnsi="Arial"/>
                <w:sz w:val="18"/>
                <w:szCs w:val="18"/>
                <w:color w:val="0000FF"/>
                <w:w w:val="87"/>
              </w:rPr>
              <w:t>1.5</w:t>
            </w:r>
          </w:p>
        </w:tc>
        <w:tc>
          <w:tcPr>
            <w:tcW w:w="880" w:type="dxa"/>
            <w:vAlign w:val="bottom"/>
            <w:tcBorders>
              <w:bottom w:val="single" w:sz="8" w:color="2C2C2C"/>
            </w:tcBorders>
          </w:tcPr>
          <w:p>
            <w:pPr>
              <w:ind w:left="24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(1)(2)(3)</w:t>
            </w:r>
          </w:p>
        </w:tc>
        <w:tc>
          <w:tcPr>
            <w:tcW w:w="1640" w:type="dxa"/>
            <w:vAlign w:val="bottom"/>
            <w:tcBorders>
              <w:bottom w:val="single" w:sz="8" w:color="2C2C2C"/>
            </w:tcBorders>
            <w:gridSpan w:val="2"/>
          </w:tcPr>
          <w:p>
            <w:pPr>
              <w:ind w:left="100"/>
              <w:spacing w:after="0" w:line="324" w:lineRule="exact"/>
              <w:rPr>
                <w:sz w:val="20"/>
                <w:szCs w:val="20"/>
                <w:color w:val="auto"/>
              </w:rPr>
            </w:pPr>
            <w:r>
              <w:rPr>
                <w:rFonts w:ascii="Arial" w:cs="Arial" w:eastAsia="Arial" w:hAnsi="Arial"/>
                <w:sz w:val="35"/>
                <w:szCs w:val="35"/>
                <w:color w:val="0000FF"/>
                <w:vertAlign w:val="subscript"/>
              </w:rPr>
              <w:t>See</w:t>
            </w:r>
            <w:r>
              <w:rPr>
                <w:rFonts w:ascii="Arial" w:cs="Arial" w:eastAsia="Arial" w:hAnsi="Arial"/>
                <w:sz w:val="11"/>
                <w:szCs w:val="11"/>
                <w:color w:val="008000"/>
              </w:rPr>
              <w:t>(1)(2)(3)</w:t>
            </w: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0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6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6"/>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MILLENNIUM MANAGEMENT LLC</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gridSpan w:val="2"/>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gridSpan w:val="3"/>
          </w:tcPr>
          <w:p>
            <w:pPr>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666 FIFTH AVE</w:t>
            </w: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NEW YORK</w:t>
            </w:r>
          </w:p>
        </w:tc>
        <w:tc>
          <w:tcPr>
            <w:tcW w:w="1600" w:type="dxa"/>
            <w:vAlign w:val="bottom"/>
            <w:gridSpan w:val="2"/>
          </w:tcPr>
          <w:p>
            <w:pPr>
              <w:ind w:left="140"/>
              <w:spacing w:after="0"/>
              <w:rPr>
                <w:sz w:val="20"/>
                <w:szCs w:val="20"/>
                <w:color w:val="auto"/>
              </w:rPr>
            </w:pPr>
            <w:r>
              <w:rPr>
                <w:rFonts w:ascii="Arial" w:cs="Arial" w:eastAsia="Arial" w:hAnsi="Arial"/>
                <w:sz w:val="18"/>
                <w:szCs w:val="18"/>
                <w:color w:val="0000FF"/>
              </w:rPr>
              <w:t>NY</w:t>
            </w:r>
          </w:p>
        </w:tc>
        <w:tc>
          <w:tcPr>
            <w:tcW w:w="1420" w:type="dxa"/>
            <w:vAlign w:val="bottom"/>
            <w:gridSpan w:val="3"/>
          </w:tcPr>
          <w:p>
            <w:pPr>
              <w:spacing w:after="0"/>
              <w:rPr>
                <w:sz w:val="20"/>
                <w:szCs w:val="20"/>
                <w:color w:val="auto"/>
              </w:rPr>
            </w:pPr>
            <w:r>
              <w:rPr>
                <w:rFonts w:ascii="Arial" w:cs="Arial" w:eastAsia="Arial" w:hAnsi="Arial"/>
                <w:sz w:val="18"/>
                <w:szCs w:val="18"/>
                <w:color w:val="0000FF"/>
              </w:rPr>
              <w:t>10103-0899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2"/>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gridSpan w:val="3"/>
          </w:tcPr>
          <w:p>
            <w:pPr>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gridSpan w:val="3"/>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RIVERVIEW GROUP LLC</w:t>
              </w:r>
            </w:hyperlink>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gridSpan w:val="2"/>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gridSpan w:val="3"/>
          </w:tcPr>
          <w:p>
            <w:pPr>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666 FIFTH AVE</w:t>
            </w: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NEW YORK</w:t>
            </w:r>
          </w:p>
        </w:tc>
        <w:tc>
          <w:tcPr>
            <w:tcW w:w="1600" w:type="dxa"/>
            <w:vAlign w:val="bottom"/>
            <w:gridSpan w:val="2"/>
          </w:tcPr>
          <w:p>
            <w:pPr>
              <w:ind w:left="140"/>
              <w:spacing w:after="0"/>
              <w:rPr>
                <w:sz w:val="20"/>
                <w:szCs w:val="20"/>
                <w:color w:val="auto"/>
              </w:rPr>
            </w:pPr>
            <w:r>
              <w:rPr>
                <w:rFonts w:ascii="Arial" w:cs="Arial" w:eastAsia="Arial" w:hAnsi="Arial"/>
                <w:sz w:val="18"/>
                <w:szCs w:val="18"/>
                <w:color w:val="0000FF"/>
              </w:rPr>
              <w:t>NY</w:t>
            </w:r>
          </w:p>
        </w:tc>
        <w:tc>
          <w:tcPr>
            <w:tcW w:w="1420" w:type="dxa"/>
            <w:vAlign w:val="bottom"/>
            <w:gridSpan w:val="3"/>
          </w:tcPr>
          <w:p>
            <w:pPr>
              <w:spacing w:after="0"/>
              <w:rPr>
                <w:sz w:val="20"/>
                <w:szCs w:val="20"/>
                <w:color w:val="auto"/>
              </w:rPr>
            </w:pPr>
            <w:r>
              <w:rPr>
                <w:rFonts w:ascii="Arial" w:cs="Arial" w:eastAsia="Arial" w:hAnsi="Arial"/>
                <w:sz w:val="18"/>
                <w:szCs w:val="18"/>
                <w:color w:val="0000FF"/>
              </w:rPr>
              <w:t>10103-0899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2"/>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gridSpan w:val="3"/>
          </w:tcPr>
          <w:p>
            <w:pPr>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MILLENNIUM HOLDING GROUP LP</w:t>
        </w:r>
      </w:hyperlink>
    </w:p>
    <w:p>
      <w:pPr>
        <w:sectPr>
          <w:pgSz w:w="11900" w:h="16896" w:orient="portrait"/>
          <w:cols w:equalWidth="0" w:num="1">
            <w:col w:w="11420"/>
          </w:cols>
          <w:pgMar w:left="240" w:top="226" w:right="239" w:bottom="0" w:gutter="0" w:footer="0" w:header="0"/>
          <w:type w:val="continuous"/>
        </w:sectPr>
      </w:pPr>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96" w:orient="portrait"/>
          <w:cols w:equalWidth="0" w:num="1">
            <w:col w:w="11420"/>
          </w:cols>
          <w:pgMar w:left="240" w:top="226" w:right="23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8"/>
          <w:szCs w:val="18"/>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705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2705735"/>
                    </a:xfrm>
                    <a:prstGeom prst="rect">
                      <a:avLst/>
                    </a:prstGeom>
                    <a:noFill/>
                  </pic:spPr>
                </pic:pic>
              </a:graphicData>
            </a:graphic>
          </wp:anchor>
        </w:drawing>
        <w:t>666 FIFTH AVE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10103-0899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ENGLANDER ISRAEL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111 BROADWAY 20TH FLOOR</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10006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8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affected by The Riverview Group, LLC, a Delaware limited liability company ("Riverview"), which as of the date hereof directly holds 9,026,048 shares of Common Stock of StemCells, Inc. (the "Company"). Riverview is a wholly owned subsidiary of Millennium Holding Group, L.P., a Delaware limited partnership ("Holding"). Millennium Management, LLC, a Delaware limited liability company ("Millennium Management"), is the general partner of Holding and consequently has voting control and investment discretion over securities owned by Holding and by Riverview.</w:t>
      </w:r>
    </w:p>
    <w:p>
      <w:pPr>
        <w:spacing w:after="0" w:line="2" w:lineRule="exact"/>
        <w:rPr>
          <w:rFonts w:ascii="Arial" w:cs="Arial" w:eastAsia="Arial" w:hAnsi="Arial"/>
          <w:sz w:val="12"/>
          <w:szCs w:val="12"/>
          <w:color w:val="008000"/>
        </w:rPr>
      </w:pPr>
    </w:p>
    <w:p>
      <w:pPr>
        <w:ind w:left="20" w:right="8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Israel A. Englander ("Mr. Englander) is the sole managing member of Millennium Management. As a result, Mr. Englander may be considered the beneficial owner of any shares deemed to be beneficially owned by Millennium Management. Each of Holding, Millennium Management and Mr. Englander disclaims any beneficial ownership of the shares owned by Riverview to the extent such beneficial ownership exceeds such person's pecuniary interest.</w:t>
      </w:r>
    </w:p>
    <w:p>
      <w:pPr>
        <w:spacing w:after="0" w:line="30" w:lineRule="exact"/>
        <w:rPr>
          <w:rFonts w:ascii="Arial" w:cs="Arial" w:eastAsia="Arial" w:hAnsi="Arial"/>
          <w:sz w:val="14"/>
          <w:szCs w:val="14"/>
          <w:color w:val="008000"/>
        </w:rPr>
      </w:pPr>
    </w:p>
    <w:p>
      <w:pPr>
        <w:ind w:left="20" w:right="6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Millennium Partners, L.P., a Cayman Islands limited partnership ("Partners"), is a limited partner of Holding. As a limited partner, Partners has no ability to control Holding. Therefore, as of the date of this filing, Partners may not be deemed a beneficial owner of the shares of the Company or a member of the above-listed group.</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Immediately exercisable.</w:t>
      </w:r>
    </w:p>
    <w:p>
      <w:pPr>
        <w:sectPr>
          <w:pgSz w:w="11900" w:h="16838" w:orient="portrait"/>
          <w:cols w:equalWidth="0" w:num="1">
            <w:col w:w="11280"/>
          </w:cols>
          <w:pgMar w:left="260" w:top="185" w:right="359" w:bottom="1440" w:gutter="0" w:footer="0" w:header="0"/>
        </w:sectPr>
      </w:pPr>
    </w:p>
    <w:p>
      <w:pPr>
        <w:spacing w:after="0" w:line="71"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MILLENNIUM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18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7181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5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33540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Israel A. Englander,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2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7287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THE RIVERVIEW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820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820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LLC by /s/ Terry Feeney,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963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9636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MILLENNIUM 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541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GROUP, L.P. By: Millennium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79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Management, LLC as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93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4937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Partner By: /s/ Israel 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671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1671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0000FF"/>
        </w:rPr>
        <w:t>12/12/2003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12/12/2003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12/12/2003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98" w:lineRule="exact"/>
        <w:rPr>
          <w:sz w:val="20"/>
          <w:szCs w:val="20"/>
          <w:color w:val="auto"/>
        </w:rPr>
      </w:pPr>
    </w:p>
    <w:p>
      <w:pPr>
        <w:sectPr>
          <w:pgSz w:w="11900" w:h="16838" w:orient="portrait"/>
          <w:cols w:equalWidth="0" w:num="2">
            <w:col w:w="9040" w:space="100"/>
            <w:col w:w="2140"/>
          </w:cols>
          <w:pgMar w:left="260" w:top="185" w:right="359" w:bottom="1440" w:gutter="0" w:footer="0" w:header="0"/>
          <w:type w:val="continuous"/>
        </w:sectPr>
      </w:pPr>
    </w:p>
    <w:tbl>
      <w:tblPr>
        <w:tblLayout w:type="fixed"/>
        <w:tblInd w:w="684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Israel A. Englander</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12/12/2003</w:t>
            </w:r>
          </w:p>
        </w:tc>
      </w:tr>
      <w:tr>
        <w:trPr>
          <w:trHeight w:val="20"/>
        </w:trPr>
        <w:tc>
          <w:tcPr>
            <w:tcW w:w="1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20" w:right="346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60" w:top="18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11" Type="http://schemas.openxmlformats.org/officeDocument/2006/relationships/hyperlink" Target="http://www.sec.gov/cgi-bin/browse-edgar?action=getcompany&amp;CIK=0001273087" TargetMode="External"/><Relationship Id="rId12" Type="http://schemas.openxmlformats.org/officeDocument/2006/relationships/hyperlink" Target="http://www.sec.gov/cgi-bin/browse-edgar?action=getcompany&amp;CIK=0000883975" TargetMode="External"/><Relationship Id="rId13" Type="http://schemas.openxmlformats.org/officeDocument/2006/relationships/hyperlink" Target="http://www.sec.gov/cgi-bin/browse-edgar?action=getcompany&amp;CIK=0001273091" TargetMode="External"/><Relationship Id="rId14" Type="http://schemas.openxmlformats.org/officeDocument/2006/relationships/hyperlink" Target="http://www.sec.gov/cgi-bin/browse-edgar?action=getcompany&amp;CIK=0001273089" TargetMode="External"/><Relationship Id="rId16" Type="http://schemas.openxmlformats.org/officeDocument/2006/relationships/hyperlink" Target="http://www.sec.gov/cgi-bin/browse-edgar?action=getcompany&amp;CIK=00010174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2019-12-16T07:35:14Z</dcterms:created>
  <dcterms:modified xsi:type="dcterms:W3CDTF">2019-12-16T07:35:14Z</dcterms:modified>
</cp:coreProperties>
</file>