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spacing w:after="0"/>
        <w:tabs>
          <w:tab w:leader="none" w:pos="8720" w:val="left"/>
        </w:tabs>
        <w:rPr>
          <w:sz w:val="20"/>
          <w:szCs w:val="20"/>
          <w:color w:val="auto"/>
        </w:rPr>
      </w:pPr>
      <w:r>
        <w:rPr>
          <w:rFonts w:ascii="Arial" w:cs="Arial" w:eastAsia="Arial" w:hAnsi="Arial"/>
          <w:sz w:val="18"/>
          <w:szCs w:val="18"/>
          <w:b w:val="1"/>
          <w:bCs w:val="1"/>
          <w:color w:val="auto"/>
        </w:rPr>
        <w:t>For the quarter ended: September 30, 2005</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0-19871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3840" w:type="dxa"/>
            <w:vAlign w:val="bottom"/>
          </w:tcPr>
          <w:p>
            <w:pPr>
              <w:spacing w:after="0"/>
              <w:rPr>
                <w:sz w:val="24"/>
                <w:szCs w:val="24"/>
                <w:color w:val="auto"/>
              </w:rPr>
            </w:pPr>
          </w:p>
        </w:tc>
        <w:tc>
          <w:tcPr>
            <w:tcW w:w="7580" w:type="dxa"/>
            <w:vAlign w:val="bottom"/>
            <w:gridSpan w:val="4"/>
          </w:tcPr>
          <w:p>
            <w:pPr>
              <w:spacing w:after="0"/>
              <w:rPr>
                <w:sz w:val="20"/>
                <w:szCs w:val="20"/>
                <w:color w:val="auto"/>
              </w:rPr>
            </w:pPr>
            <w:r>
              <w:rPr>
                <w:rFonts w:ascii="Arial" w:cs="Arial" w:eastAsia="Arial" w:hAnsi="Arial"/>
                <w:sz w:val="43"/>
                <w:szCs w:val="43"/>
                <w:b w:val="1"/>
                <w:bCs w:val="1"/>
                <w:color w:val="auto"/>
              </w:rPr>
              <w:t>STEMCELLS, INC.</w:t>
            </w:r>
          </w:p>
        </w:tc>
      </w:tr>
      <w:tr>
        <w:trPr>
          <w:trHeight w:val="224"/>
        </w:trPr>
        <w:tc>
          <w:tcPr>
            <w:tcW w:w="3840" w:type="dxa"/>
            <w:vAlign w:val="bottom"/>
          </w:tcPr>
          <w:p>
            <w:pPr>
              <w:spacing w:after="0"/>
              <w:rPr>
                <w:sz w:val="19"/>
                <w:szCs w:val="19"/>
                <w:color w:val="auto"/>
              </w:rPr>
            </w:pPr>
          </w:p>
        </w:tc>
        <w:tc>
          <w:tcPr>
            <w:tcW w:w="37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w w:val="90"/>
              </w:rPr>
              <w:t>(Exact name of registrant as specified in its charter)</w:t>
            </w:r>
          </w:p>
        </w:tc>
        <w:tc>
          <w:tcPr>
            <w:tcW w:w="3820" w:type="dxa"/>
            <w:vAlign w:val="bottom"/>
          </w:tcPr>
          <w:p>
            <w:pPr>
              <w:spacing w:after="0"/>
              <w:rPr>
                <w:sz w:val="19"/>
                <w:szCs w:val="19"/>
                <w:color w:val="auto"/>
              </w:rPr>
            </w:pPr>
          </w:p>
        </w:tc>
      </w:tr>
      <w:tr>
        <w:trPr>
          <w:trHeight w:val="418"/>
        </w:trPr>
        <w:tc>
          <w:tcPr>
            <w:tcW w:w="3840" w:type="dxa"/>
            <w:vAlign w:val="bottom"/>
          </w:tcPr>
          <w:p>
            <w:pPr>
              <w:jc w:val="center"/>
              <w:ind w:left="1490"/>
              <w:spacing w:after="0"/>
              <w:rPr>
                <w:sz w:val="20"/>
                <w:szCs w:val="20"/>
                <w:color w:val="auto"/>
              </w:rPr>
            </w:pPr>
            <w:r>
              <w:rPr>
                <w:rFonts w:ascii="Arial" w:cs="Arial" w:eastAsia="Arial" w:hAnsi="Arial"/>
                <w:sz w:val="18"/>
                <w:szCs w:val="18"/>
                <w:color w:val="auto"/>
                <w:w w:val="96"/>
              </w:rPr>
              <w:t>DELAWARE</w:t>
            </w:r>
          </w:p>
        </w:tc>
        <w:tc>
          <w:tcPr>
            <w:tcW w:w="3760" w:type="dxa"/>
            <w:vAlign w:val="bottom"/>
            <w:gridSpan w:val="3"/>
          </w:tcPr>
          <w:p>
            <w:pPr>
              <w:ind w:left="2160"/>
              <w:spacing w:after="0"/>
              <w:rPr>
                <w:sz w:val="20"/>
                <w:szCs w:val="20"/>
                <w:color w:val="auto"/>
              </w:rPr>
            </w:pPr>
            <w:r>
              <w:rPr>
                <w:rFonts w:ascii="Arial" w:cs="Arial" w:eastAsia="Arial" w:hAnsi="Arial"/>
                <w:sz w:val="18"/>
                <w:szCs w:val="18"/>
                <w:color w:val="auto"/>
              </w:rPr>
              <w:t>94-3078125</w:t>
            </w:r>
          </w:p>
        </w:tc>
        <w:tc>
          <w:tcPr>
            <w:tcW w:w="3820" w:type="dxa"/>
            <w:vAlign w:val="bottom"/>
          </w:tcPr>
          <w:p>
            <w:pPr>
              <w:spacing w:after="0"/>
              <w:rPr>
                <w:sz w:val="24"/>
                <w:szCs w:val="24"/>
                <w:color w:val="auto"/>
              </w:rPr>
            </w:pPr>
          </w:p>
        </w:tc>
      </w:tr>
      <w:tr>
        <w:trPr>
          <w:trHeight w:val="209"/>
        </w:trPr>
        <w:tc>
          <w:tcPr>
            <w:tcW w:w="384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color w:val="auto"/>
                <w:w w:val="92"/>
              </w:rPr>
              <w:t>(State or other jurisdiction of</w:t>
            </w:r>
          </w:p>
        </w:tc>
        <w:tc>
          <w:tcPr>
            <w:tcW w:w="1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(I.R.S. Employer</w:t>
            </w:r>
          </w:p>
        </w:tc>
      </w:tr>
      <w:tr>
        <w:trPr>
          <w:trHeight w:val="230"/>
        </w:trPr>
        <w:tc>
          <w:tcPr>
            <w:tcW w:w="3840" w:type="dxa"/>
            <w:vAlign w:val="bottom"/>
          </w:tcPr>
          <w:p>
            <w:pPr>
              <w:jc w:val="center"/>
              <w:ind w:left="151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tcPr>
          <w:p>
            <w:pPr>
              <w:spacing w:after="0"/>
              <w:rPr>
                <w:sz w:val="20"/>
                <w:szCs w:val="20"/>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identification No)</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3155 PORTER DRIVE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PALO ALTO, CA 94304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4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8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ind w:right="1940"/>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of 1934) Yes o No </w:t>
      </w:r>
      <w:r>
        <w:rPr>
          <w:rFonts w:ascii="MS PGothic" w:cs="MS PGothic" w:eastAsia="MS PGothic" w:hAnsi="MS PGothic"/>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At October 26, 2005, there were 64,705,670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STEMCELLS, INC.</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gridSpan w:val="5"/>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320" w:type="dxa"/>
            <w:vAlign w:val="bottom"/>
            <w:gridSpan w:val="10"/>
            <w:vMerge w:val="restart"/>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5"/>
            <w:vMerge w:val="continue"/>
          </w:tcPr>
          <w:p>
            <w:pPr>
              <w:spacing w:after="0"/>
              <w:rPr>
                <w:sz w:val="13"/>
                <w:szCs w:val="13"/>
                <w:color w:val="auto"/>
              </w:rPr>
            </w:pPr>
          </w:p>
        </w:tc>
        <w:tc>
          <w:tcPr>
            <w:tcW w:w="7320" w:type="dxa"/>
            <w:vAlign w:val="bottom"/>
            <w:gridSpan w:val="10"/>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80" w:type="dxa"/>
            <w:vAlign w:val="bottom"/>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September 30, 2005 and December 31, 2004</w:t>
              </w:r>
            </w:hyperlink>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5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 September 30, 2005 and 2004</w:t>
              </w:r>
            </w:hyperlink>
          </w:p>
        </w:tc>
        <w:tc>
          <w:tcPr>
            <w:tcW w:w="420" w:type="dxa"/>
            <w:vAlign w:val="bottom"/>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2005 and 2004</w:t>
              </w:r>
            </w:hyperlink>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840" w:type="dxa"/>
            <w:vAlign w:val="bottom"/>
            <w:tcBorders>
              <w:top w:val="single" w:sz="8" w:color="0000EE"/>
            </w:tcBorders>
            <w:gridSpan w:val="4"/>
          </w:tcPr>
          <w:p>
            <w:pPr>
              <w:spacing w:after="0"/>
              <w:rPr>
                <w:sz w:val="24"/>
                <w:szCs w:val="24"/>
                <w:color w:val="auto"/>
              </w:rPr>
            </w:pPr>
          </w:p>
        </w:tc>
        <w:tc>
          <w:tcPr>
            <w:tcW w:w="1080" w:type="dxa"/>
            <w:vAlign w:val="bottom"/>
            <w:gridSpan w:val="2"/>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780" w:type="dxa"/>
            <w:vAlign w:val="bottom"/>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780" w:type="dxa"/>
            <w:vAlign w:val="bottom"/>
          </w:tcPr>
          <w:p>
            <w:pPr>
              <w:spacing w:after="0"/>
              <w:rPr>
                <w:sz w:val="24"/>
                <w:szCs w:val="24"/>
                <w:color w:val="auto"/>
              </w:rPr>
            </w:pPr>
          </w:p>
        </w:tc>
        <w:tc>
          <w:tcPr>
            <w:tcW w:w="646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2460" w:type="dxa"/>
            <w:vAlign w:val="bottom"/>
            <w:gridSpan w:val="3"/>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78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560" w:type="dxa"/>
            <w:vAlign w:val="bottom"/>
            <w:gridSpan w:val="5"/>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022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78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7580" w:type="dxa"/>
            <w:vAlign w:val="bottom"/>
            <w:gridSpan w:val="11"/>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780" w:type="dxa"/>
            <w:vAlign w:val="bottom"/>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Changes in Securities and Use of Proceeds</w:t>
              </w:r>
            </w:hyperlink>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2" w:right="2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780" w:type="dxa"/>
            <w:vAlign w:val="bottom"/>
            <w:gridSpan w:val="3"/>
          </w:tcPr>
          <w:p>
            <w:pPr>
              <w:spacing w:after="0"/>
              <w:rPr>
                <w:sz w:val="17"/>
                <w:szCs w:val="17"/>
                <w:color w:val="auto"/>
              </w:rPr>
            </w:pPr>
          </w:p>
        </w:tc>
        <w:tc>
          <w:tcPr>
            <w:tcW w:w="408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604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780" w:type="dxa"/>
            <w:vAlign w:val="bottom"/>
            <w:gridSpan w:val="3"/>
          </w:tcPr>
          <w:p>
            <w:pPr>
              <w:spacing w:after="0"/>
              <w:rPr>
                <w:sz w:val="24"/>
                <w:szCs w:val="24"/>
                <w:color w:val="auto"/>
              </w:rPr>
            </w:pPr>
          </w:p>
        </w:tc>
        <w:tc>
          <w:tcPr>
            <w:tcW w:w="4080" w:type="dxa"/>
            <w:vAlign w:val="bottom"/>
            <w:gridSpan w:val="5"/>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Submission of Matters to a Vote of Security-Holders</w:t>
              </w:r>
            </w:hyperlink>
          </w:p>
        </w:tc>
        <w:tc>
          <w:tcPr>
            <w:tcW w:w="604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78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2"/>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780" w:type="dxa"/>
            <w:vAlign w:val="bottom"/>
            <w:gridSpan w:val="3"/>
          </w:tcPr>
          <w:p>
            <w:pPr>
              <w:spacing w:after="0"/>
              <w:rPr>
                <w:sz w:val="24"/>
                <w:szCs w:val="24"/>
                <w:color w:val="auto"/>
              </w:rPr>
            </w:pPr>
          </w:p>
        </w:tc>
        <w:tc>
          <w:tcPr>
            <w:tcW w:w="408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604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SIGNATURES</w:t>
              </w:r>
            </w:hyperlink>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jc w:val="right"/>
              <w:ind w:right="170"/>
              <w:spacing w:after="0"/>
              <w:rPr>
                <w:sz w:val="20"/>
                <w:szCs w:val="20"/>
                <w:color w:val="auto"/>
              </w:rPr>
            </w:pPr>
            <w:r>
              <w:rPr>
                <w:rFonts w:ascii="Arial" w:cs="Arial" w:eastAsia="Arial" w:hAnsi="Arial"/>
                <w:sz w:val="18"/>
                <w:szCs w:val="18"/>
                <w:color w:val="auto"/>
              </w:rPr>
              <w:t>24</w:t>
            </w:r>
          </w:p>
        </w:tc>
      </w:tr>
      <w:tr>
        <w:trPr>
          <w:trHeight w:val="196"/>
        </w:trPr>
        <w:tc>
          <w:tcPr>
            <w:tcW w:w="60" w:type="dxa"/>
            <w:vAlign w:val="bottom"/>
          </w:tcPr>
          <w:p>
            <w:pPr>
              <w:spacing w:after="0"/>
              <w:rPr>
                <w:sz w:val="17"/>
                <w:szCs w:val="17"/>
                <w:color w:val="auto"/>
              </w:rPr>
            </w:pPr>
          </w:p>
        </w:tc>
        <w:tc>
          <w:tcPr>
            <w:tcW w:w="1240" w:type="dxa"/>
            <w:vAlign w:val="bottom"/>
            <w:gridSpan w:val="4"/>
          </w:tcPr>
          <w:p>
            <w:pPr>
              <w:spacing w:after="0" w:line="196" w:lineRule="exact"/>
              <w:rPr>
                <w:sz w:val="20"/>
                <w:szCs w:val="20"/>
                <w:color w:val="auto"/>
              </w:rPr>
            </w:pPr>
            <w:r>
              <w:rPr>
                <w:rFonts w:ascii="Arial" w:cs="Arial" w:eastAsia="Arial" w:hAnsi="Arial"/>
                <w:sz w:val="18"/>
                <w:szCs w:val="18"/>
                <w:color w:val="0000EE"/>
              </w:rPr>
              <w:t>EXHIBIT 31.1</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240" w:type="dxa"/>
            <w:vAlign w:val="bottom"/>
            <w:gridSpan w:val="4"/>
          </w:tcPr>
          <w:p>
            <w:pPr>
              <w:spacing w:after="0" w:line="196" w:lineRule="exact"/>
              <w:rPr>
                <w:sz w:val="20"/>
                <w:szCs w:val="20"/>
                <w:color w:val="auto"/>
              </w:rPr>
            </w:pPr>
            <w:r>
              <w:rPr>
                <w:rFonts w:ascii="Arial" w:cs="Arial" w:eastAsia="Arial" w:hAnsi="Arial"/>
                <w:sz w:val="18"/>
                <w:szCs w:val="18"/>
                <w:color w:val="0000EE"/>
              </w:rPr>
              <w:t>EXHIBIT 31.2</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240" w:type="dxa"/>
            <w:vAlign w:val="bottom"/>
            <w:gridSpan w:val="4"/>
          </w:tcPr>
          <w:p>
            <w:pPr>
              <w:spacing w:after="0" w:line="196" w:lineRule="exact"/>
              <w:rPr>
                <w:sz w:val="20"/>
                <w:szCs w:val="20"/>
                <w:color w:val="auto"/>
              </w:rPr>
            </w:pPr>
            <w:r>
              <w:rPr>
                <w:rFonts w:ascii="Arial" w:cs="Arial" w:eastAsia="Arial" w:hAnsi="Arial"/>
                <w:sz w:val="18"/>
                <w:szCs w:val="18"/>
                <w:color w:val="0000EE"/>
              </w:rPr>
              <w:t>EXHIBIT 32.1</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240" w:type="dxa"/>
            <w:vAlign w:val="bottom"/>
            <w:gridSpan w:val="4"/>
          </w:tcPr>
          <w:p>
            <w:pPr>
              <w:spacing w:after="0" w:line="196" w:lineRule="exact"/>
              <w:rPr>
                <w:sz w:val="20"/>
                <w:szCs w:val="20"/>
                <w:color w:val="auto"/>
              </w:rPr>
            </w:pPr>
            <w:r>
              <w:rPr>
                <w:rFonts w:ascii="Arial" w:cs="Arial" w:eastAsia="Arial" w:hAnsi="Arial"/>
                <w:sz w:val="18"/>
                <w:szCs w:val="18"/>
                <w:color w:val="0000EE"/>
              </w:rPr>
              <w:t>EXHIBIT 32.2</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226"/>
        </w:trPr>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right"/>
              <w:ind w:right="660"/>
              <w:spacing w:after="0"/>
              <w:rPr>
                <w:sz w:val="20"/>
                <w:szCs w:val="20"/>
                <w:color w:val="auto"/>
              </w:rPr>
            </w:pPr>
            <w:r>
              <w:rPr>
                <w:rFonts w:ascii="Arial" w:cs="Arial" w:eastAsia="Arial" w:hAnsi="Arial"/>
                <w:sz w:val="14"/>
                <w:szCs w:val="14"/>
                <w:color w:val="auto"/>
              </w:rPr>
              <w:t>September 30, 2005</w:t>
            </w:r>
          </w:p>
        </w:tc>
        <w:tc>
          <w:tcPr>
            <w:tcW w:w="400" w:type="dxa"/>
            <w:vAlign w:val="bottom"/>
          </w:tcPr>
          <w:p>
            <w:pPr>
              <w:spacing w:after="0"/>
              <w:rPr>
                <w:sz w:val="14"/>
                <w:szCs w:val="1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December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(unaudited)</w:t>
            </w:r>
          </w:p>
        </w:tc>
        <w:tc>
          <w:tcPr>
            <w:tcW w:w="6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34,970,584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41,059,532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151,661</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180,963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446,914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209,074</w:t>
            </w:r>
          </w:p>
        </w:tc>
        <w:tc>
          <w:tcPr>
            <w:tcW w:w="0" w:type="dxa"/>
            <w:vAlign w:val="bottom"/>
          </w:tcPr>
          <w:p>
            <w:pPr>
              <w:spacing w:after="0"/>
              <w:rPr>
                <w:sz w:val="1"/>
                <w:szCs w:val="1"/>
                <w:color w:val="auto"/>
              </w:rPr>
            </w:pPr>
          </w:p>
        </w:tc>
      </w:tr>
      <w:tr>
        <w:trPr>
          <w:trHeight w:val="224"/>
        </w:trPr>
        <w:tc>
          <w:tcPr>
            <w:tcW w:w="68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35,569,159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41,449,569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3,820,963</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3,386,880</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3,424,294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2,679,166</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2,753,419</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45,456,168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47,627,282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550,238</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851,537</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1,547,370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1,151,116</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54,676</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251,667</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244,167</w:t>
            </w:r>
          </w:p>
        </w:tc>
        <w:tc>
          <w:tcPr>
            <w:tcW w:w="0" w:type="dxa"/>
            <w:vAlign w:val="bottom"/>
          </w:tcPr>
          <w:p>
            <w:pPr>
              <w:spacing w:after="0"/>
              <w:rPr>
                <w:sz w:val="1"/>
                <w:szCs w:val="1"/>
                <w:color w:val="auto"/>
              </w:rPr>
            </w:pPr>
          </w:p>
        </w:tc>
      </w:tr>
      <w:tr>
        <w:trPr>
          <w:trHeight w:val="224"/>
        </w:trPr>
        <w:tc>
          <w:tcPr>
            <w:tcW w:w="68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2,859,234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3,382,757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maturities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Bonds payable, less current maturities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1,416,250</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1,605,417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Deposits &amp; other long-term liabilities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514,953</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Accrued wind-down expenses, non-current portion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5,569,038</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4,514,569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710,318</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523,801</w:t>
            </w:r>
          </w:p>
        </w:tc>
        <w:tc>
          <w:tcPr>
            <w:tcW w:w="0" w:type="dxa"/>
            <w:vAlign w:val="bottom"/>
          </w:tcPr>
          <w:p>
            <w:pPr>
              <w:spacing w:after="0"/>
              <w:rPr>
                <w:sz w:val="1"/>
                <w:szCs w:val="1"/>
                <w:color w:val="auto"/>
              </w:rPr>
            </w:pPr>
          </w:p>
        </w:tc>
      </w:tr>
      <w:tr>
        <w:trPr>
          <w:trHeight w:val="224"/>
        </w:trPr>
        <w:tc>
          <w:tcPr>
            <w:tcW w:w="68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11,069,793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10,677,735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200"/>
              <w:spacing w:after="0" w:line="201" w:lineRule="exact"/>
              <w:rPr>
                <w:sz w:val="20"/>
                <w:szCs w:val="20"/>
                <w:color w:val="auto"/>
              </w:rPr>
            </w:pPr>
            <w:r>
              <w:rPr>
                <w:rFonts w:ascii="Arial" w:cs="Arial" w:eastAsia="Arial" w:hAnsi="Arial"/>
                <w:sz w:val="18"/>
                <w:szCs w:val="18"/>
                <w:color w:val="auto"/>
              </w:rPr>
              <w:t>Common stock, $.01 par value; 125,000,000 shares authorized; 64,430,494 and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w w:val="94"/>
              </w:rPr>
              <w:t>62,129,407 shares issued and outstanding at September 30, 2005 and December 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2004, respectively</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644,304</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621,293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215,512,017</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211,419,300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3"/>
          </w:tcPr>
          <w:p>
            <w:pPr>
              <w:jc w:val="right"/>
              <w:ind w:right="600"/>
              <w:spacing w:after="0"/>
              <w:rPr>
                <w:sz w:val="20"/>
                <w:szCs w:val="20"/>
                <w:color w:val="auto"/>
              </w:rPr>
            </w:pPr>
            <w:r>
              <w:rPr>
                <w:rFonts w:ascii="Arial" w:cs="Arial" w:eastAsia="Arial" w:hAnsi="Arial"/>
                <w:sz w:val="18"/>
                <w:szCs w:val="18"/>
                <w:color w:val="auto"/>
              </w:rPr>
              <w:t>(181,616,026)</w:t>
            </w:r>
          </w:p>
        </w:tc>
        <w:tc>
          <w:tcPr>
            <w:tcW w:w="4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(174,205,214)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(153,920)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(885,832)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34,386,375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36,949,547</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45,456,168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47,627,282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center"/>
              <w:ind w:left="453"/>
              <w:spacing w:after="0"/>
              <w:rPr>
                <w:sz w:val="20"/>
                <w:szCs w:val="20"/>
                <w:color w:val="auto"/>
              </w:rPr>
            </w:pPr>
            <w:r>
              <w:rPr>
                <w:rFonts w:ascii="Arial" w:cs="Arial" w:eastAsia="Arial" w:hAnsi="Arial"/>
                <w:sz w:val="14"/>
                <w:szCs w:val="14"/>
                <w:color w:val="auto"/>
                <w:w w:val="91"/>
              </w:rPr>
              <w:t>Three months ended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jc w:val="center"/>
              <w:ind w:left="493"/>
              <w:spacing w:after="0"/>
              <w:rPr>
                <w:sz w:val="20"/>
                <w:szCs w:val="20"/>
                <w:color w:val="auto"/>
              </w:rPr>
            </w:pPr>
            <w:r>
              <w:rPr>
                <w:rFonts w:ascii="Arial" w:cs="Arial" w:eastAsia="Arial" w:hAnsi="Arial"/>
                <w:sz w:val="14"/>
                <w:szCs w:val="14"/>
                <w:color w:val="auto"/>
                <w:w w:val="92"/>
              </w:rPr>
              <w:t>Nine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left="613"/>
              <w:spacing w:after="0" w:line="149" w:lineRule="exact"/>
              <w:rPr>
                <w:sz w:val="20"/>
                <w:szCs w:val="20"/>
                <w:color w:val="auto"/>
              </w:rPr>
            </w:pPr>
            <w:r>
              <w:rPr>
                <w:rFonts w:ascii="Arial" w:cs="Arial" w:eastAsia="Arial" w:hAnsi="Arial"/>
                <w:sz w:val="14"/>
                <w:szCs w:val="14"/>
                <w:color w:val="auto"/>
                <w:w w:val="89"/>
              </w:rPr>
              <w:t>September 30,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center"/>
              <w:ind w:left="653"/>
              <w:spacing w:after="0" w:line="149" w:lineRule="exact"/>
              <w:rPr>
                <w:sz w:val="20"/>
                <w:szCs w:val="20"/>
                <w:color w:val="auto"/>
              </w:rPr>
            </w:pPr>
            <w:r>
              <w:rPr>
                <w:rFonts w:ascii="Arial" w:cs="Arial" w:eastAsia="Arial" w:hAnsi="Arial"/>
                <w:sz w:val="14"/>
                <w:szCs w:val="14"/>
                <w:color w:val="auto"/>
                <w:w w:val="91"/>
              </w:rPr>
              <w:t>September 30,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2005</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2004</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2005</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2004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Revenue from grants and licensing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91,255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4,541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163,345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103,470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91,255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4,541</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163,345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2,526,542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2,075,025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6,453,835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5,882,366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1,359,463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904,104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3,479,943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2,645,092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Wind-down expenses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297,184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1,345,564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2,015,384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1,943,707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4,183,189</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4,324,693</w:t>
            </w:r>
          </w:p>
        </w:tc>
        <w:tc>
          <w:tcPr>
            <w:tcW w:w="6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11,949,162</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10,471,165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(4,091,934)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(4,320,152)</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(11,785,817)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(10,367,695)</w:t>
            </w:r>
          </w:p>
        </w:tc>
        <w:tc>
          <w:tcPr>
            <w:tcW w:w="0" w:type="dxa"/>
            <w:vAlign w:val="bottom"/>
          </w:tcPr>
          <w:p>
            <w:pPr>
              <w:spacing w:after="0"/>
              <w:rPr>
                <w:sz w:val="1"/>
                <w:szCs w:val="1"/>
                <w:color w:val="auto"/>
              </w:rPr>
            </w:pPr>
          </w:p>
        </w:tc>
      </w:tr>
      <w:tr>
        <w:trPr>
          <w:trHeight w:val="432"/>
        </w:trPr>
        <w:tc>
          <w:tcPr>
            <w:tcW w:w="4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301,255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82,531</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790,407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(46,093)</w:t>
            </w:r>
          </w:p>
        </w:tc>
        <w:tc>
          <w:tcPr>
            <w:tcW w:w="28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(133,777)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License and settlement agreement, net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3,747,601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3,747,601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(53,886)</w:t>
            </w:r>
          </w:p>
        </w:tc>
        <w:tc>
          <w:tcPr>
            <w:tcW w:w="28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(29,226)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3,998,241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(17,448)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(43,164)</w:t>
            </w:r>
          </w:p>
        </w:tc>
        <w:tc>
          <w:tcPr>
            <w:tcW w:w="0" w:type="dxa"/>
            <w:vAlign w:val="bottom"/>
          </w:tcPr>
          <w:p>
            <w:pPr>
              <w:spacing w:after="0"/>
              <w:rPr>
                <w:sz w:val="1"/>
                <w:szCs w:val="1"/>
                <w:color w:val="auto"/>
              </w:rPr>
            </w:pPr>
          </w:p>
        </w:tc>
      </w:tr>
      <w:tr>
        <w:trPr>
          <w:trHeight w:val="223"/>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93,693)</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4,337,600)</w:t>
            </w:r>
          </w:p>
        </w:tc>
        <w:tc>
          <w:tcPr>
            <w:tcW w:w="6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7,410,812)</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10,410,859)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share applicable to common stockholders; basic</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418"/>
        </w:trPr>
        <w:tc>
          <w:tcPr>
            <w:tcW w:w="4780" w:type="dxa"/>
            <w:vAlign w:val="bottom"/>
            <w:gridSpan w:val="2"/>
          </w:tcPr>
          <w:p>
            <w:pPr>
              <w:spacing w:after="0"/>
              <w:rPr>
                <w:sz w:val="20"/>
                <w:szCs w:val="20"/>
                <w:color w:val="auto"/>
              </w:rPr>
            </w:pPr>
            <w:r>
              <w:rPr>
                <w:rFonts w:ascii="Arial" w:cs="Arial" w:eastAsia="Arial" w:hAnsi="Arial"/>
                <w:sz w:val="18"/>
                <w:szCs w:val="18"/>
                <w:color w:val="auto"/>
                <w:w w:val="96"/>
              </w:rPr>
              <w:t>Weighted average shares used to compute net loss per share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applicable to common stockholders; basic and diluted</w:t>
            </w:r>
          </w:p>
        </w:tc>
        <w:tc>
          <w:tcPr>
            <w:tcW w:w="28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64,179,563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54,232,231</w:t>
            </w:r>
          </w:p>
        </w:tc>
        <w:tc>
          <w:tcPr>
            <w:tcW w:w="28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63,226,214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46,132,704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color w:val="auto"/>
              </w:rPr>
              <w:t>2005</w:t>
            </w:r>
          </w:p>
        </w:tc>
        <w:tc>
          <w:tcPr>
            <w:tcW w:w="1040" w:type="dxa"/>
            <w:vAlign w:val="bottom"/>
            <w:gridSpan w:val="2"/>
          </w:tcPr>
          <w:p>
            <w:pPr>
              <w:jc w:val="right"/>
              <w:ind w:right="125"/>
              <w:spacing w:after="0"/>
              <w:rPr>
                <w:sz w:val="20"/>
                <w:szCs w:val="20"/>
                <w:color w:val="auto"/>
              </w:rPr>
            </w:pPr>
            <w:r>
              <w:rPr>
                <w:rFonts w:ascii="Arial" w:cs="Arial" w:eastAsia="Arial" w:hAnsi="Arial"/>
                <w:sz w:val="14"/>
                <w:szCs w:val="14"/>
                <w:color w:val="auto"/>
                <w:w w:val="89"/>
              </w:rPr>
              <w:t>September 30,</w:t>
            </w:r>
          </w:p>
        </w:tc>
        <w:tc>
          <w:tcPr>
            <w:tcW w:w="1000" w:type="dxa"/>
            <w:vAlign w:val="bottom"/>
            <w:vMerge w:val="restart"/>
          </w:tcPr>
          <w:p>
            <w:pPr>
              <w:jc w:val="right"/>
              <w:ind w:right="391"/>
              <w:spacing w:after="0"/>
              <w:rPr>
                <w:sz w:val="20"/>
                <w:szCs w:val="20"/>
                <w:color w:val="auto"/>
              </w:rPr>
            </w:pPr>
            <w:r>
              <w:rPr>
                <w:rFonts w:ascii="Arial" w:cs="Arial" w:eastAsia="Arial" w:hAnsi="Arial"/>
                <w:sz w:val="14"/>
                <w:szCs w:val="14"/>
                <w:color w:val="auto"/>
              </w:rPr>
              <w:t>2004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w w:val="99"/>
              </w:rPr>
              <w:t>($7,410,812)</w:t>
            </w:r>
          </w:p>
        </w:tc>
        <w:tc>
          <w:tcPr>
            <w:tcW w:w="26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($10,410,859)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834,135</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769,402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compensation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354,624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550,649</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174,650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fixed assets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1,377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Unrealized income from license and settlement agreement, net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(3,974,883)</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Accrued interest receivable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(31,215)</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60,517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(237,840)</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 net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52,947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(670,512)</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736,415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wind-down expenses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1,192,125</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00"/>
              <w:spacing w:after="0"/>
              <w:rPr>
                <w:sz w:val="20"/>
                <w:szCs w:val="20"/>
                <w:color w:val="auto"/>
              </w:rPr>
            </w:pPr>
            <w:r>
              <w:rPr>
                <w:rFonts w:ascii="Arial" w:cs="Arial" w:eastAsia="Arial" w:hAnsi="Arial"/>
                <w:sz w:val="18"/>
                <w:szCs w:val="18"/>
                <w:color w:val="auto"/>
              </w:rPr>
              <w:t>Deposits received (refunded)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(95,173)</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rent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186,517</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(279,300)</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(9,187,544)</w:t>
            </w:r>
          </w:p>
        </w:tc>
        <w:tc>
          <w:tcPr>
            <w:tcW w:w="26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(7,826,950)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Purchase of property, plant and equipment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(696,793)</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(581,194)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licenses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(776,793)</w:t>
            </w:r>
          </w:p>
        </w:tc>
        <w:tc>
          <w:tcPr>
            <w:tcW w:w="26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(596,194)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Proceeds from the exercise of stock options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343,165</w:t>
            </w:r>
          </w:p>
        </w:tc>
        <w:tc>
          <w:tcPr>
            <w:tcW w:w="26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the exercise of warrants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3,753,123</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Proceeds from issuance of common stock, net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18,659,837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 of capital lease obligations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(39,232)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Repayment of debt obligations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8"/>
                <w:szCs w:val="18"/>
                <w:color w:val="auto"/>
              </w:rPr>
              <w:t>(181,667)</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(177,083)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3,875,389</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18,482,754</w:t>
            </w:r>
          </w:p>
        </w:tc>
        <w:tc>
          <w:tcPr>
            <w:tcW w:w="0" w:type="dxa"/>
            <w:vAlign w:val="bottom"/>
          </w:tcPr>
          <w:p>
            <w:pPr>
              <w:spacing w:after="0"/>
              <w:rPr>
                <w:sz w:val="1"/>
                <w:szCs w:val="1"/>
                <w:color w:val="auto"/>
              </w:rPr>
            </w:pPr>
          </w:p>
        </w:tc>
      </w:tr>
      <w:tr>
        <w:trPr>
          <w:trHeight w:val="216"/>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(6,088,948)</w:t>
            </w: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10,059,610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41,059,532</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13,081,703</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34,970,584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23,141,313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paid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133,777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145,025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licensing agreements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and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2005, are not necessarily indicative of the results that may be expected for the entire fiscal year ending December 31, 2005.</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2004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2004,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right="160" w:firstLine="222"/>
        <w:spacing w:after="0" w:line="312" w:lineRule="auto"/>
        <w:rPr>
          <w:sz w:val="20"/>
          <w:szCs w:val="20"/>
          <w:color w:val="auto"/>
        </w:rPr>
      </w:pPr>
      <w:r>
        <w:rPr>
          <w:rFonts w:ascii="Arial" w:cs="Arial" w:eastAsia="Arial" w:hAnsi="Arial"/>
          <w:sz w:val="16"/>
          <w:szCs w:val="16"/>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4"/>
          </w:tcPr>
          <w:p>
            <w:pPr>
              <w:jc w:val="right"/>
              <w:ind w:right="85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934"/>
              <w:spacing w:after="0"/>
              <w:rPr>
                <w:sz w:val="20"/>
                <w:szCs w:val="20"/>
                <w:color w:val="auto"/>
              </w:rPr>
            </w:pPr>
            <w:r>
              <w:rPr>
                <w:rFonts w:ascii="Arial" w:cs="Arial" w:eastAsia="Arial" w:hAnsi="Arial"/>
                <w:sz w:val="14"/>
                <w:szCs w:val="14"/>
                <w:color w:val="auto"/>
              </w:rPr>
              <w:t>Nine months ended</w:t>
            </w:r>
          </w:p>
        </w:tc>
      </w:tr>
      <w:tr>
        <w:trPr>
          <w:trHeight w:val="167"/>
        </w:trPr>
        <w:tc>
          <w:tcPr>
            <w:tcW w:w="4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89"/>
              </w:rPr>
              <w:t>September 30,</w:t>
            </w:r>
          </w:p>
        </w:tc>
        <w:tc>
          <w:tcPr>
            <w:tcW w:w="1140" w:type="dxa"/>
            <w:vAlign w:val="bottom"/>
            <w:tcBorders>
              <w:bottom w:val="single" w:sz="8" w:color="auto"/>
            </w:tcBorders>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color w:val="auto"/>
              </w:rPr>
              <w:t>2005</w:t>
            </w: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2004</w:t>
            </w: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rPr>
              <w:t>2005</w:t>
            </w:r>
          </w:p>
        </w:tc>
        <w:tc>
          <w:tcPr>
            <w:tcW w:w="2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(93,693)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3"/>
              </w:rPr>
              <w:t>(4,337,600)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(7,410,812)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(10,410,859)</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loss per</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share applicable to common stockholders, basic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60" w:type="dxa"/>
            <w:vAlign w:val="bottom"/>
          </w:tcPr>
          <w:p>
            <w:pPr>
              <w:jc w:val="right"/>
              <w:ind w:right="179"/>
              <w:spacing w:after="0"/>
              <w:rPr>
                <w:sz w:val="20"/>
                <w:szCs w:val="20"/>
                <w:color w:val="auto"/>
              </w:rPr>
            </w:pPr>
            <w:r>
              <w:rPr>
                <w:rFonts w:ascii="Arial" w:cs="Arial" w:eastAsia="Arial" w:hAnsi="Arial"/>
                <w:sz w:val="18"/>
                <w:szCs w:val="18"/>
                <w:color w:val="auto"/>
                <w:w w:val="86"/>
              </w:rPr>
              <w:t>64,179,563</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w w:val="88"/>
              </w:rPr>
              <w:t>54,232,231</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63,226,214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w w:val="95"/>
              </w:rPr>
              <w:t>46,132,704</w:t>
            </w: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per share applicable to common stockholders, basic</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(0.23)</w:t>
            </w:r>
          </w:p>
        </w:tc>
      </w:tr>
    </w:tbl>
    <w:p>
      <w:pPr>
        <w:spacing w:after="0" w:line="9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280" w:type="dxa"/>
            <w:vAlign w:val="bottom"/>
            <w:gridSpan w:val="3"/>
          </w:tcPr>
          <w:p>
            <w:pPr>
              <w:jc w:val="right"/>
              <w:ind w:right="708"/>
              <w:spacing w:after="0"/>
              <w:rPr>
                <w:sz w:val="20"/>
                <w:szCs w:val="20"/>
                <w:color w:val="auto"/>
              </w:rPr>
            </w:pPr>
            <w:r>
              <w:rPr>
                <w:rFonts w:ascii="Arial" w:cs="Arial" w:eastAsia="Arial" w:hAnsi="Arial"/>
                <w:sz w:val="14"/>
                <w:szCs w:val="14"/>
                <w:color w:val="auto"/>
              </w:rPr>
              <w:t>Outstanding at September 30,</w:t>
            </w:r>
          </w:p>
        </w:tc>
      </w:tr>
      <w:tr>
        <w:trPr>
          <w:trHeight w:val="167"/>
        </w:trPr>
        <w:tc>
          <w:tcPr>
            <w:tcW w:w="81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2005</w:t>
            </w:r>
          </w:p>
        </w:tc>
        <w:tc>
          <w:tcPr>
            <w:tcW w:w="500" w:type="dxa"/>
            <w:vAlign w:val="bottom"/>
          </w:tcPr>
          <w:p>
            <w:pPr>
              <w:spacing w:after="0"/>
              <w:rPr>
                <w:sz w:val="14"/>
                <w:szCs w:val="14"/>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2004</w:t>
            </w: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6,641,401</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6,222,389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Outstanding warrants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3,341,212</w:t>
            </w:r>
          </w:p>
        </w:tc>
        <w:tc>
          <w:tcPr>
            <w:tcW w:w="1940" w:type="dxa"/>
            <w:vAlign w:val="bottom"/>
            <w:gridSpan w:val="2"/>
          </w:tcPr>
          <w:p>
            <w:pPr>
              <w:jc w:val="right"/>
              <w:ind w:right="248"/>
              <w:spacing w:after="0"/>
              <w:rPr>
                <w:sz w:val="20"/>
                <w:szCs w:val="20"/>
                <w:color w:val="auto"/>
              </w:rPr>
            </w:pPr>
            <w:r>
              <w:rPr>
                <w:rFonts w:ascii="Arial" w:cs="Arial" w:eastAsia="Arial" w:hAnsi="Arial"/>
                <w:sz w:val="18"/>
                <w:szCs w:val="18"/>
                <w:color w:val="auto"/>
              </w:rPr>
              <w:t>6,038,430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9,982,613</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12,260,819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 xml:space="preserve">The Company’s stock-based employee compensation is accounted for under Accounting Principles Board Opinion No. 25 (“APB 25”),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Issued to Employees.” </w:t>
      </w:r>
      <w:r>
        <w:rPr>
          <w:rFonts w:ascii="Arial" w:cs="Arial" w:eastAsia="Arial" w:hAnsi="Arial"/>
          <w:sz w:val="18"/>
          <w:szCs w:val="18"/>
          <w:color w:val="auto"/>
        </w:rPr>
        <w:t>The Company grants qualified stock options for a fixed number of shares to employees with an exercise price equal to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In accordance with APB 25, as such options vest, the Company recognizes the difference between the exercise price and fair market value as compensation expense.</w:t>
      </w:r>
    </w:p>
    <w:p>
      <w:pPr>
        <w:spacing w:after="0" w:line="85"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 xml:space="preserve">For purposes of disclosures pursuant to Statement of Financial Accounting Standards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(“SFAS 123”) as amended by Statement of Financial Accounting Standards No. 148, </w:t>
      </w:r>
      <w:r>
        <w:rPr>
          <w:rFonts w:ascii="Arial" w:cs="Arial" w:eastAsia="Arial" w:hAnsi="Arial"/>
          <w:sz w:val="17"/>
          <w:szCs w:val="17"/>
          <w:i w:val="1"/>
          <w:iCs w:val="1"/>
          <w:color w:val="auto"/>
        </w:rPr>
        <w:t>“Accounting for Stock-Based Compensation — Transition and Disclosure,”</w:t>
      </w:r>
      <w:r>
        <w:rPr>
          <w:rFonts w:ascii="Arial" w:cs="Arial" w:eastAsia="Arial" w:hAnsi="Arial"/>
          <w:sz w:val="17"/>
          <w:szCs w:val="17"/>
          <w:color w:val="auto"/>
        </w:rPr>
        <w:t xml:space="preserve"> (“SFAS 148”), the estimated fair value of options is amortized to expense over the options’ vesting period. Although the Company’s stock-based employee compensation is accounted for under APB 25, the following table illustrates the effect on net loss and net loss per share if the Company had applied the fair value recognition provisions of SFAS 123 to stock-based employee compensation: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900" w:type="dxa"/>
            <w:vAlign w:val="bottom"/>
            <w:gridSpan w:val="4"/>
          </w:tcPr>
          <w:p>
            <w:pPr>
              <w:jc w:val="right"/>
              <w:ind w:right="779"/>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3140" w:type="dxa"/>
            <w:vAlign w:val="bottom"/>
            <w:gridSpan w:val="4"/>
          </w:tcPr>
          <w:p>
            <w:pPr>
              <w:jc w:val="right"/>
              <w:ind w:right="92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right"/>
              <w:ind w:right="939"/>
              <w:spacing w:after="0" w:line="149" w:lineRule="exact"/>
              <w:rPr>
                <w:sz w:val="20"/>
                <w:szCs w:val="20"/>
                <w:color w:val="auto"/>
              </w:rPr>
            </w:pPr>
            <w:r>
              <w:rPr>
                <w:rFonts w:ascii="Arial" w:cs="Arial" w:eastAsia="Arial" w:hAnsi="Arial"/>
                <w:sz w:val="14"/>
                <w:szCs w:val="14"/>
                <w:color w:val="auto"/>
                <w:w w:val="91"/>
              </w:rPr>
              <w:t>September 30,</w:t>
            </w: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gridSpan w:val="3"/>
          </w:tcPr>
          <w:p>
            <w:pPr>
              <w:jc w:val="right"/>
              <w:ind w:right="1088"/>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2004</w:t>
            </w:r>
          </w:p>
        </w:tc>
        <w:tc>
          <w:tcPr>
            <w:tcW w:w="420" w:type="dxa"/>
            <w:vAlign w:val="bottom"/>
          </w:tcPr>
          <w:p>
            <w:pPr>
              <w:spacing w:after="0"/>
              <w:rPr>
                <w:sz w:val="14"/>
                <w:szCs w:val="14"/>
                <w:color w:val="auto"/>
              </w:rPr>
            </w:pPr>
          </w:p>
        </w:tc>
        <w:tc>
          <w:tcPr>
            <w:tcW w:w="11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2005</w:t>
            </w:r>
          </w:p>
        </w:tc>
        <w:tc>
          <w:tcPr>
            <w:tcW w:w="1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(93,693)</w:t>
            </w:r>
          </w:p>
        </w:tc>
        <w:tc>
          <w:tcPr>
            <w:tcW w:w="18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$(4,337,600)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$(7,410,812)</w:t>
            </w:r>
          </w:p>
        </w:tc>
        <w:tc>
          <w:tcPr>
            <w:tcW w:w="200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$(10,410,859)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Add: Stock-based employee/director compensation expense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included in reported net loss</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188"/>
              <w:spacing w:after="0"/>
              <w:rPr>
                <w:sz w:val="20"/>
                <w:szCs w:val="20"/>
                <w:color w:val="auto"/>
              </w:rPr>
            </w:pPr>
            <w:r>
              <w:rPr>
                <w:rFonts w:ascii="Arial" w:cs="Arial" w:eastAsia="Arial" w:hAnsi="Arial"/>
                <w:sz w:val="18"/>
                <w:szCs w:val="18"/>
                <w:color w:val="auto"/>
              </w:rPr>
              <w:t>33,868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employee/director compensation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under the fair value based method for all awards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(507,833)</w:t>
            </w:r>
          </w:p>
        </w:tc>
        <w:tc>
          <w:tcPr>
            <w:tcW w:w="18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(168,124)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(746,525)</w:t>
            </w:r>
          </w:p>
        </w:tc>
        <w:tc>
          <w:tcPr>
            <w:tcW w:w="200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(588,613)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4"/>
          </w:tcPr>
          <w:p>
            <w:pPr>
              <w:jc w:val="right"/>
              <w:ind w:right="874"/>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jc w:val="right"/>
              <w:ind w:right="93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September 30,</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80" w:type="dxa"/>
            <w:vAlign w:val="bottom"/>
            <w:vMerge w:val="restart"/>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color w:val="auto"/>
              </w:rPr>
              <w:t>2005</w:t>
            </w: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2004</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2005</w:t>
            </w:r>
          </w:p>
        </w:tc>
        <w:tc>
          <w:tcPr>
            <w:tcW w:w="1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(601,526)</w:t>
            </w: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w w:val="93"/>
              </w:rPr>
              <w:t>(4,505,724)</w:t>
            </w:r>
          </w:p>
        </w:tc>
        <w:tc>
          <w:tcPr>
            <w:tcW w:w="4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(8,157,337)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w w:val="90"/>
              </w:rPr>
              <w:t>(10,965,604)</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stockholders – pro forma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(0.01)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(0.08)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used in basic and diluted loss per share applicable to</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stockholder amounts</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88"/>
              </w:rPr>
              <w:t>64,179,563</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8"/>
              </w:rPr>
              <w:t>54,232,231</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63,226,214</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5"/>
              </w:rPr>
              <w:t>46,132,704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The Company has used the Black-Scholes model for option valuation, which method may not accurately value the options described.</w:t>
      </w:r>
    </w:p>
    <w:p>
      <w:pPr>
        <w:spacing w:after="0" w:line="73" w:lineRule="exact"/>
        <w:rPr>
          <w:sz w:val="20"/>
          <w:szCs w:val="20"/>
          <w:color w:val="auto"/>
        </w:rPr>
      </w:pPr>
    </w:p>
    <w:p>
      <w:pPr>
        <w:ind w:right="340" w:firstLine="222"/>
        <w:spacing w:after="0" w:line="302"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4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December 2004, FASB issued SFAS No.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xml:space="preserve"> (“SFAS 123R”). This Statement is a revision of SFAS 123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and supersedes APB 25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and pro forma disclosure of fair value recognition will no longer be an alternative. Based on the aforementioned effective date, the Company will begin expensing stock options granted to its employees in its Statement of Operations using a fair-value based method effective the period beginning January 1, 2006. The Company intends to use the modified prospective method: Compensation cost is recognized beginning with the effective date of adoption (a) based on the requirements of SFAS 123R for all share-based payments granted after the effective date of adoption and (b) based on the requirements of SFAS 123 for all awards granted to employees prior to the effective date of adoption that remain unvested on the date of adoption. Adoption of the expensing requirements will increase the Company’s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project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June 2005, the FASB issued Statement of Financial Accounting Standards No. 154, Accounting Changes and Error Corrections (“SFAS 154”). SFAS 154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SFAS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SFAS 154 requires that a voluntary change in accounting principle be applied retrospectively with all prior period financial statements presented on the new accounting principle. SFAS 154 also requires that a change in method of depreciating or amortizing a long-lived nonfinancial asset be accounted for prospectively as a change in estimate, and correction of errors in previously issued financial statements should be termed a restatement. SFAS 154 is effective for accounting changes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correction of errors made in fiscal years beginning after December 15, 2005. The implementation of FAS 154 is not expected to have a material impact on the Company’s consolidated financial statements.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March 2005, Staff Accounting Bulletin No. 107 (“SAB 107”) was issued which expressed views of the Securities and Exchange Commission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 regarding the interaction between SFAS 123R, and certain SEC rules and regulations and provides the staff’s views regarding the valuation of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payment arrangements for public companies. FASB issued SFAS No. 123R in December 2004. This Statement is a revision of SFAS No. 123,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Accounting for Stock-Based Compensation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This Statement supersedes APB Opinion No. 25,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implementation guidance. SFAS 123R covers a wide range of share-based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arrangements including stock options, restricted share plans, performance-based awards, share appreciation rights, and employee share purchase plans.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standard is effective as of the beginning of the first interim or annual reporting period that begins after December 15, 2005. Based on the aforementioned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the Company will begin expensing stock options granted to its employees in its Statement of Operations using a fair-value based method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the period beginning January 1, 2006. Adoption of the expensing requirements will reduce the Company’s reported earnings. See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above in this Note 1 for disclosures regarding the effect on net earnings and earnings per share if we had applied the fair value recognition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exposure draft and SFAS 123. Depending on the model used to calculate stock-based compensation expense in the future, that disclosure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not prove indicative of the stock-based compensation expense to be recognized in future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RENEURON LICENSE AGREEMENT</w:t>
      </w:r>
    </w:p>
    <w:p>
      <w:pPr>
        <w:spacing w:after="0" w:line="121"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In July 2005, the Company entered into an agreement with ReNeuron Limited, a wholly owned subsidiary of ReNeuron Group plc, a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On July 1, 2005 the Company was entitled to 3,774,493 shares of ReNeuron, representing 7.5% of its fully-diluted share capital. On August 12</w:t>
      </w:r>
      <w:r>
        <w:rPr>
          <w:rFonts w:ascii="Arial" w:cs="Arial" w:eastAsia="Arial" w:hAnsi="Arial"/>
          <w:sz w:val="14"/>
          <w:szCs w:val="14"/>
          <w:color w:val="auto"/>
        </w:rPr>
        <w:t>th</w:t>
      </w:r>
      <w:r>
        <w:rPr>
          <w:rFonts w:ascii="Arial" w:cs="Arial" w:eastAsia="Arial" w:hAnsi="Arial"/>
          <w:sz w:val="17"/>
          <w:szCs w:val="17"/>
          <w:color w:val="auto"/>
        </w:rPr>
        <w:t xml:space="preserve"> 2005 ReNeuron listed its shares on the London Stock Exchange’s Alternative Investment Market (“AIM”), a market for smaller, growing companies. As provided for under the agreement, the placement and listing of additional shares by ReNeuron resulted in StemCells’ receiving an additional 5,165,000 shares.</w:t>
      </w:r>
    </w:p>
    <w:p>
      <w:pPr>
        <w:spacing w:after="0" w:line="75"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recorded approximately $3,748,000 as other income, which was the fair value of the ReNeuron shares as of August 12, 2005, net of legal fees and the value of an estimated 104,000 shares that will be transferred to NeuroSpheres Ltd., an Alberta corporation from which StemCells has licensed some of the patent rights that are the subject of the agreement with ReNeuron. The ReNeuron shares are classified as “marketable securities.” The fair market value of the securities (8,835,629 shares) as of September 30, 2005 is $3,820,963.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which was originally resident in Rhode Island,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bonds’ maturities, ranging currently from 8.1% to 9.5%. The outstanding principal at September 30, 2005 was approximately $1,668,000. The bonds contain certain restrictive covenants, which limit among other things, the payment of cash dividends and the sale of the related assets.</w:t>
      </w:r>
    </w:p>
    <w:p>
      <w:pPr>
        <w:spacing w:after="0" w:line="62" w:lineRule="exact"/>
        <w:rPr>
          <w:sz w:val="20"/>
          <w:szCs w:val="20"/>
          <w:color w:val="auto"/>
        </w:rPr>
      </w:pPr>
    </w:p>
    <w:p>
      <w:pPr>
        <w:ind w:right="66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which the Company is recognizing on a straight-line basis as required by U.S. Generally Accepted Accounting Principles (“GAAP”). At December 31, 2004 and September 30, 2005, the Company had deferred rent liability for this facility of $1,177,000 and $1,200,000 respectively; the deferred rent liability is presented as part of the wind-down accrual.</w:t>
      </w:r>
    </w:p>
    <w:p>
      <w:pPr>
        <w:spacing w:after="0" w:line="79"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59"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for the period commencing April 1, 2005 to March 31, 2010 will be approximately $2 million before subtenant income. The lease has escalating rent payments, which the Company is recognizing on a straight-line basis as required by GAAP. At December 31, 2004 and September 30, 2005, the Company had deferred rent liability for this facility of $524,000 and $710,000 respectively. At September 30, 2005 the Company has space-sharing agreements covering in total approximately 13,000 square feet of the 40,000 square foot facility. The Company receives the amount of base rent plus the proportionate share of the operating expenses that it pays for such space over the term of these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RELOCATION TO CALIFORNIA FROM RHODE ISLAND</w:t>
      </w:r>
    </w:p>
    <w:p>
      <w:pPr>
        <w:spacing w:after="0" w:line="12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the Company’s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2004 the reserve was $4,350,000. The Company incurred $845,000 in operating expenses for the nine month period ending September 30, 2005, which was recorded against the reserve. After evaluating the afore-mentioned factors the Company re-valued the reserve to $4,568,000, $5,482,000 and $5,520,000 at March 31, 2005, June 30, 2005 and September 2005 respectively, by booking an additional $521,000, $1,197,000 and $297,000 respectively as wind-down expenses.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5"/>
              </w:rPr>
              <w:t>July 1 to</w:t>
            </w:r>
          </w:p>
        </w:tc>
        <w:tc>
          <w:tcPr>
            <w:tcW w:w="1440" w:type="dxa"/>
            <w:vAlign w:val="bottom"/>
          </w:tcPr>
          <w:p>
            <w:pPr>
              <w:jc w:val="center"/>
              <w:ind w:left="134"/>
              <w:spacing w:after="0"/>
              <w:rPr>
                <w:sz w:val="20"/>
                <w:szCs w:val="20"/>
                <w:color w:val="auto"/>
              </w:rPr>
            </w:pPr>
            <w:r>
              <w:rPr>
                <w:rFonts w:ascii="Arial" w:cs="Arial" w:eastAsia="Arial" w:hAnsi="Arial"/>
                <w:sz w:val="14"/>
                <w:szCs w:val="14"/>
                <w:color w:val="auto"/>
                <w:w w:val="90"/>
              </w:rPr>
              <w:t>January 1 to</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00" w:type="dxa"/>
            <w:vAlign w:val="bottom"/>
          </w:tcPr>
          <w:p>
            <w:pPr>
              <w:jc w:val="right"/>
              <w:ind w:right="493"/>
              <w:spacing w:after="0" w:line="149" w:lineRule="exact"/>
              <w:rPr>
                <w:sz w:val="20"/>
                <w:szCs w:val="20"/>
                <w:color w:val="auto"/>
              </w:rPr>
            </w:pPr>
            <w:r>
              <w:rPr>
                <w:rFonts w:ascii="Arial" w:cs="Arial" w:eastAsia="Arial" w:hAnsi="Arial"/>
                <w:sz w:val="14"/>
                <w:szCs w:val="14"/>
                <w:color w:val="auto"/>
              </w:rPr>
              <w:t>January 1 to</w:t>
            </w:r>
          </w:p>
        </w:tc>
        <w:tc>
          <w:tcPr>
            <w:tcW w:w="200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April 1 to June 30,</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c>
          <w:tcPr>
            <w:tcW w:w="144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91"/>
              </w:rPr>
              <w:t>September 30,</w:t>
            </w: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7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March 31, 2005</w:t>
            </w:r>
          </w:p>
        </w:tc>
        <w:tc>
          <w:tcPr>
            <w:tcW w:w="20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2005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c>
          <w:tcPr>
            <w:tcW w:w="1440" w:type="dxa"/>
            <w:vAlign w:val="bottom"/>
            <w:tcBorders>
              <w:bottom w:val="single" w:sz="8" w:color="auto"/>
            </w:tcBorders>
          </w:tcPr>
          <w:p>
            <w:pPr>
              <w:jc w:val="center"/>
              <w:ind w:left="114"/>
              <w:spacing w:after="0"/>
              <w:rPr>
                <w:sz w:val="20"/>
                <w:szCs w:val="20"/>
                <w:color w:val="auto"/>
              </w:rPr>
            </w:pPr>
            <w:r>
              <w:rPr>
                <w:rFonts w:ascii="Arial" w:cs="Arial" w:eastAsia="Arial" w:hAnsi="Arial"/>
                <w:sz w:val="14"/>
                <w:szCs w:val="14"/>
                <w:color w:val="auto"/>
                <w:w w:val="89"/>
              </w:rPr>
              <w:t>2005</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$4,350,000</w:t>
            </w:r>
          </w:p>
        </w:tc>
        <w:tc>
          <w:tcPr>
            <w:tcW w:w="20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$4,568,000</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$5,482,000</w:t>
            </w: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$4,350,000</w:t>
            </w: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9"/>
              </w:rPr>
              <w:t>Less actual expenses recorded against estimated reserve</w:t>
            </w:r>
          </w:p>
        </w:tc>
        <w:tc>
          <w:tcPr>
            <w:tcW w:w="17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during the period</w:t>
            </w:r>
          </w:p>
        </w:tc>
        <w:tc>
          <w:tcPr>
            <w:tcW w:w="1700" w:type="dxa"/>
            <w:vAlign w:val="bottom"/>
          </w:tcPr>
          <w:p>
            <w:pPr>
              <w:jc w:val="right"/>
              <w:ind w:right="433"/>
              <w:spacing w:after="0"/>
              <w:rPr>
                <w:sz w:val="20"/>
                <w:szCs w:val="20"/>
                <w:color w:val="auto"/>
              </w:rPr>
            </w:pPr>
            <w:r>
              <w:rPr>
                <w:rFonts w:ascii="Arial" w:cs="Arial" w:eastAsia="Arial" w:hAnsi="Arial"/>
                <w:sz w:val="18"/>
                <w:szCs w:val="18"/>
                <w:color w:val="auto"/>
              </w:rPr>
              <w:t>(303,000)</w:t>
            </w:r>
          </w:p>
        </w:tc>
        <w:tc>
          <w:tcPr>
            <w:tcW w:w="2000" w:type="dxa"/>
            <w:vAlign w:val="bottom"/>
          </w:tcPr>
          <w:p>
            <w:pPr>
              <w:jc w:val="right"/>
              <w:ind w:right="453"/>
              <w:spacing w:after="0"/>
              <w:rPr>
                <w:sz w:val="20"/>
                <w:szCs w:val="20"/>
                <w:color w:val="auto"/>
              </w:rPr>
            </w:pPr>
            <w:r>
              <w:rPr>
                <w:rFonts w:ascii="Arial" w:cs="Arial" w:eastAsia="Arial" w:hAnsi="Arial"/>
                <w:sz w:val="18"/>
                <w:szCs w:val="18"/>
                <w:color w:val="auto"/>
              </w:rPr>
              <w:t>(283,000)</w:t>
            </w:r>
          </w:p>
        </w:tc>
        <w:tc>
          <w:tcPr>
            <w:tcW w:w="1660" w:type="dxa"/>
            <w:vAlign w:val="bottom"/>
          </w:tcPr>
          <w:p>
            <w:pPr>
              <w:jc w:val="right"/>
              <w:ind w:right="274"/>
              <w:spacing w:after="0"/>
              <w:rPr>
                <w:sz w:val="20"/>
                <w:szCs w:val="20"/>
                <w:color w:val="auto"/>
              </w:rPr>
            </w:pPr>
            <w:r>
              <w:rPr>
                <w:rFonts w:ascii="Arial" w:cs="Arial" w:eastAsia="Arial" w:hAnsi="Arial"/>
                <w:sz w:val="18"/>
                <w:szCs w:val="18"/>
                <w:color w:val="auto"/>
              </w:rPr>
              <w:t>(259,000)</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(845,000)</w:t>
            </w: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Additional expense recorded to revise estimated reserve at</w:t>
            </w:r>
          </w:p>
        </w:tc>
        <w:tc>
          <w:tcPr>
            <w:tcW w:w="17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period-end</w:t>
            </w:r>
          </w:p>
        </w:tc>
        <w:tc>
          <w:tcPr>
            <w:tcW w:w="1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521,000</w:t>
            </w:r>
          </w:p>
        </w:tc>
        <w:tc>
          <w:tcPr>
            <w:tcW w:w="20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1,197,000</w:t>
            </w:r>
          </w:p>
        </w:tc>
        <w:tc>
          <w:tcPr>
            <w:tcW w:w="16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297,000</w:t>
            </w: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2,015,000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1700" w:type="dxa"/>
            <w:vAlign w:val="bottom"/>
          </w:tcPr>
          <w:p>
            <w:pPr>
              <w:jc w:val="right"/>
              <w:ind w:right="493"/>
              <w:spacing w:after="0"/>
              <w:rPr>
                <w:sz w:val="20"/>
                <w:szCs w:val="20"/>
                <w:color w:val="auto"/>
              </w:rPr>
            </w:pPr>
            <w:r>
              <w:rPr>
                <w:rFonts w:ascii="Arial" w:cs="Arial" w:eastAsia="Arial" w:hAnsi="Arial"/>
                <w:sz w:val="18"/>
                <w:szCs w:val="18"/>
                <w:color w:val="auto"/>
              </w:rPr>
              <w:t>4,568,000</w:t>
            </w:r>
          </w:p>
        </w:tc>
        <w:tc>
          <w:tcPr>
            <w:tcW w:w="2000" w:type="dxa"/>
            <w:vAlign w:val="bottom"/>
          </w:tcPr>
          <w:p>
            <w:pPr>
              <w:jc w:val="right"/>
              <w:ind w:right="513"/>
              <w:spacing w:after="0"/>
              <w:rPr>
                <w:sz w:val="20"/>
                <w:szCs w:val="20"/>
                <w:color w:val="auto"/>
              </w:rPr>
            </w:pPr>
            <w:r>
              <w:rPr>
                <w:rFonts w:ascii="Arial" w:cs="Arial" w:eastAsia="Arial" w:hAnsi="Arial"/>
                <w:sz w:val="18"/>
                <w:szCs w:val="18"/>
                <w:color w:val="auto"/>
              </w:rPr>
              <w:t>5,482,000</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5,520,000</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5,520,000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(Note 3)</w:t>
            </w:r>
          </w:p>
        </w:tc>
        <w:tc>
          <w:tcPr>
            <w:tcW w:w="1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1,185,000</w:t>
            </w:r>
          </w:p>
        </w:tc>
        <w:tc>
          <w:tcPr>
            <w:tcW w:w="20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1,192,000</w:t>
            </w:r>
          </w:p>
        </w:tc>
        <w:tc>
          <w:tcPr>
            <w:tcW w:w="16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1,200,000</w:t>
            </w: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1,200,000</w:t>
            </w: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w w:val="99"/>
              </w:rPr>
              <w:t>Total accrued wind-down expenses at period-end (current</w:t>
            </w:r>
          </w:p>
        </w:tc>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and non current portion)</w:t>
            </w:r>
          </w:p>
        </w:tc>
        <w:tc>
          <w:tcPr>
            <w:tcW w:w="17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$5,753,000</w:t>
            </w:r>
          </w:p>
        </w:tc>
        <w:tc>
          <w:tcPr>
            <w:tcW w:w="20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$6,674,000</w:t>
            </w: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$6,720,000</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$6,720,000</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Current portion</w:t>
            </w:r>
          </w:p>
        </w:tc>
        <w:tc>
          <w:tcPr>
            <w:tcW w:w="17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$1,034,000</w:t>
            </w:r>
          </w:p>
        </w:tc>
        <w:tc>
          <w:tcPr>
            <w:tcW w:w="20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$1,095,000</w:t>
            </w: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$1,151,000</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$1,151,000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 current portion</w:t>
            </w:r>
          </w:p>
        </w:tc>
        <w:tc>
          <w:tcPr>
            <w:tcW w:w="1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4,719,000</w:t>
            </w:r>
          </w:p>
        </w:tc>
        <w:tc>
          <w:tcPr>
            <w:tcW w:w="20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5,579,000</w:t>
            </w:r>
          </w:p>
        </w:tc>
        <w:tc>
          <w:tcPr>
            <w:tcW w:w="16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5,569,000</w:t>
            </w: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5,569,000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17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$5,753,000</w:t>
            </w:r>
          </w:p>
        </w:tc>
        <w:tc>
          <w:tcPr>
            <w:tcW w:w="20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$6,674,000</w:t>
            </w: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$6,720,000</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$6,720,000</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$93,000 in 2004. No revenue from this grant was recognized in 2005 as the remaining $107,000 was paid to a subcontractor. In September 2004, the National Institutes of Health (NIH) awarded the Company a Small Business Technology Transfer grant of $464,000 for studies in Alzheimer’s disease, consisting of $308,000 for the first year and $156,000 for the remainder of the grant term, September 2005 through March 2006. The studies will be conducted by Dr. George A. Carlson of the McLaughlin Research Institute (MRI) in Great Falls, Montana, which will receive approximately $222,000 of the total award. The balance will be recognized by the Company as grant revenue as and when resources are expended for this study. The Company recognized $26,000 in the last quarter of 2004 and $150,000 for the nine month period ended September 30,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During the nine-month period ended September 30, 2005, warrants issued as part of the June 16, 2004 financing arrangement were exercised to purchase an aggregate of 897,882 shares of the Company’s common stock at $1.90 per share. The Company issued 897,882 shares of its common stock and received proceeds of approximately $1,706,000. In May 2005, warrants issued as part of a Stock Purchase Agreement dated May 7, 2003, were exercised to purchase an aggregate of 800,000 shares of the Company’s common stock at $1.50 per share. The Company issued 800,000 shares of its common stock and received proceeds of $1,200,000. During the months July and August 2005, warrants issued as part of a common stock financing transaction to purchase an aggregate of 196,150 shares were exercised for which 26,559 shares were issued at $ 4.52 per share, 129,591 shares at $ 3.70 per share, and issuance of 5,846 shares in a cashless exercise to settle a warrant exercise to purchase 40,000 shares at $5.0375 per share, for proceeds aggregating approximately $600,000. Also in January 2005, 79,899 shares of unregistered stock (which the Company has no obligation to register) were issued upon the cashless exercise by the holder of a warrant acquired as partial compensation for services to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April 13, 2000 the Company issued 1,500 shares of 6% cumulative convertible preferred stock plus adjustable warrants to two members of its Board of Directors. The preferred shares were converted into common shares in 2002. In March 2005, one of the members exercised his adjustable warrant in full for 72,252 shares at $3.42 per share. The Company issued 72,252 shares and received proceeds of $247,000. In May 2005 the other member through a cashless exercise, exercised in full, his adjustable warrant for 72,252 shares for which, the Company issued 10,784 shares.</w:t>
      </w:r>
    </w:p>
    <w:p>
      <w:pPr>
        <w:spacing w:after="0" w:line="63"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For the nine month period ended September 30, 2005, the Company issued 278,273 shares from activity related to its stock option plans. The following table presents the activity of the Company’s stock option plans for the nine month period ended September 30, 2005 and 2004.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2005</w:t>
            </w:r>
          </w:p>
        </w:tc>
        <w:tc>
          <w:tcPr>
            <w:tcW w:w="1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2004</w:t>
            </w:r>
          </w:p>
        </w:tc>
        <w:tc>
          <w:tcPr>
            <w:tcW w:w="118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80" w:type="dxa"/>
            <w:vAlign w:val="bottom"/>
          </w:tcPr>
          <w:p>
            <w:pPr>
              <w:jc w:val="center"/>
              <w:ind w:right="794"/>
              <w:spacing w:after="0" w:line="123" w:lineRule="exact"/>
              <w:rPr>
                <w:sz w:val="20"/>
                <w:szCs w:val="20"/>
                <w:color w:val="auto"/>
              </w:rPr>
            </w:pPr>
            <w:r>
              <w:rPr>
                <w:rFonts w:ascii="Arial" w:cs="Arial" w:eastAsia="Arial" w:hAnsi="Arial"/>
                <w:sz w:val="14"/>
                <w:szCs w:val="14"/>
                <w:color w:val="auto"/>
                <w:w w:val="91"/>
              </w:rPr>
              <w:t>Weighted</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jc w:val="center"/>
              <w:ind w:right="354"/>
              <w:spacing w:after="0" w:line="123" w:lineRule="exact"/>
              <w:rPr>
                <w:sz w:val="20"/>
                <w:szCs w:val="20"/>
                <w:color w:val="auto"/>
              </w:rPr>
            </w:pPr>
            <w:r>
              <w:rPr>
                <w:rFonts w:ascii="Arial" w:cs="Arial" w:eastAsia="Arial" w:hAnsi="Arial"/>
                <w:sz w:val="14"/>
                <w:szCs w:val="14"/>
                <w:color w:val="auto"/>
                <w:w w:val="91"/>
              </w:rPr>
              <w:t>Weighted</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2"/>
          </w:tcPr>
          <w:p>
            <w:pPr>
              <w:jc w:val="center"/>
              <w:ind w:right="74"/>
              <w:spacing w:after="0" w:line="149" w:lineRule="exact"/>
              <w:rPr>
                <w:sz w:val="20"/>
                <w:szCs w:val="20"/>
                <w:color w:val="auto"/>
              </w:rPr>
            </w:pPr>
            <w:r>
              <w:rPr>
                <w:rFonts w:ascii="Arial" w:cs="Arial" w:eastAsia="Arial" w:hAnsi="Arial"/>
                <w:sz w:val="14"/>
                <w:szCs w:val="14"/>
                <w:color w:val="auto"/>
                <w:w w:val="92"/>
              </w:rPr>
              <w:t>Average Exercise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left="194"/>
              <w:spacing w:after="0" w:line="149" w:lineRule="exact"/>
              <w:rPr>
                <w:sz w:val="20"/>
                <w:szCs w:val="20"/>
                <w:color w:val="auto"/>
              </w:rPr>
            </w:pPr>
            <w:r>
              <w:rPr>
                <w:rFonts w:ascii="Arial" w:cs="Arial" w:eastAsia="Arial" w:hAnsi="Arial"/>
                <w:sz w:val="14"/>
                <w:szCs w:val="14"/>
                <w:color w:val="auto"/>
                <w:w w:val="92"/>
              </w:rPr>
              <w:t>Average Exercise</w:t>
            </w: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Options</w:t>
            </w:r>
          </w:p>
        </w:tc>
        <w:tc>
          <w:tcPr>
            <w:tcW w:w="7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794"/>
              <w:spacing w:after="0"/>
              <w:rPr>
                <w:sz w:val="20"/>
                <w:szCs w:val="20"/>
                <w:color w:val="auto"/>
              </w:rPr>
            </w:pPr>
            <w:r>
              <w:rPr>
                <w:rFonts w:ascii="Arial" w:cs="Arial" w:eastAsia="Arial" w:hAnsi="Arial"/>
                <w:sz w:val="14"/>
                <w:szCs w:val="14"/>
                <w:color w:val="auto"/>
                <w:w w:val="93"/>
              </w:rPr>
              <w:t>Price</w:t>
            </w: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Options</w:t>
            </w: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color w:val="auto"/>
                <w:w w:val="93"/>
              </w:rPr>
              <w:t>Price</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6,682,201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5,025,374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963,057</w:t>
            </w:r>
          </w:p>
        </w:tc>
        <w:tc>
          <w:tcPr>
            <w:tcW w:w="1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94"/>
              <w:spacing w:after="0"/>
              <w:rPr>
                <w:sz w:val="20"/>
                <w:szCs w:val="20"/>
                <w:color w:val="auto"/>
              </w:rPr>
            </w:pPr>
            <w:r>
              <w:rPr>
                <w:rFonts w:ascii="Arial" w:cs="Arial" w:eastAsia="Arial" w:hAnsi="Arial"/>
                <w:sz w:val="18"/>
                <w:szCs w:val="18"/>
                <w:color w:val="auto"/>
              </w:rPr>
              <w:t>4.84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1,388,559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(278,273)</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1.26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0.00</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Canceled</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(725,584)</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94"/>
              <w:spacing w:after="0"/>
              <w:rPr>
                <w:sz w:val="20"/>
                <w:szCs w:val="20"/>
                <w:color w:val="auto"/>
              </w:rPr>
            </w:pPr>
            <w:r>
              <w:rPr>
                <w:rFonts w:ascii="Arial" w:cs="Arial" w:eastAsia="Arial" w:hAnsi="Arial"/>
                <w:sz w:val="18"/>
                <w:szCs w:val="18"/>
                <w:color w:val="auto"/>
              </w:rPr>
              <w:t>3.11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(108,000)</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3.79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6,641,401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6,222,389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2.61</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Options exercisable at September 30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4,204,398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94"/>
              <w:spacing w:after="0"/>
              <w:rPr>
                <w:sz w:val="20"/>
                <w:szCs w:val="20"/>
                <w:color w:val="auto"/>
              </w:rPr>
            </w:pPr>
            <w:r>
              <w:rPr>
                <w:rFonts w:ascii="Arial" w:cs="Arial" w:eastAsia="Arial" w:hAnsi="Arial"/>
                <w:sz w:val="18"/>
                <w:szCs w:val="18"/>
                <w:color w:val="auto"/>
              </w:rPr>
              <w:t>3.09</w:t>
            </w:r>
          </w:p>
        </w:tc>
        <w:tc>
          <w:tcPr>
            <w:tcW w:w="9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7"/>
              </w:rPr>
              <w:t>3,497,738</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3.01</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121"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In October 2005, warrants issued as part of the June 16, 2004 financing arrangement, were exercised to purchase an aggregate of 205,593 shares of the Company’s common stock at $1.90 per share. The Company issued 205,593 shares of its common stock and received proceeds of approximately $391,000.</w:t>
      </w:r>
    </w:p>
    <w:p>
      <w:pPr>
        <w:spacing w:after="0" w:line="16"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On October 19, 2005, the U.S. Food and Drug Administration removed its clinical hold on the Company’s Investigational New Drug application, permitting the Company to begin a Phase I safety and preliminary efficacy trial of its proprietary human neural stem cell product - -HuCNS-SC</w:t>
      </w:r>
      <w:r>
        <w:rPr>
          <w:rFonts w:ascii="Arial" w:cs="Arial" w:eastAsia="Arial" w:hAnsi="Arial"/>
          <w:sz w:val="15"/>
          <w:szCs w:val="15"/>
          <w:color w:val="auto"/>
        </w:rPr>
        <w:t>™</w:t>
      </w:r>
      <w:r>
        <w:rPr>
          <w:rFonts w:ascii="Arial" w:cs="Arial" w:eastAsia="Arial" w:hAnsi="Arial"/>
          <w:sz w:val="18"/>
          <w:szCs w:val="18"/>
          <w:color w:val="auto"/>
        </w:rPr>
        <w:t>- to treat Batten disease, a rare, fatal genetic disorder that affects the central nervous system of children.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nine month periods ended September 30, 2005 and 2004 should be read in conjunction with the accompanying unaudited condensed consolidated financial statements and the related footnotes thereto.</w:t>
      </w:r>
    </w:p>
    <w:p>
      <w:pPr>
        <w:spacing w:after="0" w:line="16"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hope,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expectations concerning identification of a suitable site for our proposed clinical trial in Batten disease, obtaining the required Institutional Review Board approval, instituting the clinical study and the conduct of the study once instituted, expectations regarding ReNeuron’s technology, the Company’s ability to develop products using the ReNeuron technology, the likelihood of obtaining milestone or royalty payments from ReNeuron under the license agreement, the likelihood of any future collaborations with ReNeuron, and the value of the Company’s equity interest in ReNeuron. Our actual results may vary materially from those contained in such forward-looking statements because of risks to which we are subject, including the risk that our initial clinical trial could be substantially delayed beyond its expected dates or cause us to incur substantial unanticipated costs; uncertainties regardingour ability to obtain the capital resources needed to continue our current research and development operations and to conduct the research, preclinical development and clinical trials necessary for regulatory approvals; the risk of failure to obtain a corporate partner or partners to support the development of our stem cell programs,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facilities in Rhode Island; obsolescence of our technology; competition from third parties; intellectual property rights of third parties; litigation and other risks to which we are subject. Before you invest in our common stock, you should be aware that the occurrence of the events described in the “Cautionary Factors Relevant to Forward Looking Information” and “Business” sections included in our Form 10-K report as of December 31, 2004 could harm our business, operating results and financial condition. All forward-looking statements attributable to us or to persons acting on our behalf are expressly qualified in their entirety by the cautionary statements and risk factors contained or referred to herein.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Since the second half of 1999, our sole focus has been on our stem cell technology. In the last quarter of 2004 we filed the first in a planned series of INDs (Investigational New Drug Applications) for CNS (Central Nervous System) diseases or conditions with the FDA (U.S. Food and Drug Administration). This IND, which is for a Phase I clinical trial of our human neural stem cells to treat Batten disease, was on clinical hold pending the resolution of questions and issues raised by the FDA. In October 2005, the FDA removed the hold, permitting the Company to proceed with the clinical trial. The Company must identify a suitable clinical site for the trial and obtain the approval of the Institutional Review Board for that site before it can initiate the trial. Batten disease is included among the neuronal ceroid lipofuscinoses (NCLs), a set of several closely related genetic lysosomal storage disorders caused by a deficiency of specific enzymes required for normal cell metabolism. The deficiency results in storage of toxic waste materials and the death of certain neurons. The NCLs primarily affect infants and young children, and are always fatal.</w:t>
      </w:r>
    </w:p>
    <w:p>
      <w:pPr>
        <w:spacing w:after="0" w:line="74"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must, among other things, substantially increase our research and development expenditures as research and product development efforts accelerate and clinical trials are initiated. We had expenditures for toxicology and other studies in preparation for submitting the Batten disease IND to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its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ReNeuron will supply cells for StemCells’ use under the cross-license. The agreement also provides for royalties and milestone payments by each party on the achievement of various goals under the license and cross-license.</w:t>
      </w:r>
    </w:p>
    <w:p>
      <w:pPr>
        <w:spacing w:after="0" w:line="81" w:lineRule="exact"/>
        <w:rPr>
          <w:sz w:val="20"/>
          <w:szCs w:val="20"/>
          <w:color w:val="auto"/>
        </w:rPr>
      </w:pPr>
    </w:p>
    <w:p>
      <w:pPr>
        <w:ind w:right="740" w:firstLine="225"/>
        <w:spacing w:after="0" w:line="264" w:lineRule="auto"/>
        <w:rPr>
          <w:sz w:val="20"/>
          <w:szCs w:val="20"/>
          <w:color w:val="auto"/>
        </w:rPr>
      </w:pPr>
      <w:r>
        <w:rPr>
          <w:rFonts w:ascii="Arial" w:cs="Arial" w:eastAsia="Arial" w:hAnsi="Arial"/>
          <w:sz w:val="18"/>
          <w:szCs w:val="18"/>
          <w:color w:val="auto"/>
        </w:rPr>
        <w:t>In September 2005 the Nasdaq Stock Market approved our application to move the listing of our common stock from the Nasdaq Capital Market (previously known as the Nasdaq SmallCap Market) to the Nasdaq National Market. The stock began trading on the Nasdaq National Market on September 30, 2005 under the same symbol, STEM.</w:t>
      </w:r>
    </w:p>
    <w:p>
      <w:pPr>
        <w:spacing w:after="0" w:line="7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sale of 5 million shares of common stock for a total of $9.5 million, and in 2004, two financing arrangements for gross proceeds of $20 million and $22.5 million in June and October respectively. (See “Liquidity and Capital Resources” below for further detail on each of these transactions.</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520" w:firstLine="215"/>
        <w:spacing w:after="0" w:line="264" w:lineRule="auto"/>
        <w:rPr>
          <w:sz w:val="20"/>
          <w:szCs w:val="20"/>
          <w:color w:val="auto"/>
        </w:rPr>
      </w:pPr>
      <w:r>
        <w:rPr>
          <w:rFonts w:ascii="Arial" w:cs="Arial" w:eastAsia="Arial" w:hAnsi="Arial"/>
          <w:sz w:val="18"/>
          <w:szCs w:val="18"/>
          <w:color w:val="auto"/>
        </w:rPr>
        <w:t xml:space="preserve">As permitted by the provisions of Statement of Financial Accounting Standards (“SFAS”) No. 148, </w:t>
      </w:r>
      <w:r>
        <w:rPr>
          <w:rFonts w:ascii="Arial" w:cs="Arial" w:eastAsia="Arial" w:hAnsi="Arial"/>
          <w:sz w:val="18"/>
          <w:szCs w:val="18"/>
          <w:i w:val="1"/>
          <w:iCs w:val="1"/>
          <w:color w:val="auto"/>
        </w:rPr>
        <w:t>“Accounting for Stock-Based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Transition and Disclosure,” </w:t>
      </w:r>
      <w:r>
        <w:rPr>
          <w:rFonts w:ascii="Arial" w:cs="Arial" w:eastAsia="Arial" w:hAnsi="Arial"/>
          <w:sz w:val="18"/>
          <w:szCs w:val="18"/>
          <w:color w:val="auto"/>
        </w:rPr>
        <w:t>and Statement of Financial Accounting Standards No. 123,</w:t>
      </w:r>
      <w:r>
        <w:rPr>
          <w:rFonts w:ascii="Arial" w:cs="Arial" w:eastAsia="Arial" w:hAnsi="Arial"/>
          <w:sz w:val="18"/>
          <w:szCs w:val="18"/>
          <w:i w:val="1"/>
          <w:iCs w:val="1"/>
          <w:color w:val="auto"/>
        </w:rPr>
        <w:t xml:space="preserve"> “Accounting for Stock-Based Compensation,” </w:t>
      </w:r>
      <w:r>
        <w:rPr>
          <w:rFonts w:ascii="Arial" w:cs="Arial" w:eastAsia="Arial" w:hAnsi="Arial"/>
          <w:sz w:val="18"/>
          <w:szCs w:val="18"/>
          <w:color w:val="auto"/>
        </w:rPr>
        <w:t>our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accounted for under Accounting Principles Board Opinion No. 25 (“APB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We grant qualified stock options for a fixed number of shares to employees with an exercise price equal to the fair market value of the shares at the date of grant. In accordance with APB 25, we recognize no compensation expense for qualified stock option grants. We also issue non-qualified stock options for a fixed number of shares to employees with an exercise price less than the fair market value of the shares at the date of grant. In accordance with APB 25, we recognize the difference between the exercise price and fair market value as compensation expense as such options vest. Note 9 of the Notes to the Consolidated Financial Statements, included in our 2004 Annual Report on Form 10-K, describes our equity compensation plans. Note 1 of the Notes to the Condensed Consolidated Financial Statements elsewhere in this report contains a summary of the pro forma effects to reported net loss and loss per share for the three and nine months ended September 30, 2005 and 2004 as if we had elected to recognize compensation cost based on the fair value of the options granted at grant date, as prescribed by SFAS 123. We account for certain stock options granted to non-employees in accordance with SFAS No. 123 and Emerging Issues Task Force (“EITF”) 96-18 — accounting for equity instruments that are issued 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8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December 2004, FASB issued SFAS 123R (revised 2004</w:t>
      </w:r>
      <w:r>
        <w:rPr>
          <w:rFonts w:ascii="Arial" w:cs="Arial" w:eastAsia="Arial" w:hAnsi="Arial"/>
          <w:sz w:val="18"/>
          <w:szCs w:val="18"/>
          <w:i w:val="1"/>
          <w:iCs w:val="1"/>
          <w:color w:val="auto"/>
        </w:rPr>
        <w:t>),” Share-Based Payment”</w:t>
      </w:r>
      <w:r>
        <w:rPr>
          <w:rFonts w:ascii="Arial" w:cs="Arial" w:eastAsia="Arial" w:hAnsi="Arial"/>
          <w:sz w:val="18"/>
          <w:szCs w:val="18"/>
          <w:color w:val="auto"/>
        </w:rPr>
        <w:t>. This Statement is a revision of SFAS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and amends SFAS No. 95,</w:t>
      </w:r>
      <w:r>
        <w:rPr>
          <w:rFonts w:ascii="Arial" w:cs="Arial" w:eastAsia="Arial" w:hAnsi="Arial"/>
          <w:sz w:val="18"/>
          <w:szCs w:val="18"/>
          <w:i w:val="1"/>
          <w:iCs w:val="1"/>
          <w:color w:val="auto"/>
        </w:rPr>
        <w:t xml:space="preserve"> “Statement of Cash Flows” </w:t>
      </w:r>
      <w:r>
        <w:rPr>
          <w:rFonts w:ascii="Arial" w:cs="Arial" w:eastAsia="Arial" w:hAnsi="Arial"/>
          <w:sz w:val="18"/>
          <w:szCs w:val="18"/>
          <w:color w:val="auto"/>
        </w:rPr>
        <w:t>and supersedes APB 25 and its related implementation guidance. SFAS 123R</w:t>
      </w:r>
      <w:r>
        <w:rPr>
          <w:rFonts w:ascii="Arial" w:cs="Arial" w:eastAsia="Arial" w:hAnsi="Arial"/>
          <w:sz w:val="18"/>
          <w:szCs w:val="18"/>
          <w:i w:val="1"/>
          <w:iCs w:val="1"/>
          <w:color w:val="auto"/>
        </w:rPr>
        <w:t xml:space="preserve"> </w:t>
      </w:r>
      <w:r>
        <w:rPr>
          <w:rFonts w:ascii="Arial" w:cs="Arial" w:eastAsia="Arial" w:hAnsi="Arial"/>
          <w:sz w:val="18"/>
          <w:szCs w:val="18"/>
          <w:color w:val="auto"/>
        </w:rPr>
        <w:t>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 mentioned effective date, we will begin expensing stock options granted to our employees in our Statement of Operations using a fair-value based method effective the period beginning January 1, 2006. Adoption of the expensing requirements will reduce the Company’s reported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“Other Cost to Exit an Activity.”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8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right="360" w:firstLine="225"/>
        <w:spacing w:after="0" w:line="276" w:lineRule="auto"/>
        <w:rPr>
          <w:sz w:val="20"/>
          <w:szCs w:val="20"/>
          <w:color w:val="auto"/>
        </w:rPr>
      </w:pPr>
      <w:r>
        <w:rPr>
          <w:rFonts w:ascii="Arial" w:cs="Arial" w:eastAsia="Arial" w:hAnsi="Arial"/>
          <w:sz w:val="17"/>
          <w:szCs w:val="17"/>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The Company discounts the projected net outflow over the term of the leasehold to arrive at the present value, and adjusts the reserve to that figure. The estimated vacancy rate for the facility is an important assumption in determining the reserve because changes in this assumption have the greatest effect 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The actual rate so far in 2005 is 62%. As of September 30, 2005, based on current information available to management, the vacancy rate is projected to be 80% for 2006, 76% for 2007, and approximately 70% from 2008 through the end of the lease. These estimates are based on actual occupancy in 2005, expiration of subleases in 2006 and 2008, predicted lead time for acquiring new subtenants, historical vacancy rates for the area and assessments by our broker/realtor of future real estate market conditions. If the assumed vacancy rate for 2008 to the end of the Lease had been five percentage points higher at September 30, 2005, then the reserve would have been increased by approximately $200,000; conversely, if the assumed vacancy rate for that period were five percentage points lower, then the reserve would have been decreased by approximately $200,000. Similarly, a 5% increase or decrease in the operating expenses for the facility from 2006 would have increased or decreased the reserve by approximately $125,000, and a 5% increase or decrease in the assumed average rental charge per square foot would have increased or decreased the reserve by approximately $65,000. Management does not wait for specific events to change its estimate, but instead uses its best efforts to anticipate them on a quarterly basis.</w:t>
      </w:r>
    </w:p>
    <w:p>
      <w:pPr>
        <w:spacing w:after="0" w:line="61"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wind-down reserve at the end of December 31, 2004 was $4,350,000. For the nine month period ended September 30, 2005 we recorded actual expenses of $845,000 against this reserve. Based on management’s evaluation of the factors mentioned, and particularly the projected vacancy rates described above, we adjusted the reserve to $5,520,000 by recording an additional $2,015,000 during the nine month period ended September 30, 2005 ($297,000 of which was recorded in the third quarter). See Note 4 for a breakdown of these figures by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2005 and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2005</w:t>
            </w:r>
          </w:p>
        </w:tc>
        <w:tc>
          <w:tcPr>
            <w:tcW w:w="17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color w:val="auto"/>
              </w:rPr>
              <w:t>2004</w:t>
            </w:r>
          </w:p>
        </w:tc>
        <w:tc>
          <w:tcPr>
            <w:tcW w:w="274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Revenue from grants and licensing agreements</w:t>
            </w:r>
          </w:p>
        </w:tc>
        <w:tc>
          <w:tcPr>
            <w:tcW w:w="1280" w:type="dxa"/>
            <w:vAlign w:val="bottom"/>
          </w:tcPr>
          <w:p>
            <w:pPr>
              <w:jc w:val="right"/>
              <w:ind w:right="416"/>
              <w:spacing w:after="0"/>
              <w:rPr>
                <w:sz w:val="20"/>
                <w:szCs w:val="20"/>
                <w:color w:val="auto"/>
              </w:rPr>
            </w:pPr>
            <w:r>
              <w:rPr>
                <w:rFonts w:ascii="Arial" w:cs="Arial" w:eastAsia="Arial" w:hAnsi="Arial"/>
                <w:sz w:val="18"/>
                <w:szCs w:val="18"/>
                <w:color w:val="auto"/>
              </w:rPr>
              <w:t>$ 91,255</w:t>
            </w:r>
          </w:p>
        </w:tc>
        <w:tc>
          <w:tcPr>
            <w:tcW w:w="1780" w:type="dxa"/>
            <w:vAlign w:val="bottom"/>
          </w:tcPr>
          <w:p>
            <w:pPr>
              <w:jc w:val="right"/>
              <w:ind w:right="696"/>
              <w:spacing w:after="0"/>
              <w:rPr>
                <w:sz w:val="20"/>
                <w:szCs w:val="20"/>
                <w:color w:val="auto"/>
              </w:rPr>
            </w:pPr>
            <w:r>
              <w:rPr>
                <w:rFonts w:ascii="Arial" w:cs="Arial" w:eastAsia="Arial" w:hAnsi="Arial"/>
                <w:sz w:val="18"/>
                <w:szCs w:val="18"/>
                <w:color w:val="auto"/>
              </w:rPr>
              <w:t>$ 4,541</w:t>
            </w:r>
          </w:p>
        </w:tc>
        <w:tc>
          <w:tcPr>
            <w:tcW w:w="1420" w:type="dxa"/>
            <w:vAlign w:val="bottom"/>
          </w:tcPr>
          <w:p>
            <w:pPr>
              <w:jc w:val="right"/>
              <w:ind w:right="519"/>
              <w:spacing w:after="0"/>
              <w:rPr>
                <w:sz w:val="20"/>
                <w:szCs w:val="20"/>
                <w:color w:val="auto"/>
              </w:rPr>
            </w:pPr>
            <w:r>
              <w:rPr>
                <w:rFonts w:ascii="Arial" w:cs="Arial" w:eastAsia="Arial" w:hAnsi="Arial"/>
                <w:sz w:val="18"/>
                <w:szCs w:val="18"/>
                <w:color w:val="auto"/>
              </w:rPr>
              <w:t>$ 86,714</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1,910%</w:t>
            </w:r>
          </w:p>
        </w:tc>
      </w:tr>
      <w:tr>
        <w:trPr>
          <w:trHeight w:val="209"/>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$91,255</w:t>
            </w:r>
          </w:p>
        </w:tc>
        <w:tc>
          <w:tcPr>
            <w:tcW w:w="17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$4,541</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$86,714</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1,910%</w:t>
            </w:r>
          </w:p>
        </w:tc>
      </w:tr>
    </w:tbl>
    <w:p>
      <w:pPr>
        <w:spacing w:after="0" w:line="9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For the three months ended September 30, 2005 revenue from grants and licensing agreements totaled approximately $91,000 of which $97,000 was part of a $464,000 Small Business Technology Transfer grant for studies in Alzheimer’s disease. Revenue was reduced by the receipt of approximately $6,000 less than what was estimated for licensing revenue for a prior quarter. For the three months ended September 30, 2004, no revenue from grants was recognized and revenue from licensing agreements totaled approximately $5,000.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2"/>
          </w:tcPr>
          <w:p>
            <w:pPr>
              <w:jc w:val="right"/>
              <w:ind w:right="596"/>
              <w:spacing w:after="0"/>
              <w:rPr>
                <w:sz w:val="20"/>
                <w:szCs w:val="20"/>
                <w:color w:val="auto"/>
              </w:rPr>
            </w:pPr>
            <w:r>
              <w:rPr>
                <w:rFonts w:ascii="Arial" w:cs="Arial" w:eastAsia="Arial" w:hAnsi="Arial"/>
                <w:sz w:val="14"/>
                <w:szCs w:val="14"/>
                <w:color w:val="auto"/>
              </w:rPr>
              <w:t>Change from previous</w:t>
            </w: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2005</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2004</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116"/>
              <w:spacing w:after="0"/>
              <w:rPr>
                <w:sz w:val="20"/>
                <w:szCs w:val="20"/>
                <w:color w:val="auto"/>
              </w:rPr>
            </w:pPr>
            <w:r>
              <w:rPr>
                <w:rFonts w:ascii="Arial" w:cs="Arial" w:eastAsia="Arial" w:hAnsi="Arial"/>
                <w:sz w:val="14"/>
                <w:szCs w:val="14"/>
                <w:color w:val="auto"/>
                <w:w w:val="87"/>
              </w:rPr>
              <w:t>year</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$2,526,542</w:t>
            </w:r>
          </w:p>
        </w:tc>
        <w:tc>
          <w:tcPr>
            <w:tcW w:w="1980" w:type="dxa"/>
            <w:vAlign w:val="bottom"/>
          </w:tcPr>
          <w:p>
            <w:pPr>
              <w:jc w:val="right"/>
              <w:ind w:right="614"/>
              <w:spacing w:after="0"/>
              <w:rPr>
                <w:sz w:val="20"/>
                <w:szCs w:val="20"/>
                <w:color w:val="auto"/>
              </w:rPr>
            </w:pPr>
            <w:r>
              <w:rPr>
                <w:rFonts w:ascii="Arial" w:cs="Arial" w:eastAsia="Arial" w:hAnsi="Arial"/>
                <w:sz w:val="18"/>
                <w:szCs w:val="18"/>
                <w:color w:val="auto"/>
              </w:rPr>
              <w:t>$2,075,025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451,517</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1,359,463</w:t>
            </w:r>
          </w:p>
        </w:tc>
        <w:tc>
          <w:tcPr>
            <w:tcW w:w="19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904,104</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455,359</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297,184</w:t>
            </w:r>
          </w:p>
        </w:tc>
        <w:tc>
          <w:tcPr>
            <w:tcW w:w="1980" w:type="dxa"/>
            <w:vAlign w:val="bottom"/>
          </w:tcPr>
          <w:p>
            <w:pPr>
              <w:jc w:val="right"/>
              <w:ind w:right="614"/>
              <w:spacing w:after="0"/>
              <w:rPr>
                <w:sz w:val="20"/>
                <w:szCs w:val="20"/>
                <w:color w:val="auto"/>
              </w:rPr>
            </w:pPr>
            <w:r>
              <w:rPr>
                <w:rFonts w:ascii="Arial" w:cs="Arial" w:eastAsia="Arial" w:hAnsi="Arial"/>
                <w:sz w:val="18"/>
                <w:szCs w:val="18"/>
                <w:color w:val="auto"/>
              </w:rPr>
              <w:t>1,345,564</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9"/>
              </w:rPr>
              <w:t>(1,048,380)</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(78)%</w:t>
            </w: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$4,183,189</w:t>
            </w:r>
          </w:p>
        </w:tc>
        <w:tc>
          <w:tcPr>
            <w:tcW w:w="19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$4,324,693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141,504)</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 expenses totaled approximately $2,527,000 for the three months ended September 30, 2005, compared with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$2,075,000 for the same period in 2004. The increase of $452,000 or approximately 22% from 2004 to 2005 was primarily attributable to the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higher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head count in the three-month period ended September 30, 2005 as compared to the same period in 2004. At September 30, 2005, we had thirty-two full-time employees working in research and development and laboratory support services as compared to twenty-five at September 30, 2004.</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General and administrative expenses were approximately $1,359,000 for the three months ended September 30, 2005, compared with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$904,000 for the same period in 2004. The increase of $455,000, or approximately 50%, from 2004 to 2005 was primarily attributable to expensing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stock options granted to our previous chief financial officer, which was approximately $457,000. The vesting of the options was accelerated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 agreement that retained our previous chief financial officer as a consultant for approximately six months following the employment termination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increase was also attributable to the costs of moving the listing of our shares from the Nasdaq Capital Market to the Nasdaq National Market, which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amounted to approximately $150,000.</w:t>
      </w:r>
    </w:p>
    <w:p>
      <w:pPr>
        <w:spacing w:after="0" w:line="103" w:lineRule="exact"/>
        <w:rPr>
          <w:sz w:val="20"/>
          <w:szCs w:val="20"/>
          <w:color w:val="auto"/>
        </w:rPr>
      </w:pPr>
    </w:p>
    <w:p>
      <w:pPr>
        <w:ind w:right="140" w:firstLine="225"/>
        <w:spacing w:after="0" w:line="253" w:lineRule="auto"/>
        <w:rPr>
          <w:sz w:val="20"/>
          <w:szCs w:val="20"/>
          <w:color w:val="auto"/>
        </w:rPr>
      </w:pPr>
      <w:r>
        <w:rPr>
          <w:rFonts w:ascii="Arial" w:cs="Arial" w:eastAsia="Arial" w:hAnsi="Arial"/>
          <w:sz w:val="18"/>
          <w:szCs w:val="18"/>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June 30, 2005 the reserve was $5,482,000. For the three months ended September 30, 2005, expenses of $259,000 net of subtenant income was recorded against this reserve. At September 30, 2005 we re-evaluated the estimate and adjusted the reserve to $5,520,000 by recording an additional $297,000 as wind-down expenses. Wind-down expenses for the same period in 2004 were $1,346,000.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we periodically re-evaluate and adjust the reserve, as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color w:val="auto"/>
              </w:rPr>
              <w:t>Change from previous</w:t>
            </w: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2005</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2004</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color w:val="auto"/>
              </w:rPr>
              <w:t>year</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License and settlement agreement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3,747,601</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3,747,601</w:t>
            </w:r>
          </w:p>
        </w:tc>
        <w:tc>
          <w:tcPr>
            <w:tcW w:w="8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301,255</w:t>
            </w:r>
          </w:p>
        </w:tc>
        <w:tc>
          <w:tcPr>
            <w:tcW w:w="18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$ 82,531</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218,724</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(42,021)</w:t>
            </w:r>
          </w:p>
        </w:tc>
        <w:tc>
          <w:tcPr>
            <w:tcW w:w="1820" w:type="dxa"/>
            <w:vAlign w:val="bottom"/>
            <w:gridSpan w:val="3"/>
          </w:tcPr>
          <w:p>
            <w:pPr>
              <w:jc w:val="right"/>
              <w:ind w:right="680"/>
              <w:spacing w:after="0"/>
              <w:rPr>
                <w:sz w:val="20"/>
                <w:szCs w:val="20"/>
                <w:color w:val="auto"/>
              </w:rPr>
            </w:pPr>
            <w:r>
              <w:rPr>
                <w:rFonts w:ascii="Arial" w:cs="Arial" w:eastAsia="Arial" w:hAnsi="Arial"/>
                <w:sz w:val="18"/>
                <w:szCs w:val="18"/>
                <w:color w:val="auto"/>
              </w:rPr>
              <w:t>(46,093)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4,072</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(8,594)</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(53,886)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45,292</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3,998,241</w:t>
            </w: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(17,448)</w:t>
            </w: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4,015,689</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N/M</w:t>
            </w:r>
          </w:p>
        </w:tc>
        <w:tc>
          <w:tcPr>
            <w:tcW w:w="320" w:type="dxa"/>
            <w:vAlign w:val="bottom"/>
          </w:tcPr>
          <w:p>
            <w:pPr>
              <w:spacing w:after="0"/>
              <w:rPr>
                <w:sz w:val="19"/>
                <w:szCs w:val="19"/>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Non meaningful</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w:t>
      </w:r>
    </w:p>
    <w:p>
      <w:pPr>
        <w:spacing w:after="0" w:line="84"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Company recorded approximately $3,748,000 as other income, which was the fair value of the ReNeuron shares net of legal fees and the value of an estimated 104,000 shares that will be transferred to NeuroSpheres Ltd., an Alberta corporation from which StemCells has licensed some of the patent rights that are the subject of the agreement with ReNeuron. See Note 2 for more details on this transaction.</w:t>
      </w:r>
    </w:p>
    <w:p>
      <w:pPr>
        <w:spacing w:after="0" w:line="73"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Interest income for the three months ended September 30, 2005 and 2004 was approximately $301,000 and $83,000 respectively. The increase in interest income in 2005 was primarily attributable to a higher average investment balance. Interest expense for the three months ended September 30, 2005 and 2004 was approximately $42,000 and $46,000 respectively. The decrease in interest expense in 2005 was attributable to lower outstanding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debt and capital lease balances in 2005 compared to 2004. Other expense for the three months ended September 30, 2005 includes $7,000 in state franchise taxes paid and $1,500 write-off of obsolete equipment. Other expenses for the same period in 2004 include a loss of $51,000 as a result of writing off obsolete lab equipment and $3,000 in state franchise taxes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2005 and 2004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20" w:type="dxa"/>
            <w:vAlign w:val="bottom"/>
            <w:gridSpan w:val="2"/>
          </w:tcPr>
          <w:p>
            <w:pPr>
              <w:jc w:val="right"/>
              <w:ind w:right="539"/>
              <w:spacing w:after="0"/>
              <w:rPr>
                <w:sz w:val="20"/>
                <w:szCs w:val="20"/>
                <w:color w:val="auto"/>
              </w:rPr>
            </w:pPr>
            <w:r>
              <w:rPr>
                <w:rFonts w:ascii="Arial" w:cs="Arial" w:eastAsia="Arial" w:hAnsi="Arial"/>
                <w:sz w:val="14"/>
                <w:szCs w:val="14"/>
                <w:color w:val="auto"/>
              </w:rPr>
              <w:t>Change from previous</w:t>
            </w: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3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2005</w:t>
            </w:r>
          </w:p>
        </w:tc>
        <w:tc>
          <w:tcPr>
            <w:tcW w:w="196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2004</w:t>
            </w: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color w:val="auto"/>
              </w:rPr>
              <w:t>year</w:t>
            </w: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Revenue from grants and licensing agreements</w:t>
            </w:r>
          </w:p>
        </w:tc>
        <w:tc>
          <w:tcPr>
            <w:tcW w:w="1380" w:type="dxa"/>
            <w:vAlign w:val="bottom"/>
          </w:tcPr>
          <w:p>
            <w:pPr>
              <w:jc w:val="right"/>
              <w:ind w:right="396"/>
              <w:spacing w:after="0"/>
              <w:rPr>
                <w:sz w:val="20"/>
                <w:szCs w:val="20"/>
                <w:color w:val="auto"/>
              </w:rPr>
            </w:pPr>
            <w:r>
              <w:rPr>
                <w:rFonts w:ascii="Arial" w:cs="Arial" w:eastAsia="Arial" w:hAnsi="Arial"/>
                <w:sz w:val="18"/>
                <w:szCs w:val="18"/>
                <w:color w:val="auto"/>
              </w:rPr>
              <w:t>$ 163,345</w:t>
            </w:r>
          </w:p>
        </w:tc>
        <w:tc>
          <w:tcPr>
            <w:tcW w:w="1960" w:type="dxa"/>
            <w:vAlign w:val="bottom"/>
          </w:tcPr>
          <w:p>
            <w:pPr>
              <w:jc w:val="right"/>
              <w:ind w:right="696"/>
              <w:spacing w:after="0"/>
              <w:rPr>
                <w:sz w:val="20"/>
                <w:szCs w:val="20"/>
                <w:color w:val="auto"/>
              </w:rPr>
            </w:pPr>
            <w:r>
              <w:rPr>
                <w:rFonts w:ascii="Arial" w:cs="Arial" w:eastAsia="Arial" w:hAnsi="Arial"/>
                <w:sz w:val="18"/>
                <w:szCs w:val="18"/>
                <w:color w:val="auto"/>
              </w:rPr>
              <w:t>$ 103,470</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$ 59,875</w:t>
            </w:r>
          </w:p>
        </w:tc>
        <w:tc>
          <w:tcPr>
            <w:tcW w:w="1540" w:type="dxa"/>
            <w:vAlign w:val="bottom"/>
          </w:tcPr>
          <w:p>
            <w:pPr>
              <w:jc w:val="right"/>
              <w:ind w:right="99"/>
              <w:spacing w:after="0"/>
              <w:rPr>
                <w:sz w:val="20"/>
                <w:szCs w:val="20"/>
                <w:color w:val="auto"/>
              </w:rPr>
            </w:pPr>
            <w:r>
              <w:rPr>
                <w:rFonts w:ascii="Arial" w:cs="Arial" w:eastAsia="Arial" w:hAnsi="Arial"/>
                <w:sz w:val="18"/>
                <w:szCs w:val="18"/>
                <w:color w:val="auto"/>
              </w:rPr>
              <w:t>58%</w:t>
            </w:r>
          </w:p>
        </w:tc>
      </w:tr>
      <w:tr>
        <w:trPr>
          <w:trHeight w:val="209"/>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$163,345</w:t>
            </w:r>
          </w:p>
        </w:tc>
        <w:tc>
          <w:tcPr>
            <w:tcW w:w="19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$103,470</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$59,875</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58%</w:t>
            </w:r>
          </w:p>
        </w:tc>
      </w:tr>
    </w:tbl>
    <w:p>
      <w:pPr>
        <w:spacing w:after="0" w:line="9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For the nine months ended September 30, 2005 revenue from grants and licensing agreements totaled approximately $163,000 of which $150,000 was part of a $464,000 Small Business Technology Transfer grant for studies in Alzheimer’s disease and approximately $13,000 in licensing revenue. For the nine months ended September 30, 2004, revenue from grants and licensing agreements totaled approximately $103,000 of which $93,000 was part of the $342,000 Small Business Innovation Research grant from the National Institute of Neurological Disease and Stroke, and $10,000 in licensing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tcPr>
          <w:p>
            <w:pPr>
              <w:jc w:val="right"/>
              <w:ind w:right="118"/>
              <w:spacing w:after="0"/>
              <w:rPr>
                <w:sz w:val="20"/>
                <w:szCs w:val="20"/>
                <w:color w:val="auto"/>
              </w:rPr>
            </w:pPr>
            <w:r>
              <w:rPr>
                <w:rFonts w:ascii="Arial" w:cs="Arial" w:eastAsia="Arial" w:hAnsi="Arial"/>
                <w:sz w:val="14"/>
                <w:szCs w:val="14"/>
                <w:color w:val="auto"/>
              </w:rPr>
              <w:t>Change from</w:t>
            </w:r>
          </w:p>
        </w:tc>
        <w:tc>
          <w:tcPr>
            <w:tcW w:w="6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2005</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2004</w:t>
            </w:r>
          </w:p>
        </w:tc>
        <w:tc>
          <w:tcPr>
            <w:tcW w:w="18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previous year</w:t>
            </w:r>
          </w:p>
        </w:tc>
        <w:tc>
          <w:tcPr>
            <w:tcW w:w="66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Borders>
              <w:bottom w:val="single" w:sz="8" w:color="auto"/>
            </w:tcBorders>
          </w:tcPr>
          <w:p>
            <w:pPr>
              <w:jc w:val="right"/>
              <w:ind w:right="105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4"/>
              <w:spacing w:after="0"/>
              <w:rPr>
                <w:sz w:val="20"/>
                <w:szCs w:val="20"/>
                <w:color w:val="auto"/>
              </w:rPr>
            </w:pPr>
            <w:r>
              <w:rPr>
                <w:rFonts w:ascii="Arial" w:cs="Arial" w:eastAsia="Arial" w:hAnsi="Arial"/>
                <w:sz w:val="18"/>
                <w:szCs w:val="18"/>
                <w:color w:val="auto"/>
                <w:w w:val="97"/>
              </w:rPr>
              <w:t>6,453,835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34"/>
              <w:spacing w:after="0"/>
              <w:rPr>
                <w:sz w:val="20"/>
                <w:szCs w:val="20"/>
                <w:color w:val="auto"/>
              </w:rPr>
            </w:pPr>
            <w:r>
              <w:rPr>
                <w:rFonts w:ascii="Arial" w:cs="Arial" w:eastAsia="Arial" w:hAnsi="Arial"/>
                <w:sz w:val="18"/>
                <w:szCs w:val="18"/>
                <w:color w:val="auto"/>
                <w:w w:val="99"/>
              </w:rPr>
              <w:t>5,882,366</w:t>
            </w:r>
          </w:p>
        </w:tc>
        <w:tc>
          <w:tcPr>
            <w:tcW w:w="1820" w:type="dxa"/>
            <w:vAlign w:val="bottom"/>
          </w:tcPr>
          <w:p>
            <w:pPr>
              <w:jc w:val="right"/>
              <w:ind w:right="738"/>
              <w:spacing w:after="0"/>
              <w:rPr>
                <w:sz w:val="20"/>
                <w:szCs w:val="20"/>
                <w:color w:val="auto"/>
              </w:rPr>
            </w:pPr>
            <w:r>
              <w:rPr>
                <w:rFonts w:ascii="Arial" w:cs="Arial" w:eastAsia="Arial" w:hAnsi="Arial"/>
                <w:sz w:val="18"/>
                <w:szCs w:val="18"/>
                <w:color w:val="auto"/>
              </w:rPr>
              <w:t>$  571,469</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97"/>
              </w:rPr>
              <w:t>3,479,943</w:t>
            </w: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2,645,092</w:t>
            </w:r>
          </w:p>
        </w:tc>
        <w:tc>
          <w:tcPr>
            <w:tcW w:w="18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rPr>
              <w:t>834,851</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280" w:type="dxa"/>
            <w:vAlign w:val="bottom"/>
          </w:tcPr>
          <w:p>
            <w:pPr>
              <w:spacing w:after="0"/>
              <w:rPr>
                <w:sz w:val="20"/>
                <w:szCs w:val="20"/>
                <w:color w:val="auto"/>
              </w:rPr>
            </w:pPr>
          </w:p>
        </w:tc>
        <w:tc>
          <w:tcPr>
            <w:tcW w:w="1260" w:type="dxa"/>
            <w:vAlign w:val="bottom"/>
          </w:tcPr>
          <w:p>
            <w:pPr>
              <w:jc w:val="right"/>
              <w:ind w:right="374"/>
              <w:spacing w:after="0"/>
              <w:rPr>
                <w:sz w:val="20"/>
                <w:szCs w:val="20"/>
                <w:color w:val="auto"/>
              </w:rPr>
            </w:pPr>
            <w:r>
              <w:rPr>
                <w:rFonts w:ascii="Arial" w:cs="Arial" w:eastAsia="Arial" w:hAnsi="Arial"/>
                <w:sz w:val="18"/>
                <w:szCs w:val="18"/>
                <w:color w:val="auto"/>
                <w:w w:val="97"/>
              </w:rPr>
              <w:t>2,015,384</w:t>
            </w:r>
          </w:p>
        </w:tc>
        <w:tc>
          <w:tcPr>
            <w:tcW w:w="540" w:type="dxa"/>
            <w:vAlign w:val="bottom"/>
          </w:tcPr>
          <w:p>
            <w:pPr>
              <w:spacing w:after="0"/>
              <w:rPr>
                <w:sz w:val="20"/>
                <w:szCs w:val="20"/>
                <w:color w:val="auto"/>
              </w:rPr>
            </w:pPr>
          </w:p>
        </w:tc>
        <w:tc>
          <w:tcPr>
            <w:tcW w:w="1540" w:type="dxa"/>
            <w:vAlign w:val="bottom"/>
          </w:tcPr>
          <w:p>
            <w:pPr>
              <w:jc w:val="right"/>
              <w:ind w:right="634"/>
              <w:spacing w:after="0"/>
              <w:rPr>
                <w:sz w:val="20"/>
                <w:szCs w:val="20"/>
                <w:color w:val="auto"/>
              </w:rPr>
            </w:pPr>
            <w:r>
              <w:rPr>
                <w:rFonts w:ascii="Arial" w:cs="Arial" w:eastAsia="Arial" w:hAnsi="Arial"/>
                <w:sz w:val="18"/>
                <w:szCs w:val="18"/>
                <w:color w:val="auto"/>
                <w:w w:val="99"/>
              </w:rPr>
              <w:t>1,943,707</w:t>
            </w:r>
          </w:p>
        </w:tc>
        <w:tc>
          <w:tcPr>
            <w:tcW w:w="1820" w:type="dxa"/>
            <w:vAlign w:val="bottom"/>
          </w:tcPr>
          <w:p>
            <w:pPr>
              <w:jc w:val="right"/>
              <w:ind w:right="738"/>
              <w:spacing w:after="0"/>
              <w:rPr>
                <w:sz w:val="20"/>
                <w:szCs w:val="20"/>
                <w:color w:val="auto"/>
              </w:rPr>
            </w:pPr>
            <w:r>
              <w:rPr>
                <w:rFonts w:ascii="Arial" w:cs="Arial" w:eastAsia="Arial" w:hAnsi="Arial"/>
                <w:sz w:val="18"/>
                <w:szCs w:val="18"/>
                <w:color w:val="auto"/>
              </w:rPr>
              <w:t>71,677</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86"/>
              </w:rPr>
              <w:t>11,949,162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88"/>
              </w:rPr>
              <w:t>10,471,165</w:t>
            </w:r>
          </w:p>
        </w:tc>
        <w:tc>
          <w:tcPr>
            <w:tcW w:w="18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rPr>
              <w:t>$1,477,997</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 expenses totaled approximately $6,454,000 for the nine months ended September 30, 2005, compared with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$5,882,000 for the same period in 2004. The increase of $571,000, or approximately 10%, from 2004 to 2005 was primarily attributable to an increase in head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count in the nine-month period ended September 30, 2005 as compared to the same period in 2004. At September 30, 2005, we had thirty-two full-time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working in research and development and laboratory support services as compared to twenty-five at September 30, 2004. The increase in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also attributable to an increase of approximately $347,000 in compensation expense due a to higher valuation in the nine month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2005 of stock options granted to non-employees as compared to the same period in 2004. The fair value of such options as computed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Black-Scholes valuation model is dependant on variable factors such as stock price, stock price volatility, interest rate and remaining life of the option.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General and administrative expenses were approximately $3,480,000 for the nine months ended September 30, 2005,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$2,645,000 for the same period in 2004. The increase of $835,000, or approximately 32%, from 2004 to 2005 was primarily attributable to expensing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stock options granted to our previous chief financial officer, which was approximately $457,000. The vesting of the options was accelerated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 agreement that retained our previous chief financial officer as a consultant for approximately six months following the employment termination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also attributable to an increase in head count during the nine-month period ended September 30, 2005 as compared to the same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Relative to the same period in 2004 we have now added a chief financial officer, a senior accountant and administrative support staff., all of whom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added in part to be in compliance with the requirements of the Securities and Exchange Commission rules issued under section 404 of the Sarbanes Oxley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2004 the reserve was $4,350,000. For the nine month period ended September 30, 2005, expenses of $845,000 net of subtenant income were recorded against this reserve. At March 31, 2005, June 30, 2005 and September 30, 2005, we re-evaluated the estimate and adjusted the reserve to $4,568,000, $5,482,000 and $5,520,000, respectively, by recording an additional $521,000 at March 31, 2005, $1,197,000 at June 30, 2005 and $297,000 at September 30, 2005 for an aggregate of $2,015,000 as wind-down expenses. Aggregate wind-down expenses for the same nine-month period ended September 30, 2004 were $1,943,000.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we periodically re-evaluate and adjust the reserve, as necessary.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2005</w:t>
            </w: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color w:val="auto"/>
              </w:rPr>
              <w:t>2004</w:t>
            </w: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84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1555"/>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License and settlement agreement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93"/>
              <w:spacing w:after="0"/>
              <w:rPr>
                <w:sz w:val="20"/>
                <w:szCs w:val="20"/>
                <w:color w:val="auto"/>
              </w:rPr>
            </w:pPr>
            <w:r>
              <w:rPr>
                <w:rFonts w:ascii="Arial" w:cs="Arial" w:eastAsia="Arial" w:hAnsi="Arial"/>
                <w:sz w:val="18"/>
                <w:szCs w:val="18"/>
                <w:color w:val="auto"/>
                <w:w w:val="99"/>
              </w:rPr>
              <w:t>3,747,601</w:t>
            </w:r>
          </w:p>
        </w:tc>
        <w:tc>
          <w:tcPr>
            <w:tcW w:w="480" w:type="dxa"/>
            <w:vAlign w:val="bottom"/>
          </w:tcPr>
          <w:p>
            <w:pPr>
              <w:spacing w:after="0"/>
              <w:rPr>
                <w:sz w:val="18"/>
                <w:szCs w:val="18"/>
                <w:color w:val="auto"/>
              </w:rPr>
            </w:pP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075"/>
              <w:spacing w:after="0"/>
              <w:rPr>
                <w:sz w:val="20"/>
                <w:szCs w:val="20"/>
                <w:color w:val="auto"/>
              </w:rPr>
            </w:pPr>
            <w:r>
              <w:rPr>
                <w:rFonts w:ascii="Arial" w:cs="Arial" w:eastAsia="Arial" w:hAnsi="Arial"/>
                <w:sz w:val="18"/>
                <w:szCs w:val="18"/>
                <w:color w:val="auto"/>
              </w:rPr>
              <w:t>3,747,601</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790,407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158,942</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rPr>
              <w:t>631,465</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5040" w:type="dxa"/>
            <w:vAlign w:val="bottom"/>
          </w:tcPr>
          <w:p>
            <w:pPr>
              <w:ind w:left="6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(133,777)</w:t>
            </w:r>
          </w:p>
        </w:tc>
        <w:tc>
          <w:tcPr>
            <w:tcW w:w="480" w:type="dxa"/>
            <w:vAlign w:val="bottom"/>
          </w:tcPr>
          <w:p>
            <w:pPr>
              <w:spacing w:after="0"/>
              <w:rPr>
                <w:sz w:val="18"/>
                <w:szCs w:val="18"/>
                <w:color w:val="auto"/>
              </w:rPr>
            </w:pPr>
          </w:p>
        </w:tc>
        <w:tc>
          <w:tcPr>
            <w:tcW w:w="1440" w:type="dxa"/>
            <w:vAlign w:val="bottom"/>
          </w:tcPr>
          <w:p>
            <w:pPr>
              <w:jc w:val="right"/>
              <w:ind w:right="553"/>
              <w:spacing w:after="0"/>
              <w:rPr>
                <w:sz w:val="20"/>
                <w:szCs w:val="20"/>
                <w:color w:val="auto"/>
              </w:rPr>
            </w:pPr>
            <w:r>
              <w:rPr>
                <w:rFonts w:ascii="Arial" w:cs="Arial" w:eastAsia="Arial" w:hAnsi="Arial"/>
                <w:sz w:val="18"/>
                <w:szCs w:val="18"/>
                <w:color w:val="auto"/>
              </w:rPr>
              <w:t>(145,025)</w:t>
            </w:r>
          </w:p>
        </w:tc>
        <w:tc>
          <w:tcPr>
            <w:tcW w:w="220" w:type="dxa"/>
            <w:vAlign w:val="bottom"/>
          </w:tcPr>
          <w:p>
            <w:pPr>
              <w:spacing w:after="0"/>
              <w:rPr>
                <w:sz w:val="18"/>
                <w:szCs w:val="18"/>
                <w:color w:val="auto"/>
              </w:rPr>
            </w:pPr>
          </w:p>
        </w:tc>
        <w:tc>
          <w:tcPr>
            <w:tcW w:w="2000" w:type="dxa"/>
            <w:vAlign w:val="bottom"/>
          </w:tcPr>
          <w:p>
            <w:pPr>
              <w:jc w:val="right"/>
              <w:ind w:right="1075"/>
              <w:spacing w:after="0"/>
              <w:rPr>
                <w:sz w:val="20"/>
                <w:szCs w:val="20"/>
                <w:color w:val="auto"/>
              </w:rPr>
            </w:pPr>
            <w:r>
              <w:rPr>
                <w:rFonts w:ascii="Arial" w:cs="Arial" w:eastAsia="Arial" w:hAnsi="Arial"/>
                <w:sz w:val="18"/>
                <w:szCs w:val="18"/>
                <w:color w:val="auto"/>
              </w:rPr>
              <w:t>11,248</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(29,226)</w:t>
            </w:r>
          </w:p>
        </w:tc>
        <w:tc>
          <w:tcPr>
            <w:tcW w:w="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(57,081)</w:t>
            </w:r>
          </w:p>
        </w:tc>
        <w:tc>
          <w:tcPr>
            <w:tcW w:w="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rPr>
              <w:t>27,855</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93"/>
              <w:spacing w:after="0"/>
              <w:rPr>
                <w:sz w:val="20"/>
                <w:szCs w:val="20"/>
                <w:color w:val="auto"/>
              </w:rPr>
            </w:pPr>
            <w:r>
              <w:rPr>
                <w:rFonts w:ascii="Arial" w:cs="Arial" w:eastAsia="Arial" w:hAnsi="Arial"/>
                <w:sz w:val="18"/>
                <w:szCs w:val="18"/>
                <w:color w:val="auto"/>
                <w:w w:val="99"/>
              </w:rPr>
              <w:t>4,375,005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3"/>
              <w:spacing w:after="0"/>
              <w:rPr>
                <w:sz w:val="20"/>
                <w:szCs w:val="20"/>
                <w:color w:val="auto"/>
              </w:rPr>
            </w:pPr>
            <w:r>
              <w:rPr>
                <w:rFonts w:ascii="Arial" w:cs="Arial" w:eastAsia="Arial" w:hAnsi="Arial"/>
                <w:sz w:val="18"/>
                <w:szCs w:val="18"/>
                <w:color w:val="auto"/>
              </w:rPr>
              <w:t>(43,164)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075"/>
              <w:spacing w:after="0"/>
              <w:rPr>
                <w:sz w:val="20"/>
                <w:szCs w:val="20"/>
                <w:color w:val="auto"/>
              </w:rPr>
            </w:pPr>
            <w:r>
              <w:rPr>
                <w:rFonts w:ascii="Arial" w:cs="Arial" w:eastAsia="Arial" w:hAnsi="Arial"/>
                <w:sz w:val="18"/>
                <w:szCs w:val="18"/>
                <w:color w:val="auto"/>
              </w:rPr>
              <w:t>4,418,169</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 N/M</w:t>
            </w: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 Non meaningful</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94"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w:t>
      </w:r>
    </w:p>
    <w:p>
      <w:pPr>
        <w:spacing w:after="0" w:line="84"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Company recorded approximately $3,748,000 as other income, which was the fair value of the ReNeuron shares net of legal fees and the value of an estimated 104,000 shares that will be transferred to NeuroSpheres Ltd., an Alberta corporation from which StemCells has licensed some of the patent rights that are the subject of the agreement with ReNeuron. See Note 2 for more details on this transaction.</w:t>
      </w:r>
    </w:p>
    <w:p>
      <w:pPr>
        <w:spacing w:after="0" w:line="7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Interest income for the nine months ended September 30, 2005 and 2004 was approximately $790,000 and $159,000 respectively. The increase in interest income in 2005 was primarily attributable to a higher average investment balance. Interest expense for the nine months ended September 30, 2005 and 2004 was approximately $134,000 and $145,000 respectively. The decrease in interest expense in 2005 was attributable to lower outstanding debt and capital lease balances in 2005 compared to 2004. Decrease in other expense from approximately $57,000 in 2004 to $29,000 in 2005 was primarily attributable to a loss on write-off of obsolete equipment of $51,000 in 2004 as compared to $1,000 in 2005. Included in other expenses are state franchise tax paid. For the nine months ended September 30, 2005 and 2004, we paid approximately $28,000 and $6,000 in state franchise tax. The increase in franchise tax paid to the State of Delaware was a result of a higher total value of assets in 2005 as compared to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had cash and cash equivalents totaling $34,971,000 at September 30, 2005. Cash equivalents are invested in US Treasuries with maturities of less than 90 days. The table below summarizes our cash flows for the respective nine month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920" w:type="dxa"/>
            <w:vAlign w:val="bottom"/>
            <w:gridSpan w:val="2"/>
          </w:tcPr>
          <w:p>
            <w:pPr>
              <w:jc w:val="right"/>
              <w:ind w:right="736"/>
              <w:spacing w:after="0"/>
              <w:rPr>
                <w:sz w:val="20"/>
                <w:szCs w:val="20"/>
                <w:color w:val="auto"/>
              </w:rPr>
            </w:pPr>
            <w:r>
              <w:rPr>
                <w:rFonts w:ascii="Arial" w:cs="Arial" w:eastAsia="Arial" w:hAnsi="Arial"/>
                <w:sz w:val="14"/>
                <w:szCs w:val="14"/>
                <w:color w:val="auto"/>
              </w:rPr>
              <w:t>Change from previous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2005</w:t>
            </w:r>
          </w:p>
        </w:tc>
        <w:tc>
          <w:tcPr>
            <w:tcW w:w="2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2004</w:t>
            </w:r>
          </w:p>
        </w:tc>
        <w:tc>
          <w:tcPr>
            <w:tcW w:w="1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56"/>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$(9,187,544)</w:t>
            </w:r>
          </w:p>
        </w:tc>
        <w:tc>
          <w:tcPr>
            <w:tcW w:w="2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 (7,826,950)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(1,360,594)</w:t>
            </w:r>
          </w:p>
        </w:tc>
        <w:tc>
          <w:tcPr>
            <w:tcW w:w="16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Pr>
          <w:p>
            <w:pPr>
              <w:jc w:val="right"/>
              <w:ind w:right="314"/>
              <w:spacing w:after="0"/>
              <w:rPr>
                <w:sz w:val="20"/>
                <w:szCs w:val="20"/>
                <w:color w:val="auto"/>
              </w:rPr>
            </w:pPr>
            <w:r>
              <w:rPr>
                <w:rFonts w:ascii="Arial" w:cs="Arial" w:eastAsia="Arial" w:hAnsi="Arial"/>
                <w:sz w:val="18"/>
                <w:szCs w:val="18"/>
                <w:color w:val="auto"/>
              </w:rPr>
              <w:t>(776,793)</w:t>
            </w:r>
          </w:p>
        </w:tc>
        <w:tc>
          <w:tcPr>
            <w:tcW w:w="2020" w:type="dxa"/>
            <w:vAlign w:val="bottom"/>
          </w:tcPr>
          <w:p>
            <w:pPr>
              <w:jc w:val="right"/>
              <w:ind w:right="554"/>
              <w:spacing w:after="0"/>
              <w:rPr>
                <w:sz w:val="20"/>
                <w:szCs w:val="20"/>
                <w:color w:val="auto"/>
              </w:rPr>
            </w:pPr>
            <w:r>
              <w:rPr>
                <w:rFonts w:ascii="Arial" w:cs="Arial" w:eastAsia="Arial" w:hAnsi="Arial"/>
                <w:sz w:val="18"/>
                <w:szCs w:val="18"/>
                <w:color w:val="auto"/>
              </w:rPr>
              <w:t>(596,194)</w:t>
            </w:r>
          </w:p>
        </w:tc>
        <w:tc>
          <w:tcPr>
            <w:tcW w:w="1280" w:type="dxa"/>
            <w:vAlign w:val="bottom"/>
          </w:tcPr>
          <w:p>
            <w:pPr>
              <w:jc w:val="right"/>
              <w:spacing w:after="0"/>
              <w:rPr>
                <w:sz w:val="20"/>
                <w:szCs w:val="20"/>
                <w:color w:val="auto"/>
              </w:rPr>
            </w:pPr>
            <w:r>
              <w:rPr>
                <w:rFonts w:ascii="Arial" w:cs="Arial" w:eastAsia="Arial" w:hAnsi="Arial"/>
                <w:sz w:val="18"/>
                <w:szCs w:val="18"/>
                <w:color w:val="auto"/>
              </w:rPr>
              <w:t>(180,599)</w:t>
            </w:r>
          </w:p>
        </w:tc>
        <w:tc>
          <w:tcPr>
            <w:tcW w:w="1640" w:type="dxa"/>
            <w:vAlign w:val="bottom"/>
          </w:tcPr>
          <w:p>
            <w:pPr>
              <w:jc w:val="right"/>
              <w:ind w:right="7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15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3,875,389</w:t>
            </w:r>
          </w:p>
        </w:tc>
        <w:tc>
          <w:tcPr>
            <w:tcW w:w="20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rPr>
              <w:t>18,482,754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(14,607,365)</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520" w:type="dxa"/>
            <w:vAlign w:val="bottom"/>
          </w:tcPr>
          <w:p>
            <w:pPr>
              <w:jc w:val="right"/>
              <w:ind w:right="314"/>
              <w:spacing w:after="0"/>
              <w:rPr>
                <w:sz w:val="20"/>
                <w:szCs w:val="20"/>
                <w:color w:val="auto"/>
              </w:rPr>
            </w:pPr>
            <w:r>
              <w:rPr>
                <w:rFonts w:ascii="Arial" w:cs="Arial" w:eastAsia="Arial" w:hAnsi="Arial"/>
                <w:sz w:val="18"/>
                <w:szCs w:val="18"/>
                <w:color w:val="auto"/>
              </w:rPr>
              <w:t>$(6,088,948)</w:t>
            </w:r>
          </w:p>
        </w:tc>
        <w:tc>
          <w:tcPr>
            <w:tcW w:w="2020" w:type="dxa"/>
            <w:vAlign w:val="bottom"/>
          </w:tcPr>
          <w:p>
            <w:pPr>
              <w:jc w:val="right"/>
              <w:ind w:right="614"/>
              <w:spacing w:after="0"/>
              <w:rPr>
                <w:sz w:val="20"/>
                <w:szCs w:val="20"/>
                <w:color w:val="auto"/>
              </w:rPr>
            </w:pPr>
            <w:r>
              <w:rPr>
                <w:rFonts w:ascii="Arial" w:cs="Arial" w:eastAsia="Arial" w:hAnsi="Arial"/>
                <w:sz w:val="18"/>
                <w:szCs w:val="18"/>
                <w:color w:val="auto"/>
              </w:rPr>
              <w:t>$10,059,610</w:t>
            </w:r>
          </w:p>
        </w:tc>
        <w:tc>
          <w:tcPr>
            <w:tcW w:w="1280" w:type="dxa"/>
            <w:vAlign w:val="bottom"/>
          </w:tcPr>
          <w:p>
            <w:pPr>
              <w:jc w:val="right"/>
              <w:spacing w:after="0"/>
              <w:rPr>
                <w:sz w:val="20"/>
                <w:szCs w:val="20"/>
                <w:color w:val="auto"/>
              </w:rPr>
            </w:pPr>
            <w:r>
              <w:rPr>
                <w:rFonts w:ascii="Arial" w:cs="Arial" w:eastAsia="Arial" w:hAnsi="Arial"/>
                <w:sz w:val="18"/>
                <w:szCs w:val="18"/>
                <w:color w:val="auto"/>
              </w:rPr>
              <w:t>$(16,148,558)</w:t>
            </w:r>
          </w:p>
        </w:tc>
        <w:tc>
          <w:tcPr>
            <w:tcW w:w="1640" w:type="dxa"/>
            <w:vAlign w:val="bottom"/>
          </w:tcPr>
          <w:p>
            <w:pPr>
              <w:jc w:val="right"/>
              <w:ind w:right="236"/>
              <w:spacing w:after="0"/>
              <w:rPr>
                <w:sz w:val="20"/>
                <w:szCs w:val="20"/>
                <w:color w:val="auto"/>
              </w:rPr>
            </w:pPr>
            <w:r>
              <w:rPr>
                <w:rFonts w:ascii="Arial" w:cs="Arial" w:eastAsia="Arial" w:hAnsi="Arial"/>
                <w:sz w:val="18"/>
                <w:szCs w:val="18"/>
                <w:color w:val="auto"/>
              </w:rPr>
              <w:t>* N/M</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Non meaningful</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used $9,188,000 and $7,827,000 of cash in operating activities for the nine months ended September 30, 2005 and 2004 respectively. The increase in cash used in operating activities in 2005 in comparison to the same period in 2004 was primarily attributable to the increase in operating expenses attributable to the costs associated with a higher head count and related recruiting fees. At September 30, 2005 we had forty-three full time employees as compared to thirty full time employees at September 30, 2004. The increase was also attributable to the additional costs incurred in moving the listing of our shares from the Nasdaq Capital Market to the Nasdaq National Market.</w:t>
      </w:r>
    </w:p>
    <w:p>
      <w:pPr>
        <w:spacing w:after="0" w:line="80"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We used $777,000 and $596,000 of cash in investing activities for the nine months ended September 30, 2005 and 2004 respectively. The increase in cash used in investing activities in 2005 in comparison to the same period in 2004 was primarily attributable to an increase in capital expenditures primarily for lab and support equipment and payments towards a licensing agreement.</w:t>
      </w:r>
    </w:p>
    <w:p>
      <w:pPr>
        <w:spacing w:after="0" w:line="7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For the nine-month period ended September 30, 2005 cash provided by financing activities was primarily attributable to the exercise of warrants. Warrant holders exercised their right to 2,138,536 shares for which, we issued net of cashless exercises, 2,022,813 shares of our common stock and received proceeds of approximately $3,753,000 (See Note 6 to the financial statements for further details on these transactions). For the same period in 2004 cash provided by financing activities was primarily attributable to the June 16, 2004 financing in which we issued 13,160,000 shares for a net amount of approximately $19,000,000.</w:t>
      </w:r>
    </w:p>
    <w:p>
      <w:pPr>
        <w:spacing w:after="0" w:line="8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On October 26, 2004, the Company entered into an agreement with institutional investors with respect to the registered direct placement of 7,500,000 shares of its common stock at a purchase price of $3.00 per share, for gross proceeds of $22,500,000. C.E. Unterberg, Towbin LLC (Unterberg) and Shoreline Pacific, LLC (Shoreline) served as placement agents for the transaction. The Company sold these shares under a shelf registration statement 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50"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of which, as of September 30, 2005, warrants to purchase 1,204,407 shares were exercised.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2005, based on past experience and current assumptions, approximately $1,000,000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9"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the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Payable in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2"/>
              </w:rPr>
              <w:t>the</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1"/>
              </w:rPr>
              <w:t>remainder</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6"/>
              </w:rPr>
              <w:t>of fiscal</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(October to</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jc w:val="center"/>
              <w:ind w:left="7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w:t>
            </w:r>
          </w:p>
        </w:tc>
        <w:tc>
          <w:tcPr>
            <w:tcW w:w="36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38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1320" w:type="dxa"/>
            <w:vAlign w:val="bottom"/>
          </w:tcPr>
          <w:p>
            <w:pPr>
              <w:jc w:val="center"/>
              <w:ind w:left="99"/>
              <w:spacing w:after="0" w:line="149" w:lineRule="exact"/>
              <w:rPr>
                <w:sz w:val="20"/>
                <w:szCs w:val="20"/>
                <w:color w:val="auto"/>
              </w:rPr>
            </w:pPr>
            <w:r>
              <w:rPr>
                <w:rFonts w:ascii="Arial" w:cs="Arial" w:eastAsia="Arial" w:hAnsi="Arial"/>
                <w:sz w:val="14"/>
                <w:szCs w:val="14"/>
                <w:color w:val="auto"/>
                <w:w w:val="92"/>
              </w:rPr>
              <w:t>2010 and</w:t>
            </w: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2005</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2006</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2007</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2009</w:t>
            </w:r>
          </w:p>
        </w:tc>
        <w:tc>
          <w:tcPr>
            <w:tcW w:w="132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2,483,745</w:t>
            </w:r>
          </w:p>
        </w:tc>
        <w:tc>
          <w:tcPr>
            <w:tcW w:w="126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$116,620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445,486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332,545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244,531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244,572</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$1,099,991</w:t>
            </w: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8"/>
              </w:rPr>
              <w:t>18,476,615</w:t>
            </w: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color w:val="auto"/>
              </w:rPr>
              <w:t>630,187</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2,831,930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3,165,162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87"/>
              </w:rPr>
              <w:t>3,469,017</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9"/>
              </w:rPr>
              <w:t>3,536,843</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4,843,476</w:t>
            </w: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8"/>
              </w:rPr>
              <w:t>20,960,360</w:t>
            </w:r>
          </w:p>
        </w:tc>
        <w:tc>
          <w:tcPr>
            <w:tcW w:w="12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8"/>
                <w:szCs w:val="18"/>
                <w:color w:val="auto"/>
              </w:rPr>
              <w:t>$746,807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3,277,416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3,497,707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87"/>
              </w:rPr>
              <w:t>3,713,548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3,781,415</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$5,943,467</w:t>
            </w:r>
          </w:p>
        </w:tc>
      </w:tr>
    </w:tbl>
    <w:p>
      <w:pPr>
        <w:spacing w:after="0" w:line="107"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have limited capital resources and we will need to raise additional capital from to time to time to sustain our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our operations, we rely on cash balances, proceeds from equity and debt offerings, proceeds from the transfer or sale of intellectual property rights, equipment, facilities or investments, and on government grants and collaborative arrangements. We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89"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collaborative research and development arrangements and license agreements.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scale back or eliminate some or all of our research and product development programs and/or our capital expenditures or to license our potential products or technologies to third parties.</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Subject to market conditions, we may seek to raise funds through the sale of our common stock at any time. On October 4, 2005, we filed a shelf registration statement providing for the sale of up to $100,000,000 of our common stock. The proposed or actual issuance of additional shares of our common stock, under the registration statement (if and when declared effective by the Securities and Exchange Commission) or otherwise, may dilute the interests of our existing stockholders and could depress the price of our common stock.</w:t>
      </w:r>
    </w:p>
    <w:p>
      <w:pPr>
        <w:spacing w:after="0" w:line="79"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July 2005, the Company entered into an agreement with ReNeuron Limited, a wholly owned subsidiary of ReNeuron Group plc, a listed UK corporation (collectively referred to as “ReNeuron”). As part of the agreement, the Company granted ReNeuron a license that allows ReNeuron to exploit its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On July 1, 2005 the Company was entitled to 3,774,493 shares of ReNeuron, representing 7.5% of its fully-diluted share capital. On August 12, 2005 ReNeuron listed its shares on the London Stock Exchange’s Alternative Investment Market (“AIM”), a market for smaller, growing companies. As provided for under the agreement, the placement and listing of additional shares by ReNeuron resulted in StemCells’ receiving an additional 5,165,000 shares. An estimated 104,000 shares of ReNeuron will be transferred to NeuroSpheres Ltd., an Alberta corporation from which StemCells has licensed some of the patent rights that are the subject of the agreement with ReNeuron.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No. of Shares at</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 price at</w:t>
            </w: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Exchange Rate at</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Market Value in</w:t>
            </w:r>
          </w:p>
        </w:tc>
        <w:tc>
          <w:tcPr>
            <w:tcW w:w="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Company/Stock</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w:t>
            </w: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USD at</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2"/>
                <w:szCs w:val="12"/>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Associated Risks</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30,2005 in GBP</w:t>
            </w:r>
          </w:p>
        </w:tc>
        <w:tc>
          <w:tcPr>
            <w:tcW w:w="1480" w:type="dxa"/>
            <w:vAlign w:val="bottom"/>
            <w:gridSpan w:val="2"/>
          </w:tcPr>
          <w:p>
            <w:pPr>
              <w:jc w:val="right"/>
              <w:ind w:right="404"/>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Symbol</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7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6"/>
              </w:rPr>
              <w:t>2005</w:t>
            </w:r>
          </w:p>
        </w:tc>
        <w:tc>
          <w:tcPr>
            <w:tcW w:w="1440" w:type="dxa"/>
            <w:vAlign w:val="bottom"/>
            <w:gridSpan w:val="2"/>
          </w:tcPr>
          <w:p>
            <w:pPr>
              <w:jc w:val="right"/>
              <w:ind w:right="44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1 GBP = USD</w:t>
            </w:r>
          </w:p>
        </w:tc>
        <w:tc>
          <w:tcPr>
            <w:tcW w:w="17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Flows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ReNeuron Group</w:t>
            </w:r>
          </w:p>
        </w:tc>
        <w:tc>
          <w:tcPr>
            <w:tcW w:w="24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AIM (AIM</w:t>
            </w: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 Lower share</w:t>
            </w:r>
          </w:p>
        </w:tc>
        <w:tc>
          <w:tcPr>
            <w:tcW w:w="220" w:type="dxa"/>
            <w:vAlign w:val="bottom"/>
          </w:tcPr>
          <w:p>
            <w:pPr>
              <w:spacing w:after="0"/>
              <w:rPr>
                <w:sz w:val="16"/>
                <w:szCs w:val="16"/>
                <w:color w:val="auto"/>
              </w:rPr>
            </w:pPr>
          </w:p>
        </w:tc>
        <w:tc>
          <w:tcPr>
            <w:tcW w:w="1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8,835,629</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ind w:right="324"/>
              <w:spacing w:after="0" w:line="195" w:lineRule="exact"/>
              <w:rPr>
                <w:sz w:val="20"/>
                <w:szCs w:val="20"/>
                <w:color w:val="auto"/>
              </w:rPr>
            </w:pPr>
            <w:r>
              <w:rPr>
                <w:rFonts w:ascii="Arial" w:cs="Arial" w:eastAsia="Arial" w:hAnsi="Arial"/>
                <w:sz w:val="18"/>
                <w:szCs w:val="18"/>
                <w:color w:val="auto"/>
              </w:rPr>
              <w:t>0.245</w:t>
            </w: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ind w:right="304"/>
              <w:spacing w:after="0" w:line="195" w:lineRule="exact"/>
              <w:rPr>
                <w:sz w:val="20"/>
                <w:szCs w:val="20"/>
                <w:color w:val="auto"/>
              </w:rPr>
            </w:pPr>
            <w:r>
              <w:rPr>
                <w:rFonts w:ascii="Arial" w:cs="Arial" w:eastAsia="Arial" w:hAnsi="Arial"/>
                <w:sz w:val="18"/>
                <w:szCs w:val="18"/>
                <w:color w:val="auto"/>
              </w:rPr>
              <w:t>1.7651</w:t>
            </w:r>
          </w:p>
        </w:tc>
        <w:tc>
          <w:tcPr>
            <w:tcW w:w="240" w:type="dxa"/>
            <w:vAlign w:val="bottom"/>
          </w:tcPr>
          <w:p>
            <w:pPr>
              <w:spacing w:after="0"/>
              <w:rPr>
                <w:sz w:val="16"/>
                <w:szCs w:val="16"/>
                <w:color w:val="auto"/>
              </w:rPr>
            </w:pPr>
          </w:p>
        </w:tc>
        <w:tc>
          <w:tcPr>
            <w:tcW w:w="1480" w:type="dxa"/>
            <w:vAlign w:val="bottom"/>
            <w:tcBorders>
              <w:top w:val="single" w:sz="8" w:color="auto"/>
            </w:tcBorders>
          </w:tcPr>
          <w:p>
            <w:pPr>
              <w:jc w:val="right"/>
              <w:ind w:right="304"/>
              <w:spacing w:after="0" w:line="195" w:lineRule="exact"/>
              <w:rPr>
                <w:sz w:val="20"/>
                <w:szCs w:val="20"/>
                <w:color w:val="auto"/>
              </w:rPr>
            </w:pPr>
            <w:r>
              <w:rPr>
                <w:rFonts w:ascii="Arial" w:cs="Arial" w:eastAsia="Arial" w:hAnsi="Arial"/>
                <w:sz w:val="18"/>
                <w:szCs w:val="18"/>
                <w:color w:val="auto"/>
              </w:rPr>
              <w:t>$3,820,963</w:t>
            </w:r>
          </w:p>
        </w:tc>
        <w:tc>
          <w:tcPr>
            <w:tcW w:w="240" w:type="dxa"/>
            <w:vAlign w:val="bottom"/>
          </w:tcPr>
          <w:p>
            <w:pPr>
              <w:spacing w:after="0"/>
              <w:rPr>
                <w:sz w:val="16"/>
                <w:szCs w:val="16"/>
                <w:color w:val="auto"/>
              </w:rPr>
            </w:pPr>
          </w:p>
        </w:tc>
        <w:tc>
          <w:tcPr>
            <w:tcW w:w="760" w:type="dxa"/>
            <w:vAlign w:val="bottom"/>
            <w:tcBorders>
              <w:top w:val="single" w:sz="8" w:color="auto"/>
            </w:tcBorders>
          </w:tcPr>
          <w:p>
            <w:pPr>
              <w:jc w:val="right"/>
              <w:ind w:right="164"/>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plc/RENE</w:t>
            </w: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is the</w:t>
            </w:r>
          </w:p>
        </w:tc>
        <w:tc>
          <w:tcPr>
            <w:tcW w:w="2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price</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London</w:t>
            </w:r>
          </w:p>
        </w:tc>
        <w:tc>
          <w:tcPr>
            <w:tcW w:w="2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 - Foreign</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currency</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8"/>
              </w:rPr>
              <w:t>Exchange’s</w:t>
            </w:r>
          </w:p>
        </w:tc>
        <w:tc>
          <w:tcPr>
            <w:tcW w:w="2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w w:val="96"/>
              </w:rPr>
              <w:t>translation</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6"/>
              </w:rPr>
              <w:t>Alternative</w:t>
            </w:r>
          </w:p>
        </w:tc>
        <w:tc>
          <w:tcPr>
            <w:tcW w:w="2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 - Liquidity</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3"/>
              </w:rPr>
              <w:t>Investment</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Market)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Bankruptcy</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not formally adopted a liquidation plan for this investment. Liquidation may be necessary in the future to meet operating cash flow requirements. Although we are not legally restricted from selling the stock, the share price is subject to change and the volume traded has been very small since the stock was listed on the AIM on August 12, 2005. The performance of ReNeuron Group plc stock since its listing does not predict its future value.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than the above, no significant changes have occurred in our quantitative and qualitative disclosures from the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 As reported in Item 9A of the Company’s Annual Report on Form 10-K for the year ended December 31, 2004, management was unable to conclude that the Company’s internal controls over financial reporting were then effective, as a result of a material weakness resulting from a lack of segregation of duties. We are continuing to evaluate and test the operating effectiveness of our internal controls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One party has opposed two of our issued European patent cases. One of those cases has been argued before the European Patent Office and the patent was confirmed in modified form; the time for appeal has not yet expired. The second case has not yet been heard. While we are confident that we will overcome the opposition, there is no guarantee that we will prevail. If we are unsuccessful in our defense of the opposed patents, all claimed rights in the opposed patents will be lost in Europe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matters submitted to a vote of the Company’s security holders during the fiscal quarter covered by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ind w:right="382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Young under Section 302 of the Sarbanes-Oxley Act of 2002</w:t>
      </w:r>
    </w:p>
    <w:p>
      <w:pPr>
        <w:spacing w:after="0" w:line="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Rodney Young Pursuant to 18 U.S.C. Section 1350, As Adopted Pursuant to Section 906 of the Sarbanes-Oxley Act of 2002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STEMCELLS,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of 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October 27, 2005</w:t>
      </w:r>
      <w:r>
        <w:rPr>
          <w:sz w:val="20"/>
          <w:szCs w:val="20"/>
          <w:color w:val="auto"/>
        </w:rPr>
        <w:tab/>
      </w:r>
      <w:r>
        <w:rPr>
          <w:rFonts w:ascii="Arial" w:cs="Arial" w:eastAsia="Arial" w:hAnsi="Arial"/>
          <w:sz w:val="16"/>
          <w:szCs w:val="16"/>
          <w:color w:val="auto"/>
        </w:rPr>
        <w:t>/s/ Rodney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1780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Rodney Young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117" w:lineRule="exact"/>
        <w:rPr>
          <w:sz w:val="20"/>
          <w:szCs w:val="20"/>
          <w:color w:val="auto"/>
        </w:rPr>
      </w:pPr>
    </w:p>
    <w:p>
      <w:pPr>
        <w:ind w:right="382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Young under Section 302 of the Sarbanes-Oxley Act of 2002</w:t>
      </w:r>
    </w:p>
    <w:p>
      <w:pPr>
        <w:spacing w:after="0" w:line="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Rodney Young Pursuant to 18 U.S.C. Section 1350, As Adopted Pursuant to Section 906 of the Sarbanes-Oxley Act of 2002</w:t>
      </w:r>
    </w:p>
    <w:p>
      <w:pPr>
        <w:sectPr>
          <w:pgSz w:w="11900" w:h="16838" w:orient="portrait"/>
          <w:cols w:equalWidth="0" w:num="1">
            <w:col w:w="11320"/>
          </w:cols>
          <w:pgMar w:left="240" w:top="41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80" w:hanging="5"/>
        <w:spacing w:after="0" w:line="264" w:lineRule="auto"/>
        <w:tabs>
          <w:tab w:leader="none" w:pos="1145" w:val="left"/>
        </w:tabs>
        <w:numPr>
          <w:ilvl w:val="1"/>
          <w:numId w:val="3"/>
        </w:numPr>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left="1040" w:right="640" w:hanging="5"/>
        <w:spacing w:after="0" w:line="342" w:lineRule="auto"/>
        <w:tabs>
          <w:tab w:leader="none" w:pos="1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Rodney Young, certify that:</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80" w:hanging="5"/>
        <w:spacing w:after="0" w:line="264" w:lineRule="auto"/>
        <w:tabs>
          <w:tab w:leader="none" w:pos="1145" w:val="left"/>
        </w:tabs>
        <w:numPr>
          <w:ilvl w:val="1"/>
          <w:numId w:val="6"/>
        </w:numPr>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 w:lineRule="exact"/>
        <w:rPr>
          <w:sz w:val="20"/>
          <w:szCs w:val="20"/>
          <w:color w:val="auto"/>
        </w:rPr>
      </w:pPr>
    </w:p>
    <w:p>
      <w:pPr>
        <w:ind w:left="1040" w:right="640" w:hanging="5"/>
        <w:spacing w:after="0" w:line="342" w:lineRule="auto"/>
        <w:tabs>
          <w:tab w:leader="none" w:pos="1285"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September 30, 2005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1120" w:right="32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September 30, 2005 as filed with the Securities and Exchange Commission on the date hereof (the “Report”), I, Rodney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1120" w:right="32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4"/>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4"/>
    </w:lvl>
    <w:lvl w:ilvl="1">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2019-12-13T21:45:58Z</dcterms:created>
  <dcterms:modified xsi:type="dcterms:W3CDTF">2019-12-13T21:45:58Z</dcterms:modified>
</cp:coreProperties>
</file>