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4, 2026, Microbot Medical Inc. (the “Company”) issued a press release announcing that it commends the American Medical Association’s efforts to protect health care professionals from ionizing radiation.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1088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Aligns with Recently Adopted Policy of the Largest U.S.-Based Medical Association to Expand Protection for Healthcare Professionals from Ionizing Radiation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LIBERTY® Endovascular Robotic System’s Capability to Reduce Radiation Exposure Appeals to Hospitals and Healthcare Providers</w:t>
      </w:r>
    </w:p>
    <w:p>
      <w:pPr>
        <w:spacing w:after="0" w:line="2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HINGHAM, Mass., March 4, 2026 </w:t>
      </w:r>
      <w:r>
        <w:rPr>
          <w:rFonts w:ascii="Times New Roman" w:cs="Times New Roman" w:eastAsia="Times New Roman" w:hAnsi="Times New Roman"/>
          <w:sz w:val="18"/>
          <w:szCs w:val="18"/>
          <w:color w:val="auto"/>
        </w:rPr>
        <w:t>-- Microbot Medical Inc. (Nasdaq: MBOT), developer and distributor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commends the American Medical Association’s (AMA) expanding efforts to protect health care professionals from ionizing radiation. In late 2025, the AMA adopted a new policy to strengthen protections for health care professionals and trainees who may face occupational radiation exposure. The policy emphasizes the importance of continued research into the health effects of cumulative exposure to ionizing radiation, the effectiveness of Personal Protection Equipment (PPE), and education and training to minimize occupational risk to physicians and to their patients.</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believes that this guidance underscores the growing need for solutions that enhance safety in interventional procedures, creating meaningful opportunities for technologies like LIBERTY. The LIBERTY System is remotely operated, enabling physicians and staff to perform procedures away from the radiation source. In the ACCESS-PVI Study, using LIBERTY demonstrated a 92% relative reduction in radiation exposure.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Prolonged exposure to radiation often has long-term effects that can lead to a host of health issues, including cancer, cardiovascular disease, reproductive health effects, and cataracts. This risk has also been cited as contributing to the staffing shortage in the endovascular space, and especially in interventional radiology, which currently ranks number two among specialties with highest physician shortages. It disproportionately affects women, who often cite radiation exposure and the physical demands of wearing lead aprons as barriers to entering or advancing in the field. The LIBERTY System’s wireless operated capabilities allow healthcare providers to position themselves away from the radiation source and operate in a seated position, reducing reliance on heavy PPE, thereby lessening musculoskeletal strain.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“Prolonged exposure to radiation and staffing shortages are rising concerns among healthcare professionals in the endovascular space,” commented Harel Gadot, CEO, President and Chairman. “We believe that these challenges strain an already overburdened health care system, impacting patient care, and widening the skills gap required to address the medical concerns. We also believe that LIBERTY can play a major role in addressing these challenges and supporting better care for both providers and their patients.”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and it is designed for precise vascular navigation while aiming to reduce radiation exposure and physical strain. The Company commenced the Limited Market Release (LMR) of the LIBERTY system in late 2025 and plans for a Full Market Release (FMR) at the Society of Interventional Radiology (SIR) conference in April 2026, allowing the Company to showcase LIBERTY with the goal to deepen market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2026-03-04T07:33:34Z</dcterms:created>
  <dcterms:modified xsi:type="dcterms:W3CDTF">2026-03-04T07:33:34Z</dcterms:modified>
</cp:coreProperties>
</file>