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9,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Braintree, MA 02184</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(Former Name or Former Address, if Changed Since Last Report)</w:t>
            </w:r>
          </w:p>
        </w:tc>
        <w:tc>
          <w:tcPr>
            <w:tcW w:w="166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9, 2023, the Board of Directors of Microbot Medical Inc. (the “Company”) authorized the reinstatement in full of the annual compensation and social and fringe benefits of each of Rachel Vaknin, the Company’s Chief Financial Officer, and Simon Sharon, the Company’s Chief Technology Officer and General Manager, effective retroactive to November 1, 2023. Such compensation and benefits were reduced in May 2023 as a result of the Company’s cost reduction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Mr. Harel Gadot, the Company’s CEO, is continuing to be subject to his 50% reduction as part of the May 2023 cost reduction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2023-11-14T15:03:12Z</dcterms:created>
  <dcterms:modified xsi:type="dcterms:W3CDTF">2023-11-14T15:03:12Z</dcterms:modified>
</cp:coreProperties>
</file>