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June 5, 2025, Microbot Medical Inc. issued a press release announcing that it has been selected for inclusion in the preliminary list of additions to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as published by FTSE Russell on Friday, May 23, 2025. The newly reconstituted indexes are expected to take effect after U.S. market close on Friday, June 27, 2025, and be part of the 2025 Russell indexes reconstitution when the U.S. market opens on Monday, June 30, 2025.</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20" w:type="dxa"/>
            <w:vAlign w:val="bottom"/>
          </w:tcPr>
          <w:p>
            <w:pPr>
              <w:spacing w:after="0"/>
              <w:rPr>
                <w:sz w:val="20"/>
                <w:szCs w:val="20"/>
                <w:color w:val="auto"/>
              </w:rPr>
            </w:pPr>
          </w:p>
        </w:tc>
        <w:tc>
          <w:tcPr>
            <w:tcW w:w="78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June 5, 2025</w:t>
            </w:r>
          </w:p>
        </w:tc>
        <w:tc>
          <w:tcPr>
            <w:tcW w:w="78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Selected for Preliminary Inclusion to Russell Microcap</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Index</w:t>
      </w:r>
    </w:p>
    <w:p>
      <w:pPr>
        <w:spacing w:after="0" w:line="14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b w:val="1"/>
          <w:bCs w:val="1"/>
          <w:color w:val="auto"/>
        </w:rPr>
        <w:t xml:space="preserve">HINGHAM, Mass., June 5,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been selected for inclusion in the preliminary list of additions to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as published by FTSE Russell on Friday, May 23, 2025. The newly reconstituted indexes are expected to take effect after U.S. market close on Friday, June 27, 2025, and be part of the 2025 Russell indexes reconstitution when the U.S. market opens on Monday, June 30, 2025.</w:t>
      </w:r>
    </w:p>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annual Russell US Indexes reconstitution captures the 4,000 largest US stocks as of Wednesday, April 30, 2025, ranking them by total market capitalization. Membership in the Russell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which remains in place for one year, means automatic inclusion in the appropriate growth and value style indexes. FTSE Russell determines membership for its Russell indexes primarily by objective, market-capitalization rankings and style attributes.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Russell indexes are widely used by investment managers and institutional investors for index funds and as benchmarks for active investment strategies. Russell’s US indexes serve as the benchmark for about $10.6 trillion in assets as of the close of June 2024. Russell indexes are part of FTSE Russell, the global index provider.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http://www.microbotmedical.com.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w:t>
      </w:r>
    </w:p>
    <w:p>
      <w:pPr>
        <w:spacing w:after="0" w:line="3"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and uncertainties, including, without limitation, confirmation of inclusion in the final list of additions to the Russel Microcap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Index, the Company’s need for and ability to obtain additional working capital to continue its transition to a 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approvals, including whether the FDA will timely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2025-06-05T07:35:59Z</dcterms:created>
  <dcterms:modified xsi:type="dcterms:W3CDTF">2025-06-05T07:35:59Z</dcterms:modified>
</cp:coreProperties>
</file>