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(To Prospectus dated July 18,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Filed pursuant to Rule 424(b)(5)</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Registration No. 333-151891</w:t>
      </w:r>
    </w:p>
    <w:p>
      <w:pPr>
        <w:spacing w:after="0" w:line="200" w:lineRule="exact"/>
        <w:rPr>
          <w:sz w:val="20"/>
          <w:szCs w:val="20"/>
          <w:color w:val="auto"/>
        </w:rPr>
      </w:pPr>
    </w:p>
    <w:p>
      <w:pPr>
        <w:sectPr>
          <w:pgSz w:w="11900" w:h="16838" w:orient="portrait"/>
          <w:cols w:equalWidth="0" w:num="2">
            <w:col w:w="8420" w:space="720"/>
            <w:col w:w="2280"/>
          </w:cols>
          <w:pgMar w:left="240" w:top="122" w:right="239" w:bottom="1440" w:gutter="0" w:footer="0" w:header="0"/>
          <w:type w:val="continuous"/>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10,000,000 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Warrants to Purchase 4,000,000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201930</wp:posOffset>
            </wp:positionV>
            <wp:extent cx="1831340" cy="353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1340"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We are offering up to 10,000,000 shares of our common stock and warrants to purchase up to 4,000,000 shares of our common stock in this offering (and the shares of common stock issuable from time to time upon exercise of these warrants). The common stock and warrants will be sold in units, with each unit consisting of one share of common stock and a warrant to purchase 0.40 shares of common stock at an exercise price of $1.50 per share of common stock. Each unit will be sold at a negotiated price of $1.25 per unit. The shares of common stock and warrants will be issued separately but can only be purchased together in this offering.</w:t>
      </w:r>
    </w:p>
    <w:p>
      <w:pPr>
        <w:spacing w:after="0" w:line="6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Units will not be issued or certificated. Our common stock is quoted on The Nasdaq Global Market under the symbol “STEM.” On October 27, 2009, the last reported sales price of our common stock on The Nasdaq Global Market was $1.42 per share.</w:t>
      </w:r>
    </w:p>
    <w:p>
      <w:pPr>
        <w:spacing w:after="0" w:line="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Investing in our securities involves a high degree of risk. Before buying any securities, you should read the discussion of material risks of investing in our common stock under the heading “Risk factors” beginning on page S-4 of this prospectus supplement.</w:t>
      </w:r>
    </w:p>
    <w:p>
      <w:pPr>
        <w:spacing w:after="0" w:line="64" w:lineRule="exact"/>
        <w:rPr>
          <w:sz w:val="20"/>
          <w:szCs w:val="20"/>
          <w:color w:val="auto"/>
        </w:rPr>
      </w:pPr>
    </w:p>
    <w:p>
      <w:pPr>
        <w:ind w:right="220"/>
        <w:spacing w:after="0" w:line="321"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5"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color w:val="auto"/>
        </w:rPr>
        <w:t>We have retained Chardan Capital Markets, LLC to act as our exclusive placement agent in connection with the arrangement of this transaction. We have agreed to pay the placement agent the placement agent fee set forth in the table below, which assumes that we sell all of the units we are offering. The placement agent is not required to arrange for the sale of any specific number of units or dollar amount but will use best efforts to arrange for the sale of all of the units.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40" w:type="dxa"/>
            <w:vAlign w:val="bottom"/>
          </w:tcPr>
          <w:p>
            <w:pPr>
              <w:jc w:val="center"/>
              <w:ind w:left="121"/>
              <w:spacing w:after="0"/>
              <w:rPr>
                <w:sz w:val="20"/>
                <w:szCs w:val="20"/>
                <w:color w:val="auto"/>
              </w:rPr>
            </w:pPr>
            <w:r>
              <w:rPr>
                <w:rFonts w:ascii="Arial" w:cs="Arial" w:eastAsia="Arial" w:hAnsi="Arial"/>
                <w:sz w:val="16"/>
                <w:szCs w:val="16"/>
                <w:b w:val="1"/>
                <w:bCs w:val="1"/>
                <w:color w:val="auto"/>
                <w:w w:val="94"/>
              </w:rPr>
              <w:t>Maximum</w:t>
            </w: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40" w:type="dxa"/>
            <w:vAlign w:val="bottom"/>
          </w:tcPr>
          <w:p>
            <w:pPr>
              <w:jc w:val="center"/>
              <w:ind w:left="121"/>
              <w:spacing w:after="0"/>
              <w:rPr>
                <w:sz w:val="20"/>
                <w:szCs w:val="20"/>
                <w:color w:val="auto"/>
              </w:rPr>
            </w:pPr>
            <w:r>
              <w:rPr>
                <w:rFonts w:ascii="Arial" w:cs="Arial" w:eastAsia="Arial" w:hAnsi="Arial"/>
                <w:sz w:val="16"/>
                <w:szCs w:val="16"/>
                <w:b w:val="1"/>
                <w:bCs w:val="1"/>
                <w:color w:val="auto"/>
                <w:w w:val="93"/>
              </w:rPr>
              <w:t>Offering</w:t>
            </w: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Per Unit</w:t>
            </w:r>
          </w:p>
        </w:tc>
        <w:tc>
          <w:tcPr>
            <w:tcW w:w="15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b w:val="1"/>
                <w:bCs w:val="1"/>
                <w:color w:val="auto"/>
                <w:w w:val="92"/>
              </w:rPr>
              <w:t>Amount</w:t>
            </w:r>
          </w:p>
        </w:tc>
      </w:tr>
      <w:tr>
        <w:trPr>
          <w:trHeight w:val="198"/>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Offering price</w:t>
            </w:r>
          </w:p>
        </w:tc>
        <w:tc>
          <w:tcPr>
            <w:tcW w:w="446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$1.25</w:t>
            </w:r>
          </w:p>
        </w:tc>
        <w:tc>
          <w:tcPr>
            <w:tcW w:w="15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12,500,000</w:t>
            </w:r>
          </w:p>
        </w:tc>
      </w:tr>
      <w:tr>
        <w:trPr>
          <w:trHeight w:val="211"/>
        </w:trPr>
        <w:tc>
          <w:tcPr>
            <w:tcW w:w="5420" w:type="dxa"/>
            <w:vAlign w:val="bottom"/>
            <w:gridSpan w:val="2"/>
          </w:tcPr>
          <w:p>
            <w:pPr>
              <w:spacing w:after="0"/>
              <w:rPr>
                <w:sz w:val="20"/>
                <w:szCs w:val="20"/>
                <w:color w:val="auto"/>
              </w:rPr>
            </w:pPr>
            <w:r>
              <w:rPr>
                <w:rFonts w:ascii="Arial" w:cs="Arial" w:eastAsia="Arial" w:hAnsi="Arial"/>
                <w:sz w:val="16"/>
                <w:szCs w:val="16"/>
                <w:color w:val="auto"/>
              </w:rPr>
              <w:t>Placement agent fees</w:t>
            </w:r>
          </w:p>
        </w:tc>
        <w:tc>
          <w:tcPr>
            <w:tcW w:w="4460" w:type="dxa"/>
            <w:vAlign w:val="bottom"/>
          </w:tcPr>
          <w:p>
            <w:pPr>
              <w:jc w:val="right"/>
              <w:ind w:right="601"/>
              <w:spacing w:after="0"/>
              <w:rPr>
                <w:sz w:val="20"/>
                <w:szCs w:val="20"/>
                <w:color w:val="auto"/>
              </w:rPr>
            </w:pPr>
            <w:r>
              <w:rPr>
                <w:rFonts w:ascii="Arial" w:cs="Arial" w:eastAsia="Arial" w:hAnsi="Arial"/>
                <w:sz w:val="16"/>
                <w:szCs w:val="16"/>
                <w:color w:val="auto"/>
              </w:rPr>
              <w:t>$0.05</w:t>
            </w:r>
          </w:p>
        </w:tc>
        <w:tc>
          <w:tcPr>
            <w:tcW w:w="1540" w:type="dxa"/>
            <w:vAlign w:val="bottom"/>
          </w:tcPr>
          <w:p>
            <w:pPr>
              <w:jc w:val="right"/>
              <w:ind w:right="241"/>
              <w:spacing w:after="0"/>
              <w:rPr>
                <w:sz w:val="20"/>
                <w:szCs w:val="20"/>
                <w:color w:val="auto"/>
              </w:rPr>
            </w:pPr>
            <w:r>
              <w:rPr>
                <w:rFonts w:ascii="Arial" w:cs="Arial" w:eastAsia="Arial" w:hAnsi="Arial"/>
                <w:sz w:val="16"/>
                <w:szCs w:val="16"/>
                <w:color w:val="auto"/>
              </w:rPr>
              <w:t>500,000</w:t>
            </w:r>
          </w:p>
        </w:tc>
      </w:tr>
      <w:tr>
        <w:trPr>
          <w:trHeight w:val="198"/>
        </w:trPr>
        <w:tc>
          <w:tcPr>
            <w:tcW w:w="20" w:type="dxa"/>
            <w:vAlign w:val="bottom"/>
          </w:tcPr>
          <w:p>
            <w:pPr>
              <w:spacing w:after="0"/>
              <w:rPr>
                <w:sz w:val="17"/>
                <w:szCs w:val="17"/>
                <w:color w:val="auto"/>
              </w:rPr>
            </w:pPr>
          </w:p>
        </w:tc>
        <w:tc>
          <w:tcPr>
            <w:tcW w:w="5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46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$1.20</w:t>
            </w:r>
          </w:p>
        </w:tc>
        <w:tc>
          <w:tcPr>
            <w:tcW w:w="154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12,000,000</w:t>
            </w:r>
          </w:p>
        </w:tc>
      </w:tr>
    </w:tbl>
    <w:p>
      <w:pPr>
        <w:spacing w:after="0" w:line="10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estimate the total expenses of this offering, excluding the placement agent fees, will be approximately $100,000. Because there is no minimum offering amount required as a condition to closing in this offering, the actual offering amount, the placement agent fees and net proceeds to us, if any, in this offering may be substantially less than the maximum offering amounts set forth above.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Chardan Capital Markets, LLC</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October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right="20"/>
        <w:spacing w:after="0" w:line="307" w:lineRule="auto"/>
        <w:rPr>
          <w:sz w:val="20"/>
          <w:szCs w:val="20"/>
          <w:color w:val="auto"/>
        </w:rPr>
      </w:pPr>
      <w:r>
        <w:rPr>
          <w:rFonts w:ascii="Arial" w:cs="Arial" w:eastAsia="Arial" w:hAnsi="Arial"/>
          <w:sz w:val="15"/>
          <w:szCs w:val="15"/>
          <w:b w:val="1"/>
          <w:bCs w:val="1"/>
          <w:color w:val="auto"/>
        </w:rPr>
        <w:t>This prospectus supplement is not complete without, and may not be utilized except in connection with, the accompanying prospectus dated July 18, 2008 and any amendments to such prospectus. This prospectus supplement provides supplemental information regarding us,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You should carefully read both this prospectus supplement and the accompanying prospectus, as well as the additional information described under ‘‘Incorporation of certain documents by reference,” before deciding to invest in the units.</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You should rely only on the information contained and incorporated by reference in this prospectus supplement and the accompanying prospectus. We have not, and the placement agent has not, authorized anyone to give you different or additional information. You should not assume that the information included or incorporated by reference in this prospectus supplement and accompanying prospectus is accurate as of any date after the respective dates of the documents containing the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2"/>
        </w:trPr>
        <w:tc>
          <w:tcPr>
            <w:tcW w:w="8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1460" w:type="dxa"/>
            <w:vAlign w:val="bottom"/>
            <w:tcBorders>
              <w:top w:val="single" w:sz="8" w:color="0000EE"/>
            </w:tcBorders>
            <w:gridSpan w:val="6"/>
          </w:tcPr>
          <w:p>
            <w:pPr>
              <w:spacing w:after="0"/>
              <w:rPr>
                <w:sz w:val="16"/>
                <w:szCs w:val="16"/>
                <w:color w:val="auto"/>
              </w:rPr>
            </w:pPr>
          </w:p>
        </w:tc>
        <w:tc>
          <w:tcPr>
            <w:tcW w:w="4760" w:type="dxa"/>
            <w:vAlign w:val="bottom"/>
            <w:gridSpan w:val="4"/>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S-4</w:t>
            </w:r>
          </w:p>
        </w:tc>
      </w:tr>
      <w:tr>
        <w:trPr>
          <w:trHeight w:val="192"/>
        </w:trPr>
        <w:tc>
          <w:tcPr>
            <w:tcW w:w="306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Note regarding forward-looking statements</w:t>
              </w:r>
            </w:hyperlink>
          </w:p>
        </w:tc>
        <w:tc>
          <w:tcPr>
            <w:tcW w:w="4020" w:type="dxa"/>
            <w:vAlign w:val="bottom"/>
            <w:gridSpan w:val="2"/>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S-12</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208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Price range of common stock</w:t>
              </w:r>
            </w:hyperlink>
          </w:p>
        </w:tc>
        <w:tc>
          <w:tcPr>
            <w:tcW w:w="5000" w:type="dxa"/>
            <w:vAlign w:val="bottom"/>
            <w:gridSpan w:val="5"/>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Dividend policy</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192"/>
        </w:trPr>
        <w:tc>
          <w:tcPr>
            <w:tcW w:w="6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Dilution</w:t>
              </w:r>
            </w:hyperlink>
          </w:p>
        </w:tc>
        <w:tc>
          <w:tcPr>
            <w:tcW w:w="540" w:type="dxa"/>
            <w:vAlign w:val="bottom"/>
            <w:tcBorders>
              <w:top w:val="single" w:sz="8" w:color="0000EE"/>
            </w:tcBorders>
            <w:gridSpan w:val="3"/>
          </w:tcPr>
          <w:p>
            <w:pPr>
              <w:spacing w:after="0"/>
              <w:rPr>
                <w:sz w:val="16"/>
                <w:szCs w:val="16"/>
                <w:color w:val="auto"/>
              </w:rPr>
            </w:pPr>
          </w:p>
        </w:tc>
        <w:tc>
          <w:tcPr>
            <w:tcW w:w="5940" w:type="dxa"/>
            <w:vAlign w:val="bottom"/>
            <w:gridSpan w:val="8"/>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S-14</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securities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S-15</w:t>
            </w:r>
          </w:p>
        </w:tc>
      </w:tr>
      <w:tr>
        <w:trPr>
          <w:trHeight w:val="192"/>
        </w:trPr>
        <w:tc>
          <w:tcPr>
            <w:tcW w:w="1720" w:type="dxa"/>
            <w:vAlign w:val="bottom"/>
            <w:tcBorders>
              <w:top w:val="single" w:sz="8" w:color="0000EE"/>
            </w:tcBorders>
            <w:gridSpan w:val="7"/>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5360" w:type="dxa"/>
            <w:vAlign w:val="bottom"/>
            <w:gridSpan w:val="6"/>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of certain documents by reference</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S-19</w:t>
            </w:r>
          </w:p>
        </w:tc>
      </w:tr>
      <w:tr>
        <w:trPr>
          <w:trHeight w:val="192"/>
        </w:trPr>
        <w:tc>
          <w:tcPr>
            <w:tcW w:w="9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matters</w:t>
              </w:r>
            </w:hyperlink>
          </w:p>
        </w:tc>
        <w:tc>
          <w:tcPr>
            <w:tcW w:w="2420" w:type="dxa"/>
            <w:vAlign w:val="bottom"/>
            <w:tcBorders>
              <w:top w:val="single" w:sz="8" w:color="0000EE"/>
            </w:tcBorders>
            <w:gridSpan w:val="8"/>
          </w:tcPr>
          <w:p>
            <w:pPr>
              <w:spacing w:after="0"/>
              <w:rPr>
                <w:sz w:val="16"/>
                <w:szCs w:val="16"/>
                <w:color w:val="auto"/>
              </w:rPr>
            </w:pPr>
          </w:p>
        </w:tc>
        <w:tc>
          <w:tcPr>
            <w:tcW w:w="3680" w:type="dxa"/>
            <w:vAlign w:val="bottom"/>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S-20</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S-20</w:t>
            </w:r>
          </w:p>
        </w:tc>
      </w:tr>
      <w:tr>
        <w:trPr>
          <w:trHeight w:val="20"/>
        </w:trPr>
        <w:tc>
          <w:tcPr>
            <w:tcW w:w="540" w:type="dxa"/>
            <w:vAlign w:val="bottom"/>
            <w:shd w:val="clear" w:color="auto" w:fill="0000EE"/>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36"/>
        </w:trPr>
        <w:tc>
          <w:tcPr>
            <w:tcW w:w="7080" w:type="dxa"/>
            <w:vAlign w:val="bottom"/>
            <w:gridSpan w:val="13"/>
          </w:tcPr>
          <w:p>
            <w:pPr>
              <w:spacing w:after="0"/>
              <w:rPr>
                <w:sz w:val="20"/>
                <w:szCs w:val="20"/>
                <w:color w:val="auto"/>
              </w:rPr>
            </w:pPr>
            <w:r>
              <w:rPr>
                <w:rFonts w:ascii="Arial" w:cs="Arial" w:eastAsia="Arial" w:hAnsi="Arial"/>
                <w:sz w:val="18"/>
                <w:szCs w:val="18"/>
                <w:b w:val="1"/>
                <w:bCs w:val="1"/>
                <w:color w:val="auto"/>
              </w:rPr>
              <w:t>Prospectus</w:t>
            </w:r>
          </w:p>
        </w:tc>
        <w:tc>
          <w:tcPr>
            <w:tcW w:w="4020" w:type="dxa"/>
            <w:vAlign w:val="bottom"/>
          </w:tcPr>
          <w:p>
            <w:pPr>
              <w:spacing w:after="0"/>
              <w:rPr>
                <w:sz w:val="24"/>
                <w:szCs w:val="24"/>
                <w:color w:val="auto"/>
              </w:rPr>
            </w:pPr>
          </w:p>
        </w:tc>
      </w:tr>
      <w:tr>
        <w:trPr>
          <w:trHeight w:val="412"/>
        </w:trPr>
        <w:tc>
          <w:tcPr>
            <w:tcW w:w="7080" w:type="dxa"/>
            <w:vAlign w:val="bottom"/>
            <w:gridSpan w:val="13"/>
          </w:tcPr>
          <w:p>
            <w:pPr>
              <w:spacing w:after="0"/>
              <w:rPr>
                <w:sz w:val="20"/>
                <w:szCs w:val="20"/>
                <w:color w:val="auto"/>
              </w:rPr>
            </w:pPr>
            <w:r>
              <w:rPr>
                <w:rFonts w:ascii="Arial" w:cs="Arial" w:eastAsia="Arial" w:hAnsi="Arial"/>
                <w:sz w:val="18"/>
                <w:szCs w:val="18"/>
                <w:color w:val="auto"/>
              </w:rPr>
              <w:t>About this Prospectus</w:t>
            </w:r>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About StemCells, Inc.</w:t>
            </w:r>
          </w:p>
        </w:tc>
        <w:tc>
          <w:tcPr>
            <w:tcW w:w="4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Risk factors</w:t>
            </w: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Forward-looking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Use of proceeds</w:t>
            </w: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Ratio of earnings to fixed charges</w:t>
            </w: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Plan of distribution</w:t>
            </w:r>
          </w:p>
        </w:tc>
        <w:tc>
          <w:tcPr>
            <w:tcW w:w="4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Common Stock</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Preferred Stock</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Warrants</w:t>
            </w:r>
          </w:p>
        </w:tc>
        <w:tc>
          <w:tcPr>
            <w:tcW w:w="4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Debt Securities</w:t>
            </w:r>
          </w:p>
        </w:tc>
        <w:tc>
          <w:tcPr>
            <w:tcW w:w="4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Where you can find more information</w:t>
            </w:r>
          </w:p>
        </w:tc>
        <w:tc>
          <w:tcPr>
            <w:tcW w:w="4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Incorporation of certain documents by reference</w:t>
            </w:r>
          </w:p>
        </w:tc>
        <w:tc>
          <w:tcPr>
            <w:tcW w:w="4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Legal matters</w:t>
            </w:r>
          </w:p>
        </w:tc>
        <w:tc>
          <w:tcPr>
            <w:tcW w:w="4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080" w:type="dxa"/>
            <w:vAlign w:val="bottom"/>
            <w:gridSpan w:val="13"/>
          </w:tcPr>
          <w:p>
            <w:pPr>
              <w:spacing w:after="0"/>
              <w:rPr>
                <w:sz w:val="20"/>
                <w:szCs w:val="20"/>
                <w:color w:val="auto"/>
              </w:rPr>
            </w:pPr>
            <w:r>
              <w:rPr>
                <w:rFonts w:ascii="Arial" w:cs="Arial" w:eastAsia="Arial" w:hAnsi="Arial"/>
                <w:sz w:val="18"/>
                <w:szCs w:val="18"/>
                <w:color w:val="auto"/>
              </w:rPr>
              <w:t>Experts</w:t>
            </w:r>
          </w:p>
        </w:tc>
        <w:tc>
          <w:tcPr>
            <w:tcW w:w="40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Unless the context requires otherwise, the words “StemCells,” “we,” “company,” “us” and “our” refer to StemCells, Inc. and our directly and indirectly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15"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61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661543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28"/>
          <w:szCs w:val="28"/>
          <w:color w:val="auto"/>
        </w:rPr>
        <w:t>Prospectus supplement summary</w:t>
      </w:r>
    </w:p>
    <w:p>
      <w:pPr>
        <w:spacing w:after="0" w:line="126" w:lineRule="exact"/>
        <w:rPr>
          <w:sz w:val="20"/>
          <w:szCs w:val="20"/>
          <w:color w:val="auto"/>
        </w:rPr>
      </w:pPr>
    </w:p>
    <w:p>
      <w:pPr>
        <w:ind w:left="180" w:right="60"/>
        <w:spacing w:after="0" w:line="317" w:lineRule="auto"/>
        <w:rPr>
          <w:sz w:val="20"/>
          <w:szCs w:val="20"/>
          <w:color w:val="auto"/>
        </w:rPr>
      </w:pPr>
      <w:r>
        <w:rPr>
          <w:rFonts w:ascii="Arial" w:cs="Arial" w:eastAsia="Arial" w:hAnsi="Arial"/>
          <w:sz w:val="15"/>
          <w:szCs w:val="15"/>
          <w:i w:val="1"/>
          <w:iCs w:val="1"/>
          <w:color w:val="auto"/>
        </w:rPr>
        <w:t>This summary highlights selected information appearing elsewhere or incorporated by reference in this prospectus supplement and accompanying prospectus and may not contain all of the information that is important to you. This prospectus supplement and the accompanying prospectus include or incorporate by reference information about the common stock and warrants that we are offering as well as information regarding our business and detailed financial data. You should read this prospectus supplement and the accompanying prospectus in their entirety, including the information incorporated by reference.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left="180"/>
        <w:spacing w:after="0" w:line="299" w:lineRule="auto"/>
        <w:rPr>
          <w:sz w:val="20"/>
          <w:szCs w:val="20"/>
          <w:color w:val="auto"/>
        </w:rPr>
      </w:pPr>
      <w:r>
        <w:rPr>
          <w:rFonts w:ascii="Arial" w:cs="Arial" w:eastAsia="Arial" w:hAnsi="Arial"/>
          <w:sz w:val="15"/>
          <w:szCs w:val="15"/>
          <w:color w:val="auto"/>
        </w:rPr>
        <w:t>We are focused on developing and commercializing cell-based technologies. Our research and development (R&amp;D) programs are primarily focused on identifying and developing potential cell-based therapeutics which can either restore or support organ function. In particular, since we relocated our corporate headquarters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2"/>
          <w:szCs w:val="12"/>
          <w:color w:val="auto"/>
        </w:rPr>
        <w:t>®</w:t>
      </w:r>
      <w:r>
        <w:rPr>
          <w:rFonts w:ascii="Arial" w:cs="Arial" w:eastAsia="Arial" w:hAnsi="Arial"/>
          <w:sz w:val="15"/>
          <w:szCs w:val="15"/>
          <w:color w:val="auto"/>
        </w:rPr>
        <w:t xml:space="preserve"> product candidate (purified human neural stem cells) is in clinical development for two indications. In January 2009, we completed a six patient Phase I clinical trial of HuCNS-SC cells in infantile and late infantile neuronal ceroid lipofuscinosis (NCL), two forms of a group of disorders often referred to as Batten disease. The data from this Phase I trial showed that the HuCNS-SC cells were well tolerated, and there was evidence that the donor cells engrafted and survived. In December 2008, the FDA approved our investigational new drug application, or IND, to initiate a Phase clinical trial of HuCNS-SC cells in a second indication, Pelizeaus-Merzbacher Disease (PMD), a fatal myelination disorder in the brain. In September 2009, we announced that we will soon initiate the PMD trial at University of California-San Francisco Children’s Hospital. We expect the PMD trial to begin enrolling patients by the end of 2009 and that the trial will take 12-18 months to complete. In addition, our HuCNS-SC cells are in preclinical development for spinal cord injury and retinal disorders. In our Liver Program, we are in preclinical development with our human liver engrafting cells.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80" w:right="100"/>
        <w:spacing w:after="0" w:line="251" w:lineRule="auto"/>
        <w:rPr>
          <w:sz w:val="20"/>
          <w:szCs w:val="20"/>
          <w:color w:val="auto"/>
        </w:rPr>
      </w:pPr>
      <w:r>
        <w:rPr>
          <w:rFonts w:ascii="Arial" w:cs="Arial" w:eastAsia="Arial" w:hAnsi="Arial"/>
          <w:sz w:val="18"/>
          <w:szCs w:val="18"/>
          <w:color w:val="auto"/>
        </w:rPr>
        <w:t>In October 2009, we announced new preclinical data showing that our human neural stem cells protect cone photoreceptors (cones) in the eye from progressive degeneration and preserve visual function. Cones are light sensing cells that are highly concentrated within the macula of the human eye, and the ability to protect these cells may suggest an approach to treating age-related macular degeneration (AMD), the leading cause of vision loss and blindness in people over the age of 55.</w:t>
      </w:r>
    </w:p>
    <w:p>
      <w:pPr>
        <w:spacing w:after="0" w:line="87" w:lineRule="exact"/>
        <w:rPr>
          <w:sz w:val="20"/>
          <w:szCs w:val="20"/>
          <w:color w:val="auto"/>
        </w:rPr>
      </w:pPr>
    </w:p>
    <w:p>
      <w:pPr>
        <w:ind w:left="180" w:right="240"/>
        <w:spacing w:after="0" w:line="254" w:lineRule="auto"/>
        <w:rPr>
          <w:sz w:val="20"/>
          <w:szCs w:val="20"/>
          <w:color w:val="auto"/>
        </w:rPr>
      </w:pPr>
      <w:r>
        <w:rPr>
          <w:rFonts w:ascii="Arial" w:cs="Arial" w:eastAsia="Arial" w:hAnsi="Arial"/>
          <w:sz w:val="18"/>
          <w:szCs w:val="18"/>
          <w:color w:val="auto"/>
        </w:rPr>
        <w:t>In September 2009, we announced the publication of preclinical data demonstrating for the first time that transplantation of our proprietary, purified human neural stem cells delays the loss of motor function in a mouse model of infantile neuronal ceroid lipofuscinosis (NCL). NCL, commonly referred to as Batten disease, is a fatal neurodegenerative disorder in children.</w:t>
      </w:r>
    </w:p>
    <w:p>
      <w:pPr>
        <w:spacing w:after="0" w:line="84" w:lineRule="exact"/>
        <w:rPr>
          <w:sz w:val="20"/>
          <w:szCs w:val="20"/>
          <w:color w:val="auto"/>
        </w:rPr>
      </w:pPr>
    </w:p>
    <w:p>
      <w:pPr>
        <w:ind w:left="180"/>
        <w:spacing w:after="0" w:line="271" w:lineRule="auto"/>
        <w:rPr>
          <w:sz w:val="20"/>
          <w:szCs w:val="20"/>
          <w:color w:val="auto"/>
        </w:rPr>
      </w:pPr>
      <w:r>
        <w:rPr>
          <w:rFonts w:ascii="Arial" w:cs="Arial" w:eastAsia="Arial" w:hAnsi="Arial"/>
          <w:sz w:val="17"/>
          <w:szCs w:val="17"/>
          <w:color w:val="auto"/>
        </w:rPr>
        <w:t>In September 2009, we announced that we will initiate with the University of California, San Francisco (UCSF) Children’s Hospital a Phase I clinical trial to evaluate the therapeutic potential of StemCells’ proprietary HuCNS-SC</w:t>
      </w:r>
      <w:r>
        <w:rPr>
          <w:rFonts w:ascii="Arial" w:cs="Arial" w:eastAsia="Arial" w:hAnsi="Arial"/>
          <w:sz w:val="13"/>
          <w:szCs w:val="13"/>
          <w:color w:val="auto"/>
        </w:rPr>
        <w:t>®</w:t>
      </w:r>
      <w:r>
        <w:rPr>
          <w:rFonts w:ascii="Arial" w:cs="Arial" w:eastAsia="Arial" w:hAnsi="Arial"/>
          <w:sz w:val="17"/>
          <w:szCs w:val="17"/>
          <w:color w:val="auto"/>
        </w:rPr>
        <w:t xml:space="preserve"> product candidate (purified human neural stem cells) to treat Pelizaeus-Merzbacher Disease (PMD), a myelination disorder that primarily affects infants and young children. In this trial, patients with a fatal form of PMD will be transplanted with our HuCNS-SC cells to evaluate safety and to explore the ability of the cells to myelinate the patients’ nerve axons.</w:t>
      </w:r>
    </w:p>
    <w:p>
      <w:pPr>
        <w:spacing w:after="0" w:line="70" w:lineRule="exact"/>
        <w:rPr>
          <w:sz w:val="20"/>
          <w:szCs w:val="20"/>
          <w:color w:val="auto"/>
        </w:rPr>
      </w:pPr>
    </w:p>
    <w:p>
      <w:pPr>
        <w:ind w:left="180" w:right="20"/>
        <w:spacing w:after="0" w:line="251" w:lineRule="auto"/>
        <w:rPr>
          <w:sz w:val="20"/>
          <w:szCs w:val="20"/>
          <w:color w:val="auto"/>
        </w:rPr>
      </w:pPr>
      <w:r>
        <w:rPr>
          <w:rFonts w:ascii="Arial" w:cs="Arial" w:eastAsia="Arial" w:hAnsi="Arial"/>
          <w:sz w:val="18"/>
          <w:szCs w:val="18"/>
          <w:color w:val="auto"/>
        </w:rPr>
        <w:t>In June 2009 and July 2009, we sold a total of 1,830,000 shares of common stock under a sales agreement with Cantor Fitzgerald &amp; Co. These shares were sold at an average price of approximately $1.80 per share for gross proceeds of approximately $3,291,000. Under the terms of the agreement, up to $30,000,000 wort of shares may be sold from time to time under a shelf registration statement and Cantor Fitzgerald &amp; Co. is paid compensation equal to 3.0% of the gross proceeds of such sales.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2009, we had cash, cash equivalents and marketable debt securities of approximately $33.2 million.</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CORPORATE INFORMATION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were incorporated in Delaware. Our principal executive offices are located at 3155 Porter Drive, Palo Alto, California 94304, and our telephone number is</w:t>
      </w:r>
    </w:p>
    <w:p>
      <w:pPr>
        <w:spacing w:after="0" w:line="51" w:lineRule="exact"/>
        <w:rPr>
          <w:sz w:val="20"/>
          <w:szCs w:val="20"/>
          <w:color w:val="auto"/>
        </w:rPr>
      </w:pPr>
    </w:p>
    <w:p>
      <w:pPr>
        <w:ind w:left="5600" w:right="3920" w:hanging="5422"/>
        <w:spacing w:after="0" w:line="664" w:lineRule="auto"/>
        <w:tabs>
          <w:tab w:leader="none" w:pos="612" w:val="left"/>
        </w:tabs>
        <w:numPr>
          <w:ilvl w:val="0"/>
          <w:numId w:val="1"/>
        </w:numPr>
        <w:rPr>
          <w:rFonts w:ascii="Arial" w:cs="Arial" w:eastAsia="Arial" w:hAnsi="Arial"/>
          <w:sz w:val="18"/>
          <w:szCs w:val="18"/>
          <w:color w:val="auto"/>
        </w:rPr>
      </w:pPr>
      <w:r>
        <w:rPr>
          <w:rFonts w:ascii="Arial" w:cs="Arial" w:eastAsia="Arial" w:hAnsi="Arial"/>
          <w:sz w:val="18"/>
          <w:szCs w:val="18"/>
          <w:color w:val="auto"/>
        </w:rPr>
        <w:t>475-3100. Our website is located at www.stemcellsinc.com. We have not incorporated by reference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58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5588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spacing w:after="0" w:line="264" w:lineRule="auto"/>
        <w:rPr>
          <w:sz w:val="20"/>
          <w:szCs w:val="20"/>
          <w:color w:val="auto"/>
        </w:rPr>
      </w:pPr>
      <w:r>
        <w:rPr>
          <w:rFonts w:ascii="Arial" w:cs="Arial" w:eastAsia="Arial" w:hAnsi="Arial"/>
          <w:sz w:val="18"/>
          <w:szCs w:val="18"/>
          <w:color w:val="auto"/>
        </w:rPr>
        <w:t>into this prospectus supplement or the accompanying prospectus the information in, or that can be accessed through, our website, and you should not consider it to be a part of this prospectus supplement or the accompanying prospectus.</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60"/>
          </w:cols>
          <w:pgMar w:left="240" w:top="413"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4834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834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26"/>
          <w:szCs w:val="26"/>
          <w:color w:val="auto"/>
        </w:rPr>
        <w:t>The offering</w:t>
      </w:r>
    </w:p>
    <w:p>
      <w:pPr>
        <w:sectPr>
          <w:pgSz w:w="11900" w:h="16838" w:orient="portrait"/>
          <w:cols w:equalWidth="0" w:num="1">
            <w:col w:w="11500"/>
          </w:cols>
          <w:pgMar w:left="240" w:top="413" w:right="159" w:bottom="1440" w:gutter="0" w:footer="0" w:header="0"/>
        </w:sect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4100"/>
        <w:spacing w:after="0"/>
        <w:rPr>
          <w:sz w:val="20"/>
          <w:szCs w:val="20"/>
          <w:color w:val="auto"/>
        </w:rPr>
      </w:pPr>
      <w:r>
        <w:rPr>
          <w:rFonts w:ascii="Arial" w:cs="Arial" w:eastAsia="Arial" w:hAnsi="Arial"/>
          <w:sz w:val="15"/>
          <w:szCs w:val="15"/>
          <w:color w:val="auto"/>
        </w:rPr>
        <w:t>10,000,000 shares</w:t>
      </w:r>
    </w:p>
    <w:p>
      <w:pPr>
        <w:spacing w:after="0" w:line="200"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118,349,587 shares</w:t>
      </w:r>
    </w:p>
    <w:p>
      <w:pPr>
        <w:spacing w:after="0" w:line="200"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Warrants we are offering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Warrants to purchase 4,000,000 shares of common stock will be offered in this offering. The warrants will be exercisable during the period commencin six months after the date of original issuance and ending five years from the date the warrants become exercisable at an exercise price of $1.50 per share of common stock. This prospectus supplement also relates to the offering of the shares of common stock issuable upon exercise of the warrants.</w:t>
      </w:r>
    </w:p>
    <w:p>
      <w:pPr>
        <w:spacing w:after="0" w:line="153"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product development and capital expenditures, as well as acquisitions and other strategic purposes. See “Use of proceeds.”</w:t>
      </w:r>
    </w:p>
    <w:p>
      <w:pPr>
        <w:spacing w:after="0" w:line="192"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STEM</w:t>
      </w:r>
    </w:p>
    <w:p>
      <w:pPr>
        <w:spacing w:after="0" w:line="145"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108,349,587 shares outstanding as of October 27, 2009 and excludes:</w:t>
      </w:r>
    </w:p>
    <w:p>
      <w:pPr>
        <w:spacing w:after="0" w:line="74" w:lineRule="exact"/>
        <w:rPr>
          <w:sz w:val="20"/>
          <w:szCs w:val="20"/>
          <w:color w:val="auto"/>
        </w:rPr>
      </w:pPr>
    </w:p>
    <w:p>
      <w:pPr>
        <w:ind w:left="820" w:right="360" w:hanging="341"/>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9,293,703 shares of our common stock subject to options outstanding as of September 30, 2009 having a weighted average exercise price of $2.28 per share;</w:t>
      </w:r>
    </w:p>
    <w:p>
      <w:pPr>
        <w:spacing w:after="0" w:line="87" w:lineRule="exact"/>
        <w:rPr>
          <w:rFonts w:ascii="Arial" w:cs="Arial" w:eastAsia="Arial" w:hAnsi="Arial"/>
          <w:sz w:val="18"/>
          <w:szCs w:val="18"/>
          <w:color w:val="auto"/>
        </w:rPr>
      </w:pPr>
    </w:p>
    <w:p>
      <w:pPr>
        <w:ind w:left="820" w:right="320" w:hanging="341"/>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2,367,901 shares of our common stock subject to outstanding restricted stock units as of September 30, 2009 having a weighted average grant date fair value of $1.50;</w:t>
      </w:r>
    </w:p>
    <w:p>
      <w:pPr>
        <w:spacing w:after="0" w:line="87" w:lineRule="exact"/>
        <w:rPr>
          <w:rFonts w:ascii="Arial" w:cs="Arial" w:eastAsia="Arial" w:hAnsi="Arial"/>
          <w:sz w:val="18"/>
          <w:szCs w:val="18"/>
          <w:color w:val="auto"/>
        </w:rPr>
      </w:pPr>
    </w:p>
    <w:p>
      <w:pPr>
        <w:ind w:left="820" w:right="600" w:hanging="341"/>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5,774,422 shares of our common stock that have been reserved for issuance in connection with future grants under our stock option plans as of September 30, 2009;</w:t>
      </w:r>
    </w:p>
    <w:p>
      <w:pPr>
        <w:spacing w:after="0" w:line="87" w:lineRule="exact"/>
        <w:rPr>
          <w:rFonts w:ascii="Arial" w:cs="Arial" w:eastAsia="Arial" w:hAnsi="Arial"/>
          <w:sz w:val="18"/>
          <w:szCs w:val="18"/>
          <w:color w:val="auto"/>
        </w:rPr>
      </w:pPr>
    </w:p>
    <w:p>
      <w:pPr>
        <w:ind w:left="820" w:right="680" w:hanging="341"/>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10,344,828 shares of our common stock that have been reserved for issuance upon exercise of outstanding warrants as of September 30, 2009 having a weighted average exercise price of $2.30 per share; and</w:t>
      </w:r>
    </w:p>
    <w:p>
      <w:pPr>
        <w:spacing w:after="0" w:line="87" w:lineRule="exact"/>
        <w:rPr>
          <w:rFonts w:ascii="Arial" w:cs="Arial" w:eastAsia="Arial" w:hAnsi="Arial"/>
          <w:sz w:val="18"/>
          <w:szCs w:val="18"/>
          <w:color w:val="auto"/>
        </w:rPr>
      </w:pPr>
    </w:p>
    <w:p>
      <w:pPr>
        <w:ind w:left="820" w:hanging="34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warrants offered hereby.</w:t>
      </w: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Risk factors</w:t>
      </w:r>
    </w:p>
    <w:p>
      <w:pPr>
        <w:spacing w:after="0" w:line="12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Investing in our common stock and warrants involves a high degree of risk. In addition to the risks related to our business set forth in the accompanying prospectus and the other information included and incorporated by reference in this prospectus supplement and accompanying prospectus, you should carefully consider the risks described below before purchasing our common stock and warrants. If any of the following risks actually occurs, our business, results of operations and financial condition will likely suffer. As a result, the trading price of our common stock may decline, and you might lose part or all of your investment.</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74" w:lineRule="exact"/>
        <w:rPr>
          <w:sz w:val="20"/>
          <w:szCs w:val="20"/>
          <w:color w:val="auto"/>
        </w:rPr>
      </w:pPr>
    </w:p>
    <w:p>
      <w:pPr>
        <w:ind w:right="20" w:firstLine="211"/>
        <w:spacing w:after="0" w:line="248" w:lineRule="auto"/>
        <w:rPr>
          <w:sz w:val="20"/>
          <w:szCs w:val="20"/>
          <w:color w:val="auto"/>
        </w:rPr>
      </w:pPr>
      <w:r>
        <w:rPr>
          <w:rFonts w:ascii="Arial" w:cs="Arial" w:eastAsia="Arial" w:hAnsi="Arial"/>
          <w:sz w:val="18"/>
          <w:szCs w:val="18"/>
          <w:color w:val="auto"/>
        </w:rPr>
        <w:t>At present our ability to progress as a company is significantly dependent on a single therapeutic product candidate, our HuCNS-SC cells (purified human neural stem cells), and on early stage clinical trials. Any clinical, regulatory or other development that significantly delays or prevents us from completing any of our trials, any material safety issue or adverse side effect to any study participant in any of these trials, or the failure of these trials to show the results expected would likely depress our stock price significantly and could prevent us from raising the substantial additional capital we will need to further develop our cellular technologies. Moreover, any material adverse occurrence in our first clinical trials could substantially impair our ability to initiate clinical trials to test our HuCNS-SC cells in other potential indications. This, in turn, could adversely impact our ability to raise additional capital and pursue our planned research and development efforts in our central nervous system (CNS) and liver therapeutic programs and in our programs to develop non-therapeutic applications for our cell technologies.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capital resources and we may not obtain the significant additional capital needed to sustain our research and development efforts.</w:t>
      </w:r>
    </w:p>
    <w:p>
      <w:pPr>
        <w:spacing w:after="0" w:line="145" w:lineRule="exact"/>
        <w:rPr>
          <w:sz w:val="20"/>
          <w:szCs w:val="20"/>
          <w:color w:val="auto"/>
        </w:rPr>
      </w:pPr>
    </w:p>
    <w:p>
      <w:pPr>
        <w:ind w:right="80" w:firstLine="217"/>
        <w:spacing w:after="0" w:line="264" w:lineRule="auto"/>
        <w:rPr>
          <w:sz w:val="20"/>
          <w:szCs w:val="20"/>
          <w:color w:val="auto"/>
        </w:rPr>
      </w:pPr>
      <w:r>
        <w:rPr>
          <w:rFonts w:ascii="Arial" w:cs="Arial" w:eastAsia="Arial" w:hAnsi="Arial"/>
          <w:sz w:val="17"/>
          <w:szCs w:val="17"/>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In addition, we will require additional capital resources to continue to develop and grow our operations related to developing cell-based research tools and any other non-therapeutic applications of our cell technologies.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79" w:lineRule="exact"/>
        <w:rPr>
          <w:sz w:val="20"/>
          <w:szCs w:val="20"/>
          <w:color w:val="auto"/>
        </w:rPr>
      </w:pPr>
    </w:p>
    <w:p>
      <w:pPr>
        <w:ind w:right="60" w:firstLine="217"/>
        <w:spacing w:after="0" w:line="264" w:lineRule="auto"/>
        <w:rPr>
          <w:sz w:val="20"/>
          <w:szCs w:val="20"/>
          <w:color w:val="auto"/>
        </w:rPr>
      </w:pPr>
      <w:r>
        <w:rPr>
          <w:rFonts w:ascii="Arial" w:cs="Arial" w:eastAsia="Arial" w:hAnsi="Arial"/>
          <w:sz w:val="17"/>
          <w:szCs w:val="17"/>
          <w:color w:val="auto"/>
        </w:rPr>
        <w:t>We intend to pursue opportunities for additional fundraising in the future through equity or debt financings, licensing of our intellectual property,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and the advancement of our programs to develop non-therapeutic applications of our cell technologies.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1" w:lineRule="exact"/>
        <w:rPr>
          <w:sz w:val="20"/>
          <w:szCs w:val="20"/>
          <w:color w:val="auto"/>
        </w:rPr>
      </w:pPr>
    </w:p>
    <w:p>
      <w:pPr>
        <w:ind w:right="40" w:firstLine="217"/>
        <w:spacing w:after="0" w:line="308" w:lineRule="auto"/>
        <w:rPr>
          <w:sz w:val="20"/>
          <w:szCs w:val="20"/>
          <w:color w:val="auto"/>
        </w:rPr>
      </w:pPr>
      <w:r>
        <w:rPr>
          <w:rFonts w:ascii="Arial" w:cs="Arial" w:eastAsia="Arial" w:hAnsi="Arial"/>
          <w:sz w:val="15"/>
          <w:szCs w:val="15"/>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Our programs to develop cell-based research tools are also focused on cell technologies and products supporting cellular research, all of which are novel to some degree. Like biological products in general, stem cell technologies, including non-therapeutic applications, are challenging to manufacture and control. These challenges may prevent us from developing and commercializing products on a timely or profitable basis or at all.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technology is at an early stage of discovery and development, and we may fail to develop any commercially acceptable or profitable products.</w:t>
      </w:r>
    </w:p>
    <w:p>
      <w:pPr>
        <w:spacing w:after="0" w:line="145" w:lineRule="exact"/>
        <w:rPr>
          <w:sz w:val="20"/>
          <w:szCs w:val="20"/>
          <w:color w:val="auto"/>
        </w:rPr>
      </w:pPr>
    </w:p>
    <w:p>
      <w:pPr>
        <w:ind w:firstLine="217"/>
        <w:spacing w:after="0" w:line="265"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we completed at Oregon Health &amp; Science University (OHSU), we have had no experience conducting human clinical trials. We expect that none of our cell-based therapeutic product candidates will be commercially available for several years, if at all.</w:t>
      </w:r>
    </w:p>
    <w:p>
      <w:pPr>
        <w:spacing w:after="0" w:line="77" w:lineRule="exact"/>
        <w:rPr>
          <w:sz w:val="20"/>
          <w:szCs w:val="20"/>
          <w:color w:val="auto"/>
        </w:rPr>
      </w:pPr>
    </w:p>
    <w:p>
      <w:pPr>
        <w:ind w:right="720" w:firstLine="217"/>
        <w:spacing w:after="0" w:line="264" w:lineRule="auto"/>
        <w:rPr>
          <w:sz w:val="20"/>
          <w:szCs w:val="20"/>
          <w:color w:val="auto"/>
        </w:rPr>
      </w:pPr>
      <w:r>
        <w:rPr>
          <w:rFonts w:ascii="Arial" w:cs="Arial" w:eastAsia="Arial" w:hAnsi="Arial"/>
          <w:sz w:val="18"/>
          <w:szCs w:val="18"/>
          <w:color w:val="auto"/>
        </w:rPr>
        <w:t>While the FDA has approved our IND to initiate a Phase I clinical trial for PMD, there can be no assurance that this clinical trial will be initiated, be completed or result in a successful outcome.</w:t>
      </w:r>
    </w:p>
    <w:p>
      <w:pPr>
        <w:spacing w:after="0" w:line="74" w:lineRule="exact"/>
        <w:rPr>
          <w:sz w:val="20"/>
          <w:szCs w:val="20"/>
          <w:color w:val="auto"/>
        </w:rPr>
      </w:pPr>
    </w:p>
    <w:p>
      <w:pPr>
        <w:jc w:val="both"/>
        <w:ind w:right="40" w:firstLine="217"/>
        <w:spacing w:after="0" w:line="254" w:lineRule="auto"/>
        <w:rPr>
          <w:sz w:val="20"/>
          <w:szCs w:val="20"/>
          <w:color w:val="auto"/>
        </w:rPr>
      </w:pPr>
      <w:r>
        <w:rPr>
          <w:rFonts w:ascii="Arial" w:cs="Arial" w:eastAsia="Arial" w:hAnsi="Arial"/>
          <w:sz w:val="18"/>
          <w:szCs w:val="18"/>
          <w:color w:val="auto"/>
        </w:rPr>
        <w:t>There can be no assurance that our Phase I clinical trial of our proprietary HuCNS-SC product candidate in NCL will result in a successful outcome. We may elect to delay or discontinue other studies or clinical trials based on unfavorable results. Any product developed from, or based on, cellular technologies may fail to:</w:t>
      </w:r>
    </w:p>
    <w:p>
      <w:pPr>
        <w:spacing w:after="0" w:line="84" w:lineRule="exact"/>
        <w:rPr>
          <w:sz w:val="20"/>
          <w:szCs w:val="20"/>
          <w:color w:val="auto"/>
        </w:rPr>
      </w:pPr>
    </w:p>
    <w:p>
      <w:pPr>
        <w:ind w:left="540" w:hanging="42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1" w:lineRule="exact"/>
        <w:rPr>
          <w:sz w:val="20"/>
          <w:szCs w:val="20"/>
          <w:color w:val="auto"/>
        </w:rPr>
      </w:pPr>
    </w:p>
    <w:p>
      <w:pPr>
        <w:ind w:right="520" w:firstLine="220"/>
        <w:spacing w:after="0" w:line="264" w:lineRule="auto"/>
        <w:rPr>
          <w:sz w:val="20"/>
          <w:szCs w:val="20"/>
          <w:color w:val="auto"/>
        </w:rPr>
      </w:pPr>
      <w:r>
        <w:rPr>
          <w:rFonts w:ascii="Arial" w:cs="Arial" w:eastAsia="Arial" w:hAnsi="Arial"/>
          <w:sz w:val="18"/>
          <w:szCs w:val="18"/>
          <w:color w:val="auto"/>
        </w:rPr>
        <w:t>In addition, our planned therapeutic products may cause unanticipated or undesirable side effects. Results of preclinical research in animals may not be indicative of future clinical results in humans.</w:t>
      </w:r>
    </w:p>
    <w:p>
      <w:pPr>
        <w:spacing w:after="0" w:line="74" w:lineRule="exact"/>
        <w:rPr>
          <w:sz w:val="20"/>
          <w:szCs w:val="20"/>
          <w:color w:val="auto"/>
        </w:rPr>
      </w:pPr>
    </w:p>
    <w:p>
      <w:pPr>
        <w:jc w:val="both"/>
        <w:ind w:right="280" w:firstLine="220"/>
        <w:spacing w:after="0" w:line="271" w:lineRule="auto"/>
        <w:rPr>
          <w:sz w:val="20"/>
          <w:szCs w:val="20"/>
          <w:color w:val="auto"/>
        </w:rPr>
      </w:pPr>
      <w:r>
        <w:rPr>
          <w:rFonts w:ascii="Arial" w:cs="Arial" w:eastAsia="Arial" w:hAnsi="Arial"/>
          <w:sz w:val="17"/>
          <w:szCs w:val="17"/>
          <w:color w:val="auto"/>
        </w:rPr>
        <w:t>Ultimately if regulatory authorities do not approve our products or if we fail to maintain regulatory compliance, we would be unable to commercialize our therapeutic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70" w:lineRule="exact"/>
        <w:rPr>
          <w:sz w:val="20"/>
          <w:szCs w:val="20"/>
          <w:color w:val="auto"/>
        </w:rPr>
      </w:pPr>
    </w:p>
    <w:p>
      <w:pPr>
        <w:ind w:firstLine="220"/>
        <w:spacing w:after="0" w:line="268" w:lineRule="auto"/>
        <w:rPr>
          <w:sz w:val="20"/>
          <w:szCs w:val="20"/>
          <w:color w:val="auto"/>
        </w:rPr>
      </w:pPr>
      <w:r>
        <w:rPr>
          <w:rFonts w:ascii="Arial" w:cs="Arial" w:eastAsia="Arial" w:hAnsi="Arial"/>
          <w:sz w:val="17"/>
          <w:szCs w:val="17"/>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was used with our therapeutic product candidate in our Phase I clinical trial for NCL, and is included in the trial protocol for our planned PMD trial.</w:t>
      </w:r>
    </w:p>
    <w:p>
      <w:pPr>
        <w:spacing w:after="0" w:line="73" w:lineRule="exact"/>
        <w:rPr>
          <w:sz w:val="20"/>
          <w:szCs w:val="20"/>
          <w:color w:val="auto"/>
        </w:rPr>
      </w:pPr>
    </w:p>
    <w:p>
      <w:pPr>
        <w:ind w:right="120" w:firstLine="211"/>
        <w:spacing w:after="0" w:line="254" w:lineRule="auto"/>
        <w:rPr>
          <w:sz w:val="20"/>
          <w:szCs w:val="20"/>
          <w:color w:val="auto"/>
        </w:rPr>
      </w:pPr>
      <w:r>
        <w:rPr>
          <w:rFonts w:ascii="Arial" w:cs="Arial" w:eastAsia="Arial" w:hAnsi="Arial"/>
          <w:sz w:val="18"/>
          <w:szCs w:val="18"/>
          <w:color w:val="auto"/>
        </w:rPr>
        <w:t>As for our cell-based research tools, our products are still largely under development or newly marketed. Sales of SC Proven media by our subsidiaries of Stem Cell Sciences Plc (SCS) have been limited, and there can be no assurance that these sales will increase. Competitive products exist and market acceptance of our products is uncertain.</w:t>
      </w:r>
    </w:p>
    <w:p>
      <w:pPr>
        <w:spacing w:after="0" w:line="8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 and Pelizeaus-Merzbacher Disease (PMD).</w:t>
      </w:r>
    </w:p>
    <w:p>
      <w:pPr>
        <w:spacing w:after="0" w:line="74" w:lineRule="exact"/>
        <w:rPr>
          <w:sz w:val="20"/>
          <w:szCs w:val="20"/>
          <w:color w:val="auto"/>
        </w:rPr>
      </w:pPr>
    </w:p>
    <w:p>
      <w:pPr>
        <w:jc w:val="both"/>
        <w:ind w:right="140" w:firstLine="211"/>
        <w:spacing w:after="0" w:line="251"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and for Pelizeaus-Merzbacher Disease, these diseases are rare and the markets for treating these diseases are small. Accordingly, even if we obtain marketing approval for our HuCNS-SC product candidate for infantile and late infantile NCL or for PMD, in order to achieve profitability, we will likely need to obtain approval to treat additional diseases that present more significant market opportunities.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companies, businesses or technologies may substantially dilute our stockholders and increase our operating losses.</w:t>
      </w:r>
    </w:p>
    <w:p>
      <w:pPr>
        <w:spacing w:after="0" w:line="111" w:lineRule="exact"/>
        <w:rPr>
          <w:sz w:val="20"/>
          <w:szCs w:val="20"/>
          <w:color w:val="auto"/>
        </w:rPr>
      </w:pPr>
    </w:p>
    <w:p>
      <w:pPr>
        <w:ind w:right="80" w:firstLine="217"/>
        <w:spacing w:after="0" w:line="312" w:lineRule="auto"/>
        <w:rPr>
          <w:sz w:val="20"/>
          <w:szCs w:val="20"/>
          <w:color w:val="auto"/>
        </w:rPr>
      </w:pPr>
      <w:r>
        <w:rPr>
          <w:rFonts w:ascii="Arial" w:cs="Arial" w:eastAsia="Arial" w:hAnsi="Arial"/>
          <w:sz w:val="15"/>
          <w:szCs w:val="15"/>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For example, on April 1, 2009 we acquired the operating assets and liabilities of SCS.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and divert our limited resources and management’s attention from our current operations, which could harm our existing product development efforts. We would likely issue equity securities to pay for any other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disruptions from the integration and management of the acquired SCS business may impair our business.</w:t>
      </w:r>
    </w:p>
    <w:p>
      <w:pPr>
        <w:spacing w:after="0" w:line="111" w:lineRule="exact"/>
        <w:rPr>
          <w:sz w:val="20"/>
          <w:szCs w:val="20"/>
          <w:color w:val="auto"/>
        </w:rPr>
      </w:pPr>
    </w:p>
    <w:p>
      <w:pPr>
        <w:ind w:right="40" w:firstLine="220"/>
        <w:spacing w:after="0" w:line="248" w:lineRule="auto"/>
        <w:rPr>
          <w:sz w:val="20"/>
          <w:szCs w:val="20"/>
          <w:color w:val="auto"/>
        </w:rPr>
      </w:pPr>
      <w:r>
        <w:rPr>
          <w:rFonts w:ascii="Arial" w:cs="Arial" w:eastAsia="Arial" w:hAnsi="Arial"/>
          <w:sz w:val="18"/>
          <w:szCs w:val="18"/>
          <w:color w:val="auto"/>
        </w:rPr>
        <w:t>On April 1, 2009, we acquired the operating assets and liabilities of SCS, including its former subsidiaries in England and Australia. To realize the anticipated benefits of this acquisition, we must successfully combine and integrate the separate organizations and operations of the two companies. The combination of two independent companies is frequently a complex, costly and time-consuming process. Therefore we expect to devote a significant amount of our management’s time and attention to integrating the operations of the two companies. We may have difficulty maintaining employee morale and retaining key employees, consultants and collaborators as we take steps to integrate the cultures of the two organizations. We may also encounter incompatible methods, practices or policies or unanticipated difficulties integrating information technology, communications and other systems used by the two companies. Managing the integration of the acquired SCS business into our consolidated operations may also entail numerous operational, legal and financial risks and uncertainties, including:</w:t>
      </w:r>
    </w:p>
    <w:p>
      <w:pPr>
        <w:spacing w:after="0" w:line="88" w:lineRule="exact"/>
        <w:rPr>
          <w:sz w:val="20"/>
          <w:szCs w:val="20"/>
          <w:color w:val="auto"/>
        </w:rPr>
      </w:pPr>
    </w:p>
    <w:p>
      <w:pPr>
        <w:ind w:left="540" w:hanging="428"/>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incurrence or assumption of material liabilities, including unanticipated ones;</w:t>
      </w:r>
    </w:p>
    <w:p>
      <w:pPr>
        <w:spacing w:after="0" w:line="123" w:lineRule="exact"/>
        <w:rPr>
          <w:rFonts w:ascii="Arial" w:cs="Arial" w:eastAsia="Arial" w:hAnsi="Arial"/>
          <w:sz w:val="18"/>
          <w:szCs w:val="18"/>
          <w:b w:val="1"/>
          <w:bCs w:val="1"/>
          <w:color w:val="auto"/>
        </w:rPr>
      </w:pPr>
    </w:p>
    <w:p>
      <w:pPr>
        <w:ind w:left="540" w:right="300" w:hanging="428"/>
        <w:spacing w:after="0" w:line="264"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assumption of pre-existing contractual obligations and obligations owed by the acquired SCS business to customers and research collaborators, which may not be profitable to our business or deemed consistent with our development plans;</w:t>
      </w:r>
    </w:p>
    <w:p>
      <w:pPr>
        <w:spacing w:after="0" w:line="87" w:lineRule="exact"/>
        <w:rPr>
          <w:rFonts w:ascii="Arial" w:cs="Arial" w:eastAsia="Arial" w:hAnsi="Arial"/>
          <w:sz w:val="18"/>
          <w:szCs w:val="18"/>
          <w:b w:val="1"/>
          <w:bCs w:val="1"/>
          <w:color w:val="auto"/>
        </w:rPr>
      </w:pPr>
    </w:p>
    <w:p>
      <w:pPr>
        <w:ind w:left="540" w:hanging="428"/>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diversion of resources and management attention from our existing businesses and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inability to retain key employees of any acquired businesses or hire enough qualified personnel to staff any new or expanded operations;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impairment or loss of relationships with key customers or collaborators; and</w:t>
      </w:r>
    </w:p>
    <w:p>
      <w:pPr>
        <w:spacing w:after="0" w:line="123" w:lineRule="exact"/>
        <w:rPr>
          <w:rFonts w:ascii="Arial" w:cs="Arial" w:eastAsia="Arial" w:hAnsi="Arial"/>
          <w:sz w:val="18"/>
          <w:szCs w:val="18"/>
          <w:b w:val="1"/>
          <w:bCs w:val="1"/>
          <w:color w:val="auto"/>
        </w:rPr>
      </w:pPr>
    </w:p>
    <w:p>
      <w:pPr>
        <w:ind w:left="540" w:right="200" w:hanging="428"/>
        <w:spacing w:after="0" w:line="264"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exposure to new and unanticipated federal, state, local, and foreign legal requirements, which may impact our research and development programs on a consolidated basis.</w:t>
      </w:r>
    </w:p>
    <w:p>
      <w:pPr>
        <w:spacing w:after="0" w:line="74" w:lineRule="exact"/>
        <w:rPr>
          <w:sz w:val="20"/>
          <w:szCs w:val="20"/>
          <w:color w:val="auto"/>
        </w:rPr>
      </w:pPr>
    </w:p>
    <w:p>
      <w:pPr>
        <w:ind w:right="380" w:firstLine="220"/>
        <w:spacing w:after="0" w:line="264" w:lineRule="auto"/>
        <w:rPr>
          <w:sz w:val="20"/>
          <w:szCs w:val="20"/>
          <w:color w:val="auto"/>
        </w:rPr>
      </w:pPr>
      <w:r>
        <w:rPr>
          <w:rFonts w:ascii="Arial" w:cs="Arial" w:eastAsia="Arial" w:hAnsi="Arial"/>
          <w:sz w:val="18"/>
          <w:szCs w:val="18"/>
          <w:color w:val="auto"/>
        </w:rPr>
        <w:t>Our failure to address these risks and uncertainties successfully in the future could harm our business and prevent our achievement of anticipated growth, which could have an adverse effect on our financial condition and results of operations.</w:t>
      </w:r>
    </w:p>
    <w:p>
      <w:pPr>
        <w:spacing w:after="0" w:line="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research and development activities.</w:t>
      </w:r>
    </w:p>
    <w:p>
      <w:pPr>
        <w:spacing w:after="0" w:line="74" w:lineRule="exact"/>
        <w:rPr>
          <w:sz w:val="20"/>
          <w:szCs w:val="20"/>
          <w:color w:val="auto"/>
        </w:rPr>
      </w:pPr>
    </w:p>
    <w:p>
      <w:pPr>
        <w:ind w:firstLine="220"/>
        <w:spacing w:after="0" w:line="262" w:lineRule="auto"/>
        <w:rPr>
          <w:sz w:val="20"/>
          <w:szCs w:val="20"/>
          <w:color w:val="auto"/>
        </w:rPr>
      </w:pPr>
      <w:r>
        <w:rPr>
          <w:rFonts w:ascii="Arial" w:cs="Arial" w:eastAsia="Arial" w:hAnsi="Arial"/>
          <w:sz w:val="17"/>
          <w:szCs w:val="17"/>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$1,825,000 in 2008;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$440,000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September 30, 2009, the reserve was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$4,679,000. For the year 2008, we incurred $1,293,000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product development efforts when needed to commercialize our technologies.</w:t>
      </w:r>
    </w:p>
    <w:p>
      <w:pPr>
        <w:spacing w:after="0" w:line="145" w:lineRule="exact"/>
        <w:rPr>
          <w:sz w:val="20"/>
          <w:szCs w:val="20"/>
          <w:color w:val="auto"/>
        </w:rPr>
      </w:pPr>
    </w:p>
    <w:p>
      <w:pPr>
        <w:ind w:right="40" w:firstLine="220"/>
        <w:spacing w:after="0" w:line="264"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cell-based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patents and proprietary rights, our business, financial condition and results of operations may be materially harmed.</w:t>
      </w:r>
    </w:p>
    <w:p>
      <w:pPr>
        <w:spacing w:after="0" w:line="145" w:lineRule="exact"/>
        <w:rPr>
          <w:sz w:val="20"/>
          <w:szCs w:val="20"/>
          <w:color w:val="auto"/>
        </w:rPr>
      </w:pPr>
    </w:p>
    <w:p>
      <w:pPr>
        <w:ind w:firstLine="217"/>
        <w:spacing w:after="0" w:line="262"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82" w:lineRule="exact"/>
        <w:rPr>
          <w:sz w:val="20"/>
          <w:szCs w:val="20"/>
          <w:color w:val="auto"/>
        </w:rPr>
      </w:pPr>
    </w:p>
    <w:p>
      <w:pPr>
        <w:ind w:right="20" w:firstLine="220"/>
        <w:spacing w:after="0" w:line="249"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87" w:lineRule="exact"/>
        <w:rPr>
          <w:sz w:val="20"/>
          <w:szCs w:val="20"/>
          <w:color w:val="auto"/>
        </w:rPr>
      </w:pPr>
    </w:p>
    <w:p>
      <w:pPr>
        <w:ind w:right="200" w:firstLine="220"/>
        <w:spacing w:after="0" w:line="249"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45" w:lineRule="exact"/>
        <w:rPr>
          <w:sz w:val="20"/>
          <w:szCs w:val="20"/>
          <w:color w:val="auto"/>
        </w:rPr>
      </w:pPr>
    </w:p>
    <w:p>
      <w:pPr>
        <w:ind w:right="40" w:firstLine="211"/>
        <w:spacing w:after="0" w:line="264" w:lineRule="auto"/>
        <w:rPr>
          <w:sz w:val="20"/>
          <w:szCs w:val="20"/>
          <w:color w:val="auto"/>
        </w:rPr>
      </w:pPr>
      <w:r>
        <w:rPr>
          <w:rFonts w:ascii="Arial" w:cs="Arial" w:eastAsia="Arial" w:hAnsi="Arial"/>
          <w:sz w:val="18"/>
          <w:szCs w:val="18"/>
          <w:color w:val="auto"/>
        </w:rPr>
        <w:t>A number of pharmaceutical, biotechnology and other companies, universities and research institutions have filed patent applications or have received patents relating to cell therapy, stem and progenitor cells and other technologies potentially relevant to,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or necessary for, both our expected products and for the commercialization of cell-based research tools..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48" w:lineRule="exact"/>
        <w:rPr>
          <w:sz w:val="20"/>
          <w:szCs w:val="20"/>
          <w:color w:val="auto"/>
        </w:rPr>
      </w:pPr>
    </w:p>
    <w:p>
      <w:pPr>
        <w:ind w:right="20" w:firstLine="217"/>
        <w:spacing w:after="0" w:line="264"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In addition, some of our non-therapeutic applications include the use of embryonic stem cell and iPS technologies, which may be the subject of other third party rights. Before we commercialize any product using these growth factors, cells, antibodies or reagents, we may need to obtain license rights from third parties or use alternative growth factors, cells, antibodies and reagents that are not then the subject of third party patent rights. We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6" w:lineRule="exact"/>
        <w:rPr>
          <w:sz w:val="20"/>
          <w:szCs w:val="20"/>
          <w:color w:val="auto"/>
        </w:rPr>
      </w:pPr>
    </w:p>
    <w:p>
      <w:pPr>
        <w:ind w:right="40" w:firstLine="217"/>
        <w:spacing w:after="0" w:line="271"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1" w:lineRule="exact"/>
        <w:rPr>
          <w:sz w:val="20"/>
          <w:szCs w:val="20"/>
          <w:color w:val="auto"/>
        </w:rPr>
      </w:pPr>
    </w:p>
    <w:p>
      <w:pPr>
        <w:ind w:right="60" w:firstLine="217"/>
        <w:spacing w:after="0" w:line="266"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76" w:lineRule="exact"/>
        <w:rPr>
          <w:sz w:val="20"/>
          <w:szCs w:val="20"/>
          <w:color w:val="auto"/>
        </w:rPr>
      </w:pPr>
    </w:p>
    <w:p>
      <w:pPr>
        <w:ind w:firstLine="220"/>
        <w:spacing w:after="0" w:line="271"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70" w:lineRule="exact"/>
        <w:rPr>
          <w:sz w:val="20"/>
          <w:szCs w:val="20"/>
          <w:color w:val="auto"/>
        </w:rPr>
      </w:pPr>
    </w:p>
    <w:p>
      <w:pPr>
        <w:ind w:right="180" w:firstLine="220"/>
        <w:spacing w:after="0" w:line="250" w:lineRule="auto"/>
        <w:rPr>
          <w:sz w:val="20"/>
          <w:szCs w:val="20"/>
          <w:color w:val="auto"/>
        </w:rPr>
      </w:pPr>
      <w:r>
        <w:rPr>
          <w:rFonts w:ascii="Arial" w:cs="Arial" w:eastAsia="Arial" w:hAnsi="Arial"/>
          <w:sz w:val="18"/>
          <w:szCs w:val="18"/>
          <w:color w:val="auto"/>
        </w:rPr>
        <w:t>In the cell-based tools market, there are a number of companies already supplying cells, media, reagents, and other research tools to both for-profit and non-profit researchers. Many of these suppliers have far greater resources than we do, including greater manufacturing capacity and experience, substantial capital resources, a dedicated sales and marketing force, and well established sales channels and customer relationships. If we are unable to develop a unique or competitive product offering, we may not be able to generate sufficient revenues to offset the costs of developing these non-therapeutic applications for our technologies.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2" w:lineRule="exact"/>
        <w:rPr>
          <w:sz w:val="20"/>
          <w:szCs w:val="20"/>
          <w:color w:val="auto"/>
        </w:rPr>
      </w:pPr>
    </w:p>
    <w:p>
      <w:pPr>
        <w:ind w:right="20" w:firstLine="220"/>
        <w:spacing w:after="0" w:line="264" w:lineRule="auto"/>
        <w:rPr>
          <w:sz w:val="20"/>
          <w:szCs w:val="20"/>
          <w:color w:val="auto"/>
        </w:rPr>
      </w:pPr>
      <w:r>
        <w:rPr>
          <w:rFonts w:ascii="Arial" w:cs="Arial" w:eastAsia="Arial" w:hAnsi="Arial"/>
          <w:sz w:val="17"/>
          <w:szCs w:val="17"/>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firstLine="217"/>
        <w:spacing w:after="0" w:line="264" w:lineRule="auto"/>
        <w:rPr>
          <w:sz w:val="20"/>
          <w:szCs w:val="20"/>
          <w:color w:val="auto"/>
        </w:rPr>
      </w:pPr>
      <w:r>
        <w:rPr>
          <w:rFonts w:ascii="Arial" w:cs="Arial" w:eastAsia="Arial" w:hAnsi="Arial"/>
          <w:sz w:val="17"/>
          <w:szCs w:val="17"/>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GTP, regulations. These regulatory and other constraints could prevent us from obtaining cells and other components of our products in the quantity or quality needed for their development or commercialization, including the commercialization of certain cell-based research tools.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cell-based therapeutic product candidates will need to be manufactured in compliance with the FDA’s Good Manufacturing Practices, or GMP. Accordingly, at least for our therapeutic programs, we will need to enter into supply agreements with companies that manufacture these components to GMP standards.</w:t>
      </w:r>
    </w:p>
    <w:p>
      <w:pPr>
        <w:spacing w:after="0" w:line="76" w:lineRule="exact"/>
        <w:rPr>
          <w:sz w:val="20"/>
          <w:szCs w:val="20"/>
          <w:color w:val="auto"/>
        </w:rPr>
      </w:pPr>
    </w:p>
    <w:p>
      <w:pPr>
        <w:ind w:right="60" w:firstLine="220"/>
        <w:spacing w:after="0" w:line="268" w:lineRule="auto"/>
        <w:rPr>
          <w:sz w:val="20"/>
          <w:szCs w:val="20"/>
          <w:color w:val="auto"/>
        </w:rPr>
      </w:pPr>
      <w:r>
        <w:rPr>
          <w:rFonts w:ascii="Arial" w:cs="Arial" w:eastAsia="Arial" w:hAnsi="Arial"/>
          <w:sz w:val="17"/>
          <w:szCs w:val="17"/>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1" w:lineRule="exact"/>
        <w:rPr>
          <w:sz w:val="20"/>
          <w:szCs w:val="20"/>
          <w:color w:val="auto"/>
        </w:rPr>
      </w:pPr>
    </w:p>
    <w:p>
      <w:pPr>
        <w:ind w:right="40" w:firstLine="217"/>
        <w:spacing w:after="0" w:line="249"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74" w:lineRule="exact"/>
        <w:rPr>
          <w:sz w:val="20"/>
          <w:szCs w:val="20"/>
          <w:color w:val="auto"/>
        </w:rPr>
      </w:pPr>
    </w:p>
    <w:p>
      <w:pPr>
        <w:ind w:right="40" w:firstLine="220"/>
        <w:spacing w:after="0" w:line="251"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87" w:lineRule="exact"/>
        <w:rPr>
          <w:sz w:val="20"/>
          <w:szCs w:val="20"/>
          <w:color w:val="auto"/>
        </w:rPr>
      </w:pPr>
    </w:p>
    <w:p>
      <w:pPr>
        <w:ind w:firstLine="211"/>
        <w:spacing w:after="0" w:line="304" w:lineRule="auto"/>
        <w:rPr>
          <w:sz w:val="20"/>
          <w:szCs w:val="20"/>
          <w:color w:val="auto"/>
        </w:rPr>
      </w:pPr>
      <w:r>
        <w:rPr>
          <w:rFonts w:ascii="Arial" w:cs="Arial" w:eastAsia="Arial" w:hAnsi="Arial"/>
          <w:sz w:val="15"/>
          <w:szCs w:val="15"/>
          <w:color w:val="auto"/>
        </w:rPr>
        <w:t>Although we believe that our safety procedures for using, handling, storing, and disposing of hazardous and potentially hazardous materials comply with the standards prescribed by applicable federal, state and local regulations, the risk of accidental contamination or injury from these materials cannot be eliminated. In the event of such an accident or of any violation of these or future laws and regulations, the applicable federal, state, or local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5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74" w:lineRule="exact"/>
        <w:rPr>
          <w:sz w:val="20"/>
          <w:szCs w:val="20"/>
          <w:color w:val="auto"/>
        </w:rPr>
      </w:pPr>
    </w:p>
    <w:p>
      <w:pPr>
        <w:ind w:right="160" w:firstLine="220"/>
        <w:spacing w:after="0" w:line="251"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manufacture of cell-based products is novel, highly regulated, critical to our business, and dependent upon specialized key materials.</w:t>
      </w:r>
    </w:p>
    <w:p>
      <w:pPr>
        <w:spacing w:after="0" w:line="122" w:lineRule="exact"/>
        <w:rPr>
          <w:sz w:val="20"/>
          <w:szCs w:val="20"/>
          <w:color w:val="auto"/>
        </w:rPr>
      </w:pPr>
    </w:p>
    <w:p>
      <w:pPr>
        <w:ind w:right="40" w:firstLine="217"/>
        <w:spacing w:after="0" w:line="264" w:lineRule="auto"/>
        <w:rPr>
          <w:sz w:val="20"/>
          <w:szCs w:val="20"/>
          <w:color w:val="auto"/>
        </w:rPr>
      </w:pPr>
      <w:r>
        <w:rPr>
          <w:rFonts w:ascii="Arial" w:cs="Arial" w:eastAsia="Arial" w:hAnsi="Arial"/>
          <w:sz w:val="17"/>
          <w:szCs w:val="17"/>
          <w:color w:val="auto"/>
        </w:rPr>
        <w:t>The proliferation and manufacture of cell-based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unproven and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74" w:lineRule="exact"/>
        <w:rPr>
          <w:sz w:val="20"/>
          <w:szCs w:val="20"/>
          <w:color w:val="auto"/>
        </w:rPr>
      </w:pPr>
    </w:p>
    <w:p>
      <w:pPr>
        <w:ind w:right="40" w:firstLine="220"/>
        <w:spacing w:after="0" w:line="299" w:lineRule="auto"/>
        <w:rPr>
          <w:sz w:val="20"/>
          <w:szCs w:val="20"/>
          <w:color w:val="auto"/>
        </w:rPr>
      </w:pPr>
      <w:r>
        <w:rPr>
          <w:rFonts w:ascii="Arial" w:cs="Arial" w:eastAsia="Arial" w:hAnsi="Arial"/>
          <w:sz w:val="15"/>
          <w:szCs w:val="15"/>
          <w:color w:val="auto"/>
        </w:rPr>
        <w:t>In both domestic and foreign markets, sales of potential therapeutic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2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74" w:lineRule="exact"/>
        <w:rPr>
          <w:sz w:val="20"/>
          <w:szCs w:val="20"/>
          <w:color w:val="auto"/>
        </w:rPr>
      </w:pPr>
    </w:p>
    <w:p>
      <w:pPr>
        <w:ind w:firstLine="217"/>
        <w:spacing w:after="0" w:line="302" w:lineRule="auto"/>
        <w:rPr>
          <w:sz w:val="20"/>
          <w:szCs w:val="20"/>
          <w:color w:val="auto"/>
        </w:rPr>
      </w:pPr>
      <w:r>
        <w:rPr>
          <w:rFonts w:ascii="Arial" w:cs="Arial" w:eastAsia="Arial" w:hAnsi="Arial"/>
          <w:sz w:val="15"/>
          <w:szCs w:val="15"/>
          <w:color w:val="auto"/>
        </w:rPr>
        <w:t>The use of stem cells for research and therapy has been the subject of debate regarding related ethical, legal and social issues. Although these concerns have mainly been directed to the use of embryonic stem cells, which we presently are not developing as potential therapeutic product candidates,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Restrictions on the use of human embryonic stem cells, including public and political opposition to the use of these cells, could harm our business.</w:t>
      </w:r>
    </w:p>
    <w:p>
      <w:pPr>
        <w:spacing w:after="0" w:line="145" w:lineRule="exact"/>
        <w:rPr>
          <w:sz w:val="20"/>
          <w:szCs w:val="20"/>
          <w:color w:val="auto"/>
        </w:rPr>
      </w:pPr>
    </w:p>
    <w:p>
      <w:pPr>
        <w:ind w:right="100" w:firstLine="220"/>
        <w:spacing w:after="0" w:line="251" w:lineRule="auto"/>
        <w:rPr>
          <w:sz w:val="20"/>
          <w:szCs w:val="20"/>
          <w:color w:val="auto"/>
        </w:rPr>
      </w:pPr>
      <w:r>
        <w:rPr>
          <w:rFonts w:ascii="Arial" w:cs="Arial" w:eastAsia="Arial" w:hAnsi="Arial"/>
          <w:sz w:val="18"/>
          <w:szCs w:val="18"/>
          <w:color w:val="auto"/>
        </w:rPr>
        <w:t>Some of our research includes testing cells derived from embryonic tissue. While we are not developing human embryonic stem cells as potential therapeutic products, legal restrictions on the use of human embryonic stem cells could impede our ability to develop worthwhile non-therapeutic products for research. In addition, the use of these cells could give rise to ethical and social commentary adverse to us, which could harm the market price of our common stock. Additional government-imposed restrictions 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use of embryos or human embryonic stem cells in research and development could also cause an adverse effect on us by harming our ability to establish important partnerships or collaborations, delaying or preventing the development of certain non-therapeutic products, and causing a decrease in the price of our stock or by otherwise making it more difficult for us to raise additional capital. These risks could have unanticipated adverse consequences on our business, including on both our therapeutic and non-therapeutic programs.</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74" w:lineRule="exact"/>
        <w:rPr>
          <w:sz w:val="20"/>
          <w:szCs w:val="20"/>
          <w:color w:val="auto"/>
        </w:rPr>
      </w:pPr>
    </w:p>
    <w:p>
      <w:pPr>
        <w:ind w:right="80" w:firstLine="220"/>
        <w:spacing w:after="0" w:line="329" w:lineRule="auto"/>
        <w:rPr>
          <w:sz w:val="20"/>
          <w:szCs w:val="20"/>
          <w:color w:val="auto"/>
        </w:rPr>
      </w:pPr>
      <w:r>
        <w:rPr>
          <w:rFonts w:ascii="Arial" w:cs="Arial" w:eastAsia="Arial" w:hAnsi="Arial"/>
          <w:sz w:val="15"/>
          <w:szCs w:val="15"/>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market price per share of our common stock has been and is likely to continue to be highly volatile due to the risks and uncertainties described in this section of this prospectus supplement, as well as other factors, including:</w:t>
      </w:r>
    </w:p>
    <w:p>
      <w:pPr>
        <w:spacing w:after="0" w:line="74" w:lineRule="exact"/>
        <w:rPr>
          <w:sz w:val="20"/>
          <w:szCs w:val="20"/>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135" w:lineRule="exact"/>
        <w:rPr>
          <w:rFonts w:ascii="Arial" w:cs="Arial" w:eastAsia="Arial" w:hAnsi="Arial"/>
          <w:sz w:val="17"/>
          <w:szCs w:val="17"/>
          <w:b w:val="1"/>
          <w:bCs w:val="1"/>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Over the two-year period ended October 27, 2009, the trading price of our common stock as reported on the Nasdaq Global Market ranged from a high of $3.07 to a low of $0.66 per share. As a result of this volatility, an investment in our stock is subject to substantial risk. Furthermore, the volatility of our stock price could negatively impact our ability to raise capital or acquire businesses or technologies.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1" w:lineRule="exact"/>
        <w:rPr>
          <w:sz w:val="20"/>
          <w:szCs w:val="20"/>
          <w:color w:val="auto"/>
        </w:rPr>
      </w:pPr>
    </w:p>
    <w:p>
      <w:pPr>
        <w:ind w:right="100" w:firstLine="220"/>
        <w:spacing w:after="0" w:line="308" w:lineRule="auto"/>
        <w:rPr>
          <w:sz w:val="20"/>
          <w:szCs w:val="20"/>
          <w:color w:val="auto"/>
        </w:rPr>
      </w:pPr>
      <w:r>
        <w:rPr>
          <w:rFonts w:ascii="Arial" w:cs="Arial" w:eastAsia="Arial" w:hAnsi="Arial"/>
          <w:sz w:val="15"/>
          <w:szCs w:val="15"/>
          <w:color w:val="auto"/>
        </w:rPr>
        <w:t>Pursuant to this prospectus supplement, we are offering warrants to purchase up to 4,000,000 shares of our common stock. In addition, as of September 30, 2009, there were outstanding warrants to purchase 10,344,828 shares of our common stock, at a weighted average exercise price of $2.30 per share, outstanding options to purchase 9,293,703 shares of our common stock, at a weighted average exercise price of $2.28 per share, and outstanding restricted stock units for 2,367,901 shares of our common stock.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Note regarding forward-looking statements</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This prospectus supplement, the accompanying prospectus, any free writing prospectus used in connection with this offering and the documents incorporated by reference herein and therein may contain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including any related litigation;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and elsewhere in this prospectus supplement, the risk factors disclosed in Part I, Item 1A of our Annual Report on Form 10-K for the fiscal year ended December 31, 2008 and Part II, Item 1A of our Quarterly Report on Form 10-Q for the fiscal quarter ended March 31, 2009.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Use of proceeds</w:t>
      </w:r>
    </w:p>
    <w:p>
      <w:pPr>
        <w:spacing w:after="0" w:line="126"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We estimate that the net proceeds from the sale of the 10,000,000 units will be approximately $11,900,000, assuming that we sell the maximum number of units we are offering pursuant to this prospectus supplement. Because there is no minimum offering amount required as a condition to the closing of this offering, the actual number of units sold, placement agent fees and proceeds to us are not presently determinable and may be substantially less than the maximum amount set forth above.</w:t>
      </w:r>
    </w:p>
    <w:p>
      <w:pPr>
        <w:spacing w:after="0" w:line="8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capital expenditures, research and development expenditures and clinical trial expenditures. A portion of the net proceeds may also be used for the acquisition of businesses, products and technologies that are complementary to ours, or for other strategic purposes.</w:t>
      </w:r>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color w:val="auto"/>
        </w:rPr>
        <w:t>Price range of common stock</w:t>
      </w:r>
    </w:p>
    <w:p>
      <w:pPr>
        <w:spacing w:after="0" w:line="12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common stock trades on The Nasdaq Global Market under the symbol “STEM.” The following table sets forth, for the periods indicated, the high and low intraday sales prices per share of our common stock as reported by The Nasdaq Global Market. These prices do not include retail markups, markdowns or commissions.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940" w:type="dxa"/>
            <w:vAlign w:val="bottom"/>
          </w:tcPr>
          <w:p>
            <w:pPr>
              <w:jc w:val="right"/>
              <w:ind w:right="493"/>
              <w:spacing w:after="0"/>
              <w:rPr>
                <w:sz w:val="20"/>
                <w:szCs w:val="20"/>
                <w:color w:val="auto"/>
              </w:rPr>
            </w:pPr>
            <w:r>
              <w:rPr>
                <w:rFonts w:ascii="Arial" w:cs="Arial" w:eastAsia="Arial" w:hAnsi="Arial"/>
                <w:sz w:val="14"/>
                <w:szCs w:val="14"/>
                <w:color w:val="auto"/>
              </w:rPr>
              <w:t>High</w:t>
            </w:r>
          </w:p>
        </w:tc>
        <w:tc>
          <w:tcPr>
            <w:tcW w:w="1300" w:type="dxa"/>
            <w:vAlign w:val="bottom"/>
          </w:tcPr>
          <w:p>
            <w:pPr>
              <w:jc w:val="right"/>
              <w:ind w:right="273"/>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2007</w:t>
            </w:r>
          </w:p>
        </w:tc>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$3.63</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3.09</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2.45</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2.53</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23"/>
        </w:trPr>
        <w:tc>
          <w:tcPr>
            <w:tcW w:w="6180" w:type="dxa"/>
            <w:vAlign w:val="bottom"/>
            <w:gridSpan w:val="2"/>
          </w:tcPr>
          <w:p>
            <w:pPr>
              <w:spacing w:after="0"/>
              <w:rPr>
                <w:sz w:val="20"/>
                <w:szCs w:val="20"/>
                <w:color w:val="auto"/>
              </w:rPr>
            </w:pPr>
            <w:r>
              <w:rPr>
                <w:rFonts w:ascii="Arial" w:cs="Arial" w:eastAsia="Arial" w:hAnsi="Arial"/>
                <w:sz w:val="18"/>
                <w:szCs w:val="18"/>
                <w:color w:val="auto"/>
              </w:rPr>
              <w:t>Fiscal year ending December 31, 2008</w:t>
            </w:r>
          </w:p>
        </w:tc>
        <w:tc>
          <w:tcPr>
            <w:tcW w:w="3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$1.90</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1.75</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1.43</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2.48</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2009</w:t>
            </w:r>
          </w:p>
        </w:tc>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$3.07</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1.94</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1.86</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October 27, 2009)</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1.72</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last reported sales price of our common stock on The Nasdaq Global Market on October 27, 2009 was $1.42 per share. As of October 27, 2009, there were outstanding 108,349,587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color w:val="auto"/>
        </w:rPr>
        <w:t>Dividend policy</w:t>
      </w:r>
    </w:p>
    <w:p>
      <w:pPr>
        <w:spacing w:after="0" w:line="126" w:lineRule="exact"/>
        <w:rPr>
          <w:sz w:val="20"/>
          <w:szCs w:val="20"/>
          <w:color w:val="auto"/>
        </w:rPr>
      </w:pPr>
    </w:p>
    <w:p>
      <w:pPr>
        <w:ind w:right="600"/>
        <w:spacing w:after="0" w:line="293" w:lineRule="auto"/>
        <w:rPr>
          <w:sz w:val="20"/>
          <w:szCs w:val="20"/>
          <w:color w:val="auto"/>
        </w:rPr>
      </w:pPr>
      <w:r>
        <w:rPr>
          <w:rFonts w:ascii="Arial" w:cs="Arial" w:eastAsia="Arial" w:hAnsi="Arial"/>
          <w:sz w:val="17"/>
          <w:szCs w:val="17"/>
          <w:color w:val="auto"/>
        </w:rPr>
        <w:t>We have never declared or paid any cash dividends on our common stock. We anticipate that we will continue to retain our earnings, if any, for use in the operation of our business. Accordingly, we do not expect to pay any cash dividends on our common stock for the foreseeable future.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Dilution</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you invest in our common stock and warrants, you will experience dilution to the extent of the difference between the price per share you pay in this offering and the net tangible book value per share of our common stock immediately after this offering.</w:t>
      </w:r>
    </w:p>
    <w:p>
      <w:pPr>
        <w:spacing w:after="0" w:line="7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net tangible book value as of September 30, 2009 was approximately $20 million, or $0.18 per share of common stock. Net tangible book value per share is equal to our total tangible assets minus total liabilities, all divided by the number of shares of common stock outstanding as of September 30, 2008. Assuming we sell 10,000,000 shares of common stock, the maximum number of shares we are offering pursuant to this prospectus supplement, at an offering price of $1.25 per share, and after deducting our estimated placement agent fees and offering expenses payable by us, our as adjusted net tangible book value would have been approximately $32 million, or approximately $.27 per share of common stock, as of October 27, 2009. This represents an immediate increase in net tangible book value of approximately $.09 per share to existing stockholders and an immediate dilution of approximately $0.98 per share to new investors. The following table illustrates this calculation on a per share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for one share of common stock and one warrant to purchase 0.40 shares of common stock</w:t>
            </w:r>
          </w:p>
        </w:tc>
        <w:tc>
          <w:tcPr>
            <w:tcW w:w="2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September 30, 2009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   0.18</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the offering</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360" w:type="dxa"/>
            <w:vAlign w:val="bottom"/>
            <w:gridSpan w:val="2"/>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36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color w:val="auto"/>
        </w:rPr>
        <w:t>Because there is no minimum offering amount required as a condition to the closing of this offering, the dilution per share to new investors may be more than that indicated above in the event that the actual number of units sold, if any, is less than the maximum number of units we are offering.</w:t>
      </w: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above illustration of dilution per share to investors participating in this offering assumes (i) no exercise of outstanding options to purchase our common stock or outstanding warrants to purchase shares of our common stock; and (ii) no exercise of the warrants offered hereby. The exercise of outstanding options and warrants having an exercise price less than the offering price will increase dilution to new investors.</w:t>
      </w:r>
    </w:p>
    <w:p>
      <w:pPr>
        <w:spacing w:after="0" w:line="8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Investors that purchase common stock upon the exercise of the warrants offered hereby may experience dilution depending on our net tangible book value (deficit) at the time of exercise.</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108,349,587 shares outstanding as of October 27, 2009 and excludes:</w:t>
      </w:r>
    </w:p>
    <w:p>
      <w:pPr>
        <w:spacing w:after="0" w:line="74" w:lineRule="exact"/>
        <w:rPr>
          <w:sz w:val="20"/>
          <w:szCs w:val="20"/>
          <w:color w:val="auto"/>
        </w:rPr>
      </w:pPr>
    </w:p>
    <w:p>
      <w:pPr>
        <w:ind w:left="660" w:right="180" w:hanging="4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9,293,703 shares of our common stock subject to options outstanding as of September 30, 2009 having a weighted average exercise price of $2.28 per share;</w:t>
      </w:r>
    </w:p>
    <w:p>
      <w:pPr>
        <w:spacing w:after="0" w:line="87" w:lineRule="exact"/>
        <w:rPr>
          <w:rFonts w:ascii="Arial" w:cs="Arial" w:eastAsia="Arial" w:hAnsi="Arial"/>
          <w:sz w:val="18"/>
          <w:szCs w:val="18"/>
          <w:color w:val="auto"/>
        </w:rPr>
      </w:pPr>
    </w:p>
    <w:p>
      <w:pPr>
        <w:ind w:left="660" w:right="120" w:hanging="4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2,367,901 shares of our common stock subject to outstanding restricted stock units as of September 30, 2009 having a weighted average grant date fair value of $1.50;</w:t>
      </w:r>
    </w:p>
    <w:p>
      <w:pPr>
        <w:spacing w:after="0" w:line="87" w:lineRule="exact"/>
        <w:rPr>
          <w:rFonts w:ascii="Arial" w:cs="Arial" w:eastAsia="Arial" w:hAnsi="Arial"/>
          <w:sz w:val="18"/>
          <w:szCs w:val="18"/>
          <w:color w:val="auto"/>
        </w:rPr>
      </w:pPr>
    </w:p>
    <w:p>
      <w:pPr>
        <w:ind w:left="660" w:right="700" w:hanging="4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5,774,422 shares of our common stock that have been reserved for issuance in connection with future grants under our stock option plans as of September 30, 2009;</w:t>
      </w:r>
    </w:p>
    <w:p>
      <w:pPr>
        <w:spacing w:after="0" w:line="87" w:lineRule="exact"/>
        <w:rPr>
          <w:rFonts w:ascii="Arial" w:cs="Arial" w:eastAsia="Arial" w:hAnsi="Arial"/>
          <w:sz w:val="18"/>
          <w:szCs w:val="18"/>
          <w:color w:val="auto"/>
        </w:rPr>
      </w:pPr>
    </w:p>
    <w:p>
      <w:pPr>
        <w:ind w:left="660" w:right="300" w:hanging="4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10,344,828 shares of our common stock that have been reserved for issuance upon exercise of outstanding warrants as of having a weighted average exercise price of $2.30 per share; and</w:t>
      </w:r>
    </w:p>
    <w:p>
      <w:pPr>
        <w:spacing w:after="0" w:line="87"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warrants offered hereby.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Description of securities</w:t>
      </w:r>
    </w:p>
    <w:p>
      <w:pPr>
        <w:spacing w:after="0" w:line="12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this offering, we are offering a maximum of 10,000,000 units, each consisting of (i) one share of our common stock and (ii) a warrant to purchase 0.40 shares of our common stock at an exercise price of $1.25 per share.</w:t>
      </w:r>
    </w:p>
    <w:p>
      <w:pPr>
        <w:spacing w:after="0" w:line="74" w:lineRule="exact"/>
        <w:rPr>
          <w:sz w:val="20"/>
          <w:szCs w:val="20"/>
          <w:color w:val="auto"/>
        </w:rPr>
      </w:pPr>
    </w:p>
    <w:p>
      <w:pPr>
        <w:ind w:right="460"/>
        <w:spacing w:after="0" w:line="293" w:lineRule="auto"/>
        <w:rPr>
          <w:sz w:val="20"/>
          <w:szCs w:val="20"/>
          <w:color w:val="auto"/>
        </w:rPr>
      </w:pPr>
      <w:r>
        <w:rPr>
          <w:rFonts w:ascii="Arial" w:cs="Arial" w:eastAsia="Arial" w:hAnsi="Arial"/>
          <w:sz w:val="17"/>
          <w:szCs w:val="17"/>
          <w:color w:val="auto"/>
        </w:rPr>
        <w:t>Units will not be issued or certificated. The shares of common stock and warrants are immediately separable and will be issued separately. This prospectus supplement also relates to the offering of shares of our common stock issuable upon exercise, if any,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material terms and provisions of our common stock are described under the caption “Description of Common Stock” starting on page 7 of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warrants offered in this offering will be issued pursuant to a subscription agreement between each of the purchasers and us. The following is a brief summary of the material terms of the warrants and is subject in all respects to the provisions contained in the warrants. The forms of warrants are being filed with a Current Report on Form 8-K and reference is made thereto for a complete description of the warrants.</w:t>
      </w:r>
    </w:p>
    <w:p>
      <w:pPr>
        <w:spacing w:after="0" w:line="84"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of common stock purchasable upon exercise of the warrants is $1.50 per share of common stock being purchased. If</w:t>
      </w:r>
      <w:r>
        <w:rPr>
          <w:rFonts w:ascii="Arial" w:cs="Arial" w:eastAsia="Arial" w:hAnsi="Arial"/>
          <w:sz w:val="18"/>
          <w:szCs w:val="18"/>
          <w:i w:val="1"/>
          <w:iCs w:val="1"/>
          <w:color w:val="auto"/>
        </w:rPr>
        <w:t xml:space="preserve"> </w:t>
      </w:r>
      <w:r>
        <w:rPr>
          <w:rFonts w:ascii="Arial" w:cs="Arial" w:eastAsia="Arial" w:hAnsi="Arial"/>
          <w:sz w:val="18"/>
          <w:szCs w:val="18"/>
          <w:color w:val="auto"/>
        </w:rPr>
        <w:t>we, at any time while the warrants are outstanding, pay a stock dividend on our common stock or otherwise make a distribution on any class of capital stock that is payable in shares of our common stock, subdivide outstanding shares of our common stock into a larger number of shares or combine the outstanding shares of our common stock into a smaller number of shares, then, the number, class and type of shares available under the warrants and the exercise price will be correspondingly adjusted to give the holder of the warrants, on exercise for the same aggregate exercise price, the total number, class, and type of shares or other property as the holder would have owned had the warrants been exercised prior to the event and had the holder continued to hold such shares until the event requiring adjustment.</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Holders may exercise the warrants beginning on the date that is six months after the date of original issuance and at any time up to the date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after such date the warrants become exercisable.</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If at any time during the warrant exercisability period the fair market value of our common stock exceeds the exercise price of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issuance of shares of our common stock upon exercise of the warrant is not covered by an effective registration statement, we or the holder are permitted to effect a cashless exercise of the warrants (in whole or in part) by having the holder surrendering the warrants to us, together with delivery to us of a duly executed exercise notice, canceling a portion of the warrant in payment of the purchase price payable in respect of the number of shares of our common stock purchased upon such exercise.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Transferability. </w:t>
      </w:r>
      <w:r>
        <w:rPr>
          <w:rFonts w:ascii="Arial" w:cs="Arial" w:eastAsia="Arial" w:hAnsi="Arial"/>
          <w:sz w:val="15"/>
          <w:szCs w:val="15"/>
          <w:color w:val="auto"/>
        </w:rPr>
        <w:t>The warrants may be transferred at the option of the warrant holder upon surrender of the warrants with the appropriate instruments of transfer.</w:t>
      </w:r>
    </w:p>
    <w:p>
      <w:pPr>
        <w:spacing w:after="0" w:line="14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We do not plan on making an application to list the warrants on The Nasdaq Global Market, any national securities exchange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trading system.</w:t>
      </w:r>
    </w:p>
    <w:p>
      <w:pPr>
        <w:spacing w:after="0" w:line="74" w:lineRule="exact"/>
        <w:rPr>
          <w:sz w:val="20"/>
          <w:szCs w:val="20"/>
          <w:color w:val="auto"/>
        </w:rPr>
      </w:pPr>
    </w:p>
    <w:p>
      <w:pPr>
        <w:ind w:right="100"/>
        <w:spacing w:after="0" w:line="364"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otherwise provided in the warrants or by virtue of such holder’s ownership of shares of our common stock, the holders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their warrants.</w:t>
      </w:r>
    </w:p>
    <w:p>
      <w:pPr>
        <w:spacing w:after="0" w:line="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 xml:space="preserve">Fundamental Transactions. </w:t>
      </w:r>
      <w:r>
        <w:rPr>
          <w:rFonts w:ascii="Arial" w:cs="Arial" w:eastAsia="Arial" w:hAnsi="Arial"/>
          <w:sz w:val="18"/>
          <w:szCs w:val="18"/>
          <w:color w:val="auto"/>
        </w:rPr>
        <w:t>In the event of any fundamental transaction, as described in the warrants and generally including any merger with another entity,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transfer or other disposition of all or substantially all of our assets to another entity, or the acquisition by a person of more than 50% of our common stock, then the holders of the warrants will thereafter have the right to receive upon exercise of the warrants such shares of stock, securities or assets as would have been issuable or payable with respect to or in exchange for a number of shares of our common stock equal to the number of shares of our common stock issuable upon exercise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of the warrants immediately prior to the fundamental transaction, had the fundamental transaction not taken place, and appropriate provision will be made so that the provisions of the warrants (including, for example, provisions relating to the adjustment of the exercise price) will thereafter be applicable, as nearly equivalent as may be practicable in relation to any share of stock, securities or assets deliverable upon the exercise of the warrants after the fundamental transaction. In lieu of the right to receive upon exercise the shares of stock securities or assets as would have been issuable or payable with respect to or in exchange for a number of shares of our common stock, the holders of the warrants may require us to redeem the warrant for a purchase price payable in cash of the Black-Scholes value of the warrant, as calculated pursuant to the terms of the warrant.</w:t>
      </w:r>
    </w:p>
    <w:p>
      <w:pPr>
        <w:spacing w:after="0" w:line="76"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i w:val="1"/>
          <w:iCs w:val="1"/>
          <w:color w:val="auto"/>
        </w:rPr>
        <w:t>Limits on Exercise of Warrants</w:t>
      </w:r>
      <w:r>
        <w:rPr>
          <w:rFonts w:ascii="Arial" w:cs="Arial" w:eastAsia="Arial" w:hAnsi="Arial"/>
          <w:sz w:val="18"/>
          <w:szCs w:val="18"/>
          <w:color w:val="auto"/>
        </w:rPr>
        <w:t>. Except upon at least 61 days’ prior notice from the holder to us, the holder will not have the right to exercise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if the holder, together with its affiliates, would beneficially own in excess of 4.99% of the number of shares of our common stock (including securities convertible into common stock) outstanding immediately after the exercise.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Plan of distribution</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a placement agency agreement between us and Chardan Capital Markets, LLC (“</w:t>
      </w:r>
      <w:r>
        <w:rPr>
          <w:rFonts w:ascii="Arial" w:cs="Arial" w:eastAsia="Arial" w:hAnsi="Arial"/>
          <w:sz w:val="18"/>
          <w:szCs w:val="18"/>
          <w:u w:val="single" w:color="auto"/>
          <w:color w:val="auto"/>
        </w:rPr>
        <w:t>Chardan Capital</w:t>
      </w:r>
      <w:r>
        <w:rPr>
          <w:rFonts w:ascii="Arial" w:cs="Arial" w:eastAsia="Arial" w:hAnsi="Arial"/>
          <w:sz w:val="18"/>
          <w:szCs w:val="18"/>
          <w:color w:val="auto"/>
        </w:rPr>
        <w:t>”) we have engaged Chardan Capital as our exclusive placement agent to solicit offers to purchase the units in this offering. The placement agent is not purchasing or selling any of the units we are offering, and it is not required to arrange the purchase or sale of any specific number of units or dollar amount, but it has agreed to use commercially reasonable efforts to arrange for the sale of the units.</w:t>
      </w:r>
    </w:p>
    <w:p>
      <w:pPr>
        <w:spacing w:after="0" w:line="8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placement agent proposes to arrange for the sale of the units we are offering pursuant to this prospectus supplement to one or more investors through subscription agreements directly between the purchasers and us. All of the units will be sold at the same price and, we expect, at a single closing. We established the price following negotiations with prospective investors and with reference to the prevailing market price of our common stock, recent trends in such price and other factors. It is possible that not all of the units we are offering pursuant to this prospectus supplement will be sold at the closing, in which case our net proceeds would be reduced. We expect that the sale of the units will be completed on the date indicated on the cover page of this prospectus supplement.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the placement agent may distribute this prospectus supplement and the accompanying prospectus electronically.</w:t>
      </w:r>
    </w:p>
    <w:p>
      <w:pPr>
        <w:spacing w:after="0" w:line="122" w:lineRule="exact"/>
        <w:rPr>
          <w:sz w:val="20"/>
          <w:szCs w:val="20"/>
          <w:color w:val="auto"/>
        </w:rPr>
      </w:pPr>
    </w:p>
    <w:p>
      <w:pPr>
        <w:ind w:right="320"/>
        <w:spacing w:after="0" w:line="364" w:lineRule="auto"/>
        <w:rPr>
          <w:sz w:val="20"/>
          <w:szCs w:val="20"/>
          <w:color w:val="auto"/>
        </w:rPr>
      </w:pPr>
      <w:r>
        <w:rPr>
          <w:rFonts w:ascii="Arial" w:cs="Arial" w:eastAsia="Arial" w:hAnsi="Arial"/>
          <w:sz w:val="15"/>
          <w:szCs w:val="15"/>
          <w:color w:val="auto"/>
        </w:rPr>
        <w:t>We will pay the placement agent a placement agent fee equal to 4.0% of the gross proceeds of this offering. The following table shows the per share and total placement agent fee we will pay to the placement agent in connection with the sale of the units, assuming the purchase of all of the units we are offering.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jc w:val="right"/>
              <w:ind w:right="4852"/>
              <w:spacing w:after="0"/>
              <w:rPr>
                <w:sz w:val="20"/>
                <w:szCs w:val="20"/>
                <w:color w:val="auto"/>
              </w:rPr>
            </w:pPr>
            <w:r>
              <w:rPr>
                <w:rFonts w:ascii="Arial" w:cs="Arial" w:eastAsia="Arial" w:hAnsi="Arial"/>
                <w:sz w:val="18"/>
                <w:szCs w:val="18"/>
                <w:color w:val="auto"/>
                <w:w w:val="86"/>
              </w:rPr>
              <w:t>Per unit</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5500" w:type="dxa"/>
            <w:vAlign w:val="bottom"/>
          </w:tcPr>
          <w:p>
            <w:pPr>
              <w:jc w:val="right"/>
              <w:ind w:right="4852"/>
              <w:spacing w:after="0"/>
              <w:rPr>
                <w:sz w:val="20"/>
                <w:szCs w:val="20"/>
                <w:color w:val="auto"/>
              </w:rPr>
            </w:pPr>
            <w:r>
              <w:rPr>
                <w:rFonts w:ascii="Arial" w:cs="Arial" w:eastAsia="Arial" w:hAnsi="Arial"/>
                <w:sz w:val="18"/>
                <w:szCs w:val="18"/>
                <w:color w:val="auto"/>
              </w:rPr>
              <w:t>Total</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r>
    </w:tbl>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We estimate the total expenses of this offering, which will be payable by us, excluding the placement agent fee, will be approximately $100,000. In no event will the total amount of compensation paid to the placement agent and other securities brokers and dealers upon completion of this offering exceed 8% of the gross proceeds of the offering. The estimated offering expenses payable by us, including the placement agent fee of $500,000, are approximately $600,000, which includes legal and printing costs and various other fees associated with registering and listing the common stock. After deducting certain fees due to the placement agent and our estimated offering expenses, we expect the net proceeds from this offering to be approximately $11,900,000.</w:t>
      </w:r>
    </w:p>
    <w:p>
      <w:pPr>
        <w:spacing w:after="0" w:line="4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of 1933, as amended, and liabilities arising from breaches and representations and warranties contained in the placement agency agreement. We have also agreed to contribute to payments the placement agent may be required to make in respect of such liabilities.</w:t>
      </w:r>
    </w:p>
    <w:p>
      <w:pPr>
        <w:spacing w:after="0" w:line="8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placement agency agreement is included as an exhibit to our Current Report on Form 8-K that we will file with the Commission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17"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We and our executive officers and directors have entered into lock-up agreements with the placement agent. Under these agreements, we and each of these persons may not, without the prior written approval of the placement agent, subject to exceptions, offer, sell, contract to sell or otherwise dispose of or hedge our common stock or securities convertible into or exercisable or exchangeable for our common stock. These restrictions will be in effect for a period of thirty</w:t>
      </w:r>
    </w:p>
    <w:p>
      <w:pPr>
        <w:spacing w:after="0" w:line="2" w:lineRule="exact"/>
        <w:rPr>
          <w:sz w:val="20"/>
          <w:szCs w:val="20"/>
          <w:color w:val="auto"/>
        </w:rPr>
      </w:pPr>
    </w:p>
    <w:p>
      <w:pPr>
        <w:ind w:right="40" w:firstLine="6"/>
        <w:spacing w:after="0" w:line="321" w:lineRule="auto"/>
        <w:tabs>
          <w:tab w:leader="none" w:pos="338" w:val="left"/>
        </w:tabs>
        <w:numPr>
          <w:ilvl w:val="0"/>
          <w:numId w:val="7"/>
        </w:numPr>
        <w:rPr>
          <w:rFonts w:ascii="Arial" w:cs="Arial" w:eastAsia="Arial" w:hAnsi="Arial"/>
          <w:sz w:val="15"/>
          <w:szCs w:val="15"/>
          <w:color w:val="auto"/>
        </w:rPr>
      </w:pPr>
      <w:r>
        <w:rPr>
          <w:rFonts w:ascii="Arial" w:cs="Arial" w:eastAsia="Arial" w:hAnsi="Arial"/>
          <w:sz w:val="15"/>
          <w:szCs w:val="15"/>
          <w:color w:val="auto"/>
        </w:rPr>
        <w:t>business days after the date of this prospectus supplement. However, these restrictions do not prohibit us from issuing securities in connection with a partnership, research, licensing, collaboration, joint venture or similar arrangement, or an acquisition of another business or entity or its stock, assets or technology. At any time and without public notice, Chardan Capital may in its sole discretion release all or some of the securities from these lock-up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Market under the symbol “STEM.”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this offering, the placement agent may engage in activities that stabilize, maintain or otherwise affect the price of our common stock. These activities may maintain the market price of our common stock at a level above that which might otherwise prevail in the open market. The placement agent is not required to engage in these activities and, if commenced, may end any of these activities at any time. The placement agent may carry out these transactions on The Nasdaq Global Market, in the over-the-counter market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1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placement agent and its affiliates may provide certain commercial banking, financial advisory or investment banking services for us for which they receive fees. The placement agent and its affiliates may from time to time in the future engage in transactions with us and perform services for us in the ordinary course of their business.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Where you can find more information</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167" w:lineRule="exact"/>
        <w:rPr>
          <w:sz w:val="20"/>
          <w:szCs w:val="20"/>
          <w:color w:val="auto"/>
        </w:rPr>
      </w:pPr>
    </w:p>
    <w:p>
      <w:pPr>
        <w:spacing w:after="0"/>
        <w:rPr>
          <w:sz w:val="20"/>
          <w:szCs w:val="20"/>
          <w:color w:val="auto"/>
        </w:rPr>
      </w:pPr>
      <w:r>
        <w:rPr>
          <w:rFonts w:ascii="Arial" w:cs="Arial" w:eastAsia="Arial" w:hAnsi="Arial"/>
          <w:sz w:val="28"/>
          <w:szCs w:val="28"/>
          <w:color w:val="auto"/>
        </w:rPr>
        <w:t>Incorporation of certain documents by reference</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SEC allows us to “incorporate by reference” into this prospectus supplement the information we have filed with the SEC. The information we incorporate by reference into this prospectus supplement is an important part of this prospectus supplement. Any statement in a document we incorporate by reference into this prospectus supplement or the accompanying prospectus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or accompanying prospectus, as applicable, except as modified or superseded.</w:t>
      </w:r>
    </w:p>
    <w:p>
      <w:pPr>
        <w:spacing w:after="0" w:line="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incorporate by reference into this prospectus supplement the information contained in the documents listed below, which is considered to be a part of this prospectus supplement:</w:t>
      </w:r>
    </w:p>
    <w:p>
      <w:pPr>
        <w:spacing w:after="0" w:line="74" w:lineRule="exact"/>
        <w:rPr>
          <w:sz w:val="20"/>
          <w:szCs w:val="20"/>
          <w:color w:val="auto"/>
        </w:rPr>
      </w:pPr>
    </w:p>
    <w:p>
      <w:pPr>
        <w:ind w:left="660" w:hanging="4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w:t>
      </w:r>
    </w:p>
    <w:p>
      <w:pPr>
        <w:spacing w:after="0" w:line="123" w:lineRule="exact"/>
        <w:rPr>
          <w:rFonts w:ascii="Arial" w:cs="Arial" w:eastAsia="Arial" w:hAnsi="Arial"/>
          <w:sz w:val="18"/>
          <w:szCs w:val="18"/>
          <w:color w:val="auto"/>
        </w:rPr>
      </w:pPr>
    </w:p>
    <w:p>
      <w:pPr>
        <w:ind w:left="660" w:hanging="4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ending March 31, 2009 and June 30, 2009;</w:t>
      </w:r>
    </w:p>
    <w:p>
      <w:pPr>
        <w:spacing w:after="0" w:line="123" w:lineRule="exact"/>
        <w:rPr>
          <w:rFonts w:ascii="Arial" w:cs="Arial" w:eastAsia="Arial" w:hAnsi="Arial"/>
          <w:sz w:val="18"/>
          <w:szCs w:val="18"/>
          <w:color w:val="auto"/>
        </w:rPr>
      </w:pPr>
    </w:p>
    <w:p>
      <w:pPr>
        <w:ind w:left="660" w:right="20" w:hanging="4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3, 2009, March 30, 2009, April 1, 2009, May 18, 2009 and June 8, 2009 (excluding any information furnished in such reports under Item 9.01);</w:t>
      </w:r>
    </w:p>
    <w:p>
      <w:pPr>
        <w:spacing w:after="0" w:line="87" w:lineRule="exact"/>
        <w:rPr>
          <w:rFonts w:ascii="Arial" w:cs="Arial" w:eastAsia="Arial" w:hAnsi="Arial"/>
          <w:sz w:val="18"/>
          <w:szCs w:val="18"/>
          <w:color w:val="auto"/>
        </w:rPr>
      </w:pPr>
    </w:p>
    <w:p>
      <w:pPr>
        <w:ind w:left="660" w:hanging="4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Proxy Statement of Schedule 14A filed with the SEC on April 30, 2009; and</w:t>
      </w:r>
    </w:p>
    <w:p>
      <w:pPr>
        <w:spacing w:after="0" w:line="123" w:lineRule="exact"/>
        <w:rPr>
          <w:rFonts w:ascii="Arial" w:cs="Arial" w:eastAsia="Arial" w:hAnsi="Arial"/>
          <w:sz w:val="18"/>
          <w:szCs w:val="18"/>
          <w:color w:val="auto"/>
        </w:rPr>
      </w:pPr>
    </w:p>
    <w:p>
      <w:pPr>
        <w:ind w:left="660" w:right="540" w:hanging="4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and related rights contained in our registration statements on Form 8-A (file no. 000-19871) filed under the Exchange Act, including any amendment or report filed for the purpose of updating such description.</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incorporate by reference all documents filed pursuant to Sections 13(a), 13(c), 14 or 15(d) of the Exchange Act after the date of this prospectus supplement and prior to the termination of this offering; provided, however, that we are not incorporating any information furnished under Item 2.02, Item 7.01 or Item 9.01 of any current report on Form 8-K we may subsequently file.</w:t>
      </w:r>
    </w:p>
    <w:p>
      <w:pPr>
        <w:spacing w:after="0" w:line="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Statements made in this prospectus supplement or the accompanying prospectus or in any document incorporated by reference in this prospectus supplement or the accompanying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Copies of these filings are also available, without charge, on our Internet website at </w:t>
      </w:r>
      <w:r>
        <w:rPr>
          <w:rFonts w:ascii="Arial" w:cs="Arial" w:eastAsia="Arial" w:hAnsi="Arial"/>
          <w:sz w:val="15"/>
          <w:szCs w:val="15"/>
          <w:i w:val="1"/>
          <w:iCs w:val="1"/>
          <w:color w:val="auto"/>
        </w:rPr>
        <w:t>www.stemcellsinc.com</w:t>
      </w:r>
      <w:r>
        <w:rPr>
          <w:rFonts w:ascii="Arial" w:cs="Arial" w:eastAsia="Arial" w:hAnsi="Arial"/>
          <w:sz w:val="15"/>
          <w:szCs w:val="15"/>
          <w:color w:val="auto"/>
        </w:rPr>
        <w:t xml:space="preserve"> after they are filed electronically with the SEC.</w:t>
      </w: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color w:val="auto"/>
        </w:rPr>
        <w:t>Legal matters</w:t>
      </w:r>
    </w:p>
    <w:p>
      <w:pPr>
        <w:spacing w:after="0" w:line="12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Various legal matters with respect to the validity of the shares of common stock and the warrants offered by this prospectus supplement will be passed upon for us by Ropes &amp; Gray LLP.</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color w:val="auto"/>
        </w:rPr>
        <w:t>Experts</w:t>
      </w:r>
    </w:p>
    <w:p>
      <w:pPr>
        <w:spacing w:after="0" w:line="12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audited by Grant Thornton LLP, independent registered public accountants, as indicated in their reports with respect thereto, and are included herein in reliance upon the authority of said firm as experts in giving said reports.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$100,000,000</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STEMCELLS,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Common Stock</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Preferred Stock</w:t>
      </w:r>
    </w:p>
    <w:p>
      <w:pPr>
        <w:jc w:val="center"/>
        <w:ind w:right="-19"/>
        <w:spacing w:after="0" w:line="236" w:lineRule="auto"/>
        <w:rPr>
          <w:sz w:val="20"/>
          <w:szCs w:val="20"/>
          <w:color w:val="auto"/>
        </w:rPr>
      </w:pPr>
      <w:r>
        <w:rPr>
          <w:rFonts w:ascii="Arial" w:cs="Arial" w:eastAsia="Arial" w:hAnsi="Arial"/>
          <w:sz w:val="21"/>
          <w:szCs w:val="21"/>
          <w:color w:val="auto"/>
        </w:rPr>
        <w:t>Warrants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184785</wp:posOffset>
            </wp:positionV>
            <wp:extent cx="18897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offer to the public, from time to time, in one or more series or issuances:</w:t>
      </w:r>
    </w:p>
    <w:p>
      <w:pPr>
        <w:spacing w:after="0" w:line="111" w:lineRule="exact"/>
        <w:rPr>
          <w:sz w:val="20"/>
          <w:szCs w:val="20"/>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shares of our common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shares of our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warrants to purchase shares of our common stock, preferred stock and/or debt securities; or</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debt securities consisting of debentures, notes or other evidences of indebtedness.</w:t>
      </w:r>
    </w:p>
    <w:p>
      <w:pPr>
        <w:spacing w:after="0" w:line="111" w:lineRule="exact"/>
        <w:rPr>
          <w:sz w:val="20"/>
          <w:szCs w:val="20"/>
          <w:color w:val="auto"/>
        </w:rPr>
      </w:pPr>
    </w:p>
    <w:p>
      <w:pPr>
        <w:ind w:right="60" w:firstLine="217"/>
        <w:spacing w:after="0" w:line="312" w:lineRule="auto"/>
        <w:rPr>
          <w:sz w:val="20"/>
          <w:szCs w:val="20"/>
          <w:color w:val="auto"/>
        </w:rPr>
      </w:pPr>
      <w:r>
        <w:rPr>
          <w:rFonts w:ascii="Arial" w:cs="Arial" w:eastAsia="Arial" w:hAnsi="Arial"/>
          <w:sz w:val="15"/>
          <w:szCs w:val="15"/>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an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43"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We will sell these securities directly to our stockholders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84"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color w:val="auto"/>
        </w:rPr>
        <w:t>Our common stock is traded on the Nasdaq Global Market under the symbol “STEM.” On June 11, 2008, the closing price of our common stock was $1.37 per share.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Investing in our securities involves risks. See “Risk Factors” on page 3</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295910</wp:posOffset>
            </wp:positionV>
            <wp:extent cx="1889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22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252730</wp:posOffset>
            </wp:positionV>
            <wp:extent cx="1889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60" w:type="dxa"/>
            <w:vAlign w:val="bottom"/>
            <w:gridSpan w:val="3"/>
          </w:tcPr>
          <w:p>
            <w:pPr>
              <w:ind w:left="6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8"/>
        </w:trPr>
        <w:tc>
          <w:tcPr>
            <w:tcW w:w="1560" w:type="dxa"/>
            <w:vAlign w:val="bottom"/>
            <w:gridSpan w:val="6"/>
            <w:vMerge w:val="restart"/>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About this Prospectus</w:t>
              </w:r>
            </w:hyperlink>
          </w:p>
        </w:tc>
        <w:tc>
          <w:tcPr>
            <w:tcW w:w="2600" w:type="dxa"/>
            <w:vAlign w:val="bottom"/>
            <w:gridSpan w:val="10"/>
            <w:vMerge w:val="restart"/>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0000EE"/>
            </w:tcBorders>
            <w:gridSpan w:val="6"/>
            <w:vMerge w:val="continue"/>
          </w:tcPr>
          <w:p>
            <w:pPr>
              <w:spacing w:after="0"/>
              <w:rPr>
                <w:sz w:val="14"/>
                <w:szCs w:val="14"/>
                <w:color w:val="auto"/>
              </w:rPr>
            </w:pPr>
          </w:p>
        </w:tc>
        <w:tc>
          <w:tcPr>
            <w:tcW w:w="2600" w:type="dxa"/>
            <w:vAlign w:val="bottom"/>
            <w:gridSpan w:val="10"/>
            <w:vMerge w:val="continue"/>
          </w:tcPr>
          <w:p>
            <w:pPr>
              <w:spacing w:after="0"/>
              <w:rPr>
                <w:sz w:val="14"/>
                <w:szCs w:val="14"/>
                <w:color w:val="auto"/>
              </w:rPr>
            </w:pPr>
          </w:p>
        </w:tc>
        <w:tc>
          <w:tcPr>
            <w:tcW w:w="6700" w:type="dxa"/>
            <w:vAlign w:val="bottom"/>
          </w:tcPr>
          <w:p>
            <w:pPr>
              <w:spacing w:after="0"/>
              <w:rPr>
                <w:sz w:val="14"/>
                <w:szCs w:val="14"/>
                <w:color w:val="auto"/>
              </w:rPr>
            </w:pPr>
          </w:p>
        </w:tc>
        <w:tc>
          <w:tcPr>
            <w:tcW w:w="34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0000EE"/>
            </w:tcBorders>
            <w:gridSpan w:val="7"/>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About StemCells, Inc.</w:t>
              </w:r>
            </w:hyperlink>
          </w:p>
        </w:tc>
        <w:tc>
          <w:tcPr>
            <w:tcW w:w="2580" w:type="dxa"/>
            <w:vAlign w:val="bottom"/>
            <w:gridSpan w:val="9"/>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900" w:type="dxa"/>
            <w:vAlign w:val="bottom"/>
            <w:tcBorders>
              <w:bottom w:val="single" w:sz="8" w:color="0000EE"/>
            </w:tcBorders>
            <w:gridSpan w:val="2"/>
          </w:tcPr>
          <w:p>
            <w:pPr>
              <w:spacing w:after="0" w:line="192"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3260" w:type="dxa"/>
            <w:vAlign w:val="bottom"/>
            <w:gridSpan w:val="1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Note Regarding Forward-Looking Statements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Use of Proceeds</w:t>
              </w:r>
            </w:hyperlink>
          </w:p>
        </w:tc>
        <w:tc>
          <w:tcPr>
            <w:tcW w:w="2080" w:type="dxa"/>
            <w:vAlign w:val="bottom"/>
            <w:tcBorders>
              <w:top w:val="single" w:sz="8" w:color="0000EE"/>
            </w:tcBorders>
            <w:gridSpan w:val="10"/>
          </w:tcPr>
          <w:p>
            <w:pPr>
              <w:spacing w:after="0"/>
              <w:rPr>
                <w:sz w:val="16"/>
                <w:szCs w:val="16"/>
                <w:color w:val="auto"/>
              </w:rPr>
            </w:pPr>
          </w:p>
        </w:tc>
        <w:tc>
          <w:tcPr>
            <w:tcW w:w="920" w:type="dxa"/>
            <w:vAlign w:val="bottom"/>
            <w:gridSpan w:val="2"/>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Ratio of Earnings to Fixed Charges</w:t>
              </w:r>
            </w:hyperlink>
          </w:p>
        </w:tc>
        <w:tc>
          <w:tcPr>
            <w:tcW w:w="1660" w:type="dxa"/>
            <w:vAlign w:val="bottom"/>
            <w:gridSpan w:val="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80" w:type="dxa"/>
            <w:vAlign w:val="bottom"/>
            <w:tcBorders>
              <w:bottom w:val="single" w:sz="8" w:color="0000EE"/>
            </w:tcBorders>
            <w:gridSpan w:val="11"/>
          </w:tcPr>
          <w:p>
            <w:pPr>
              <w:spacing w:after="0" w:line="19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Common Stock</w:t>
              </w:r>
            </w:hyperlink>
          </w:p>
        </w:tc>
        <w:tc>
          <w:tcPr>
            <w:tcW w:w="1980" w:type="dxa"/>
            <w:vAlign w:val="bottom"/>
            <w:gridSpan w:val="5"/>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Preferred Stock</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70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Warrants</w:t>
              </w:r>
            </w:hyperlink>
          </w:p>
        </w:tc>
        <w:tc>
          <w:tcPr>
            <w:tcW w:w="460" w:type="dxa"/>
            <w:vAlign w:val="bottom"/>
            <w:tcBorders>
              <w:top w:val="single" w:sz="8" w:color="0000EE"/>
            </w:tcBorders>
            <w:gridSpan w:val="2"/>
          </w:tcPr>
          <w:p>
            <w:pPr>
              <w:spacing w:after="0"/>
              <w:rPr>
                <w:sz w:val="16"/>
                <w:szCs w:val="16"/>
                <w:color w:val="auto"/>
              </w:rPr>
            </w:pPr>
          </w:p>
        </w:tc>
        <w:tc>
          <w:tcPr>
            <w:tcW w:w="2000" w:type="dxa"/>
            <w:vAlign w:val="bottom"/>
            <w:gridSpan w:val="6"/>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2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Where You Can Find More Information</w:t>
              </w:r>
            </w:hyperlink>
          </w:p>
        </w:tc>
        <w:tc>
          <w:tcPr>
            <w:tcW w:w="1340" w:type="dxa"/>
            <w:vAlign w:val="bottom"/>
            <w:gridSpan w:val="3"/>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of Certain Documents by Reference</w:t>
              </w:r>
            </w:hyperlink>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620" w:type="dxa"/>
            <w:vAlign w:val="bottom"/>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Borders>
              <w:top w:val="single" w:sz="8" w:color="0000EE"/>
            </w:tcBorders>
            <w:gridSpan w:val="3"/>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3180" w:type="dxa"/>
            <w:vAlign w:val="bottom"/>
            <w:gridSpan w:val="13"/>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firstLine="214"/>
        <w:spacing w:after="0" w:line="271"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firstLine="217"/>
        <w:spacing w:after="0" w:line="308" w:lineRule="auto"/>
        <w:rPr>
          <w:sz w:val="20"/>
          <w:szCs w:val="20"/>
          <w:color w:val="auto"/>
        </w:rPr>
      </w:pPr>
      <w:r>
        <w:rPr>
          <w:rFonts w:ascii="Arial" w:cs="Arial" w:eastAsia="Arial" w:hAnsi="Arial"/>
          <w:sz w:val="15"/>
          <w:szCs w:val="15"/>
          <w:color w:val="auto"/>
        </w:rPr>
        <w:t>This prospectus is a part of a registration statement that we filed with the Securities and Exchange Commission, or the SEC, using a “shelf” registration process. Under this shelf registration process, we may offer to sell any combination of the securities described in this prospectus in one or more offerings up to a total dollar amount of $100,000,000.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You should read both this prospectus and any prospectus supplement, including all documents incorporated herein or therein by reference, together with additional information described under “Where You Can Find More Information.”</w:t>
      </w:r>
    </w:p>
    <w:p>
      <w:pPr>
        <w:spacing w:after="0" w:line="48" w:lineRule="exact"/>
        <w:rPr>
          <w:sz w:val="20"/>
          <w:szCs w:val="20"/>
          <w:color w:val="auto"/>
        </w:rPr>
      </w:pPr>
    </w:p>
    <w:p>
      <w:pPr>
        <w:ind w:right="20" w:firstLine="217"/>
        <w:spacing w:after="0" w:line="304" w:lineRule="auto"/>
        <w:rPr>
          <w:sz w:val="20"/>
          <w:szCs w:val="20"/>
          <w:color w:val="auto"/>
        </w:rPr>
      </w:pPr>
      <w:r>
        <w:rPr>
          <w:rFonts w:ascii="Arial" w:cs="Arial" w:eastAsia="Arial" w:hAnsi="Arial"/>
          <w:sz w:val="15"/>
          <w:szCs w:val="15"/>
          <w:color w:val="auto"/>
        </w:rPr>
        <w:t>We have not authorized any dealer, salesman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STEMCELLS, INC.</w:t>
      </w:r>
    </w:p>
    <w:p>
      <w:pPr>
        <w:spacing w:after="0" w:line="117" w:lineRule="exact"/>
        <w:rPr>
          <w:sz w:val="20"/>
          <w:szCs w:val="20"/>
          <w:color w:val="auto"/>
        </w:rPr>
      </w:pPr>
    </w:p>
    <w:p>
      <w:pPr>
        <w:ind w:firstLine="220"/>
        <w:spacing w:after="0" w:line="304" w:lineRule="auto"/>
        <w:rPr>
          <w:sz w:val="20"/>
          <w:szCs w:val="20"/>
          <w:color w:val="auto"/>
        </w:rPr>
      </w:pPr>
      <w:r>
        <w:rPr>
          <w:rFonts w:ascii="Arial" w:cs="Arial" w:eastAsia="Arial" w:hAnsi="Arial"/>
          <w:sz w:val="15"/>
          <w:szCs w:val="15"/>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2"/>
          <w:szCs w:val="12"/>
          <w:color w:val="auto"/>
        </w:rPr>
        <w:t>®</w:t>
      </w:r>
      <w:r>
        <w:rPr>
          <w:rFonts w:ascii="Arial" w:cs="Arial" w:eastAsia="Arial" w:hAnsi="Arial"/>
          <w:sz w:val="15"/>
          <w:szCs w:val="15"/>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1" w:lineRule="exact"/>
        <w:rPr>
          <w:sz w:val="20"/>
          <w:szCs w:val="20"/>
          <w:color w:val="auto"/>
        </w:rPr>
      </w:pPr>
    </w:p>
    <w:p>
      <w:pPr>
        <w:ind w:right="100" w:firstLine="220"/>
        <w:spacing w:after="0" w:line="308" w:lineRule="auto"/>
        <w:rPr>
          <w:sz w:val="20"/>
          <w:szCs w:val="20"/>
          <w:color w:val="auto"/>
        </w:rPr>
      </w:pPr>
      <w:r>
        <w:rPr>
          <w:rFonts w:ascii="Arial" w:cs="Arial" w:eastAsia="Arial" w:hAnsi="Arial"/>
          <w:sz w:val="15"/>
          <w:szCs w:val="15"/>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48" w:lineRule="exact"/>
        <w:rPr>
          <w:sz w:val="20"/>
          <w:szCs w:val="20"/>
          <w:color w:val="auto"/>
        </w:rPr>
      </w:pPr>
    </w:p>
    <w:p>
      <w:pPr>
        <w:ind w:right="40" w:firstLine="217"/>
        <w:spacing w:after="0" w:line="250" w:lineRule="auto"/>
        <w:rPr>
          <w:sz w:val="20"/>
          <w:szCs w:val="20"/>
          <w:color w:val="auto"/>
        </w:rPr>
      </w:pPr>
      <w:r>
        <w:rPr>
          <w:rFonts w:ascii="Arial" w:cs="Arial" w:eastAsia="Arial" w:hAnsi="Arial"/>
          <w:sz w:val="18"/>
          <w:szCs w:val="18"/>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4"/>
          <w:szCs w:val="14"/>
          <w:color w:val="auto"/>
        </w:rPr>
        <w:t>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3017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67" w:lineRule="exact"/>
        <w:rPr>
          <w:sz w:val="20"/>
          <w:szCs w:val="20"/>
          <w:color w:val="auto"/>
        </w:rPr>
      </w:pPr>
    </w:p>
    <w:p>
      <w:pPr>
        <w:ind w:left="440" w:right="40" w:hanging="434"/>
        <w:spacing w:after="0" w:line="317" w:lineRule="auto"/>
        <w:tabs>
          <w:tab w:leader="none" w:pos="440" w:val="left"/>
        </w:tabs>
        <w:numPr>
          <w:ilvl w:val="0"/>
          <w:numId w:val="10"/>
        </w:numPr>
        <w:rPr>
          <w:rFonts w:ascii="Arial" w:cs="Arial" w:eastAsia="Arial" w:hAnsi="Arial"/>
          <w:sz w:val="13"/>
          <w:szCs w:val="13"/>
          <w:color w:val="auto"/>
        </w:rPr>
      </w:pPr>
      <w:r>
        <w:rPr>
          <w:rFonts w:ascii="Arial" w:cs="Arial" w:eastAsia="Arial" w:hAnsi="Arial"/>
          <w:sz w:val="15"/>
          <w:szCs w:val="15"/>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120" w:firstLine="220"/>
        <w:spacing w:after="0" w:line="317" w:lineRule="auto"/>
        <w:rPr>
          <w:sz w:val="20"/>
          <w:szCs w:val="20"/>
          <w:color w:val="auto"/>
        </w:rPr>
      </w:pPr>
      <w:r>
        <w:rPr>
          <w:rFonts w:ascii="Arial" w:cs="Arial" w:eastAsia="Arial" w:hAnsi="Arial"/>
          <w:sz w:val="15"/>
          <w:szCs w:val="15"/>
          <w:i w:val="1"/>
          <w:iCs w:val="1"/>
          <w:color w:val="auto"/>
        </w:rPr>
        <w:t>You should consider the “Risk Factors” included under Part I-Item 1A. of our most recent Annual Report on Form 10-K, which is incorporated by reference in this prospectus. The risks and uncertainties we describe are not the only ones facing us.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217"/>
        <w:spacing w:after="0" w:line="265"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77" w:lineRule="exact"/>
        <w:rPr>
          <w:sz w:val="20"/>
          <w:szCs w:val="20"/>
          <w:color w:val="auto"/>
        </w:rPr>
      </w:pPr>
    </w:p>
    <w:p>
      <w:pPr>
        <w:ind w:right="20" w:firstLine="220"/>
        <w:spacing w:after="0" w:line="299" w:lineRule="auto"/>
        <w:rPr>
          <w:sz w:val="20"/>
          <w:szCs w:val="20"/>
          <w:color w:val="auto"/>
        </w:rPr>
      </w:pPr>
      <w:r>
        <w:rPr>
          <w:rFonts w:ascii="Arial" w:cs="Arial" w:eastAsia="Arial" w:hAnsi="Arial"/>
          <w:sz w:val="15"/>
          <w:szCs w:val="15"/>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269"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380" w:firstLine="220"/>
        <w:spacing w:after="0" w:line="271" w:lineRule="auto"/>
        <w:rPr>
          <w:sz w:val="20"/>
          <w:szCs w:val="20"/>
          <w:color w:val="auto"/>
        </w:rPr>
      </w:pPr>
      <w:r>
        <w:rPr>
          <w:rFonts w:ascii="Arial" w:cs="Arial" w:eastAsia="Arial" w:hAnsi="Arial"/>
          <w:sz w:val="17"/>
          <w:szCs w:val="17"/>
          <w:color w:val="auto"/>
        </w:rPr>
        <w:t>Except as otherwise provided in the applicable prospectus supplement, we intend to use the net proceeds from the sale of the securities covered by this prospectus for general corporate purposes, which may include working capital, capital expenditures, research and development expenditures, clinical trial expenditures, acquisitions of new technologies or businesses, and investments. Additional information on the use of net proceeds from the sale of securities covered by this prospectus may be set forth in the prospectus supplement relating to the specific offering.</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117"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Our earnings are inadequate to cover fixed charges. The following table sets forth the dollar amount of the coverage. We have not included a ratio of earnings to combined fixed charges and preferred stock dividends because we do not have any preferred stock outstanding.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Year Ended December 31,</w:t>
            </w: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jc w:val="center"/>
              <w:ind w:left="304"/>
              <w:spacing w:after="0" w:line="14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2003</w:t>
            </w:r>
          </w:p>
        </w:tc>
        <w:tc>
          <w:tcPr>
            <w:tcW w:w="126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2004</w:t>
            </w:r>
          </w:p>
        </w:tc>
        <w:tc>
          <w:tcPr>
            <w:tcW w:w="1920" w:type="dxa"/>
            <w:vAlign w:val="bottom"/>
            <w:vMerge w:val="continue"/>
          </w:tcPr>
          <w:p>
            <w:pPr>
              <w:spacing w:after="0"/>
              <w:rPr>
                <w:sz w:val="12"/>
                <w:szCs w:val="12"/>
                <w:color w:val="auto"/>
              </w:rPr>
            </w:pPr>
          </w:p>
        </w:tc>
        <w:tc>
          <w:tcPr>
            <w:tcW w:w="126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2006</w:t>
            </w:r>
          </w:p>
        </w:tc>
        <w:tc>
          <w:tcPr>
            <w:tcW w:w="146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2007</w:t>
            </w:r>
          </w:p>
        </w:tc>
        <w:tc>
          <w:tcPr>
            <w:tcW w:w="1240" w:type="dxa"/>
            <w:vAlign w:val="bottom"/>
          </w:tcPr>
          <w:p>
            <w:pPr>
              <w:jc w:val="center"/>
              <w:ind w:left="304"/>
              <w:spacing w:after="0" w:line="14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920" w:type="dxa"/>
            <w:vAlign w:val="bottom"/>
          </w:tcPr>
          <w:p>
            <w:pPr>
              <w:jc w:val="right"/>
              <w:ind w:right="742"/>
              <w:spacing w:after="0" w:line="145" w:lineRule="exact"/>
              <w:rPr>
                <w:sz w:val="20"/>
                <w:szCs w:val="20"/>
                <w:color w:val="auto"/>
              </w:rPr>
            </w:pPr>
            <w:r>
              <w:rPr>
                <w:rFonts w:ascii="Arial" w:cs="Arial" w:eastAsia="Arial" w:hAnsi="Arial"/>
                <w:sz w:val="14"/>
                <w:szCs w:val="14"/>
                <w:b w:val="1"/>
                <w:bCs w:val="1"/>
                <w:color w:val="auto"/>
              </w:rPr>
              <w:t>2005</w:t>
            </w:r>
          </w:p>
        </w:tc>
        <w:tc>
          <w:tcPr>
            <w:tcW w:w="12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4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84"/>
        </w:trPr>
        <w:tc>
          <w:tcPr>
            <w:tcW w:w="2700" w:type="dxa"/>
            <w:vAlign w:val="bottom"/>
            <w:vMerge w:val="restart"/>
          </w:tcPr>
          <w:p>
            <w:pPr>
              <w:spacing w:after="0"/>
              <w:rPr>
                <w:sz w:val="20"/>
                <w:szCs w:val="20"/>
                <w:color w:val="auto"/>
              </w:rPr>
            </w:pPr>
            <w:r>
              <w:rPr>
                <w:rFonts w:ascii="Arial" w:cs="Arial" w:eastAsia="Arial" w:hAnsi="Arial"/>
                <w:sz w:val="18"/>
                <w:szCs w:val="18"/>
                <w:color w:val="auto"/>
                <w:w w:val="99"/>
              </w:rPr>
              <w:t>Ratio of earnings to fixed charges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80" w:type="dxa"/>
            <w:vAlign w:val="bottom"/>
            <w:gridSpan w:val="2"/>
          </w:tcPr>
          <w:p>
            <w:pPr>
              <w:jc w:val="right"/>
              <w:ind w:right="958"/>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20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Arial" w:cs="Arial" w:eastAsia="Arial" w:hAnsi="Arial"/>
                <w:sz w:val="18"/>
                <w:szCs w:val="18"/>
                <w:color w:val="auto"/>
              </w:rPr>
              <w:t>Deficiency of earnings available</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0"/>
              <w:spacing w:after="0"/>
              <w:rPr>
                <w:sz w:val="20"/>
                <w:szCs w:val="20"/>
                <w:color w:val="auto"/>
              </w:rPr>
            </w:pPr>
            <w:r>
              <w:rPr>
                <w:rFonts w:ascii="Arial" w:cs="Arial" w:eastAsia="Arial" w:hAnsi="Arial"/>
                <w:sz w:val="18"/>
                <w:szCs w:val="18"/>
                <w:color w:val="auto"/>
              </w:rPr>
              <w:t>to cover fixed charges</w:t>
            </w:r>
          </w:p>
        </w:tc>
        <w:tc>
          <w:tcPr>
            <w:tcW w:w="1420" w:type="dxa"/>
            <w:vAlign w:val="bottom"/>
          </w:tcPr>
          <w:p>
            <w:pPr>
              <w:jc w:val="right"/>
              <w:ind w:right="318"/>
              <w:spacing w:after="0"/>
              <w:rPr>
                <w:sz w:val="20"/>
                <w:szCs w:val="20"/>
                <w:color w:val="auto"/>
              </w:rPr>
            </w:pPr>
            <w:r>
              <w:rPr>
                <w:rFonts w:ascii="Arial" w:cs="Arial" w:eastAsia="Arial" w:hAnsi="Arial"/>
                <w:sz w:val="18"/>
                <w:szCs w:val="18"/>
                <w:color w:val="auto"/>
              </w:rPr>
              <w:t>$(14,425)</w:t>
            </w: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$(15,330)</w:t>
            </w:r>
          </w:p>
        </w:tc>
        <w:tc>
          <w:tcPr>
            <w:tcW w:w="1920" w:type="dxa"/>
            <w:vAlign w:val="bottom"/>
          </w:tcPr>
          <w:p>
            <w:pPr>
              <w:jc w:val="right"/>
              <w:ind w:right="542"/>
              <w:spacing w:after="0"/>
              <w:rPr>
                <w:sz w:val="20"/>
                <w:szCs w:val="20"/>
                <w:color w:val="auto"/>
              </w:rPr>
            </w:pPr>
            <w:r>
              <w:rPr>
                <w:rFonts w:ascii="Arial" w:cs="Arial" w:eastAsia="Arial" w:hAnsi="Arial"/>
                <w:sz w:val="18"/>
                <w:szCs w:val="18"/>
                <w:color w:val="auto"/>
              </w:rPr>
              <w:t>$(11,738)</w:t>
            </w:r>
          </w:p>
        </w:tc>
        <w:tc>
          <w:tcPr>
            <w:tcW w:w="1260" w:type="dxa"/>
            <w:vAlign w:val="bottom"/>
          </w:tcPr>
          <w:p>
            <w:pPr>
              <w:jc w:val="right"/>
              <w:ind w:right="318"/>
              <w:spacing w:after="0"/>
              <w:rPr>
                <w:sz w:val="20"/>
                <w:szCs w:val="20"/>
                <w:color w:val="auto"/>
              </w:rPr>
            </w:pPr>
            <w:r>
              <w:rPr>
                <w:rFonts w:ascii="Arial" w:cs="Arial" w:eastAsia="Arial" w:hAnsi="Arial"/>
                <w:sz w:val="18"/>
                <w:szCs w:val="18"/>
                <w:color w:val="auto"/>
              </w:rPr>
              <w:t>$(18,948)</w:t>
            </w:r>
          </w:p>
        </w:tc>
        <w:tc>
          <w:tcPr>
            <w:tcW w:w="1460" w:type="dxa"/>
            <w:vAlign w:val="bottom"/>
          </w:tcPr>
          <w:p>
            <w:pPr>
              <w:jc w:val="right"/>
              <w:ind w:right="298"/>
              <w:spacing w:after="0"/>
              <w:rPr>
                <w:sz w:val="20"/>
                <w:szCs w:val="20"/>
                <w:color w:val="auto"/>
              </w:rPr>
            </w:pPr>
            <w:r>
              <w:rPr>
                <w:rFonts w:ascii="Arial" w:cs="Arial" w:eastAsia="Arial" w:hAnsi="Arial"/>
                <w:sz w:val="18"/>
                <w:szCs w:val="18"/>
                <w:color w:val="auto"/>
              </w:rPr>
              <w:t>$(25,023)</w:t>
            </w:r>
          </w:p>
        </w:tc>
        <w:tc>
          <w:tcPr>
            <w:tcW w:w="1240" w:type="dxa"/>
            <w:vAlign w:val="bottom"/>
          </w:tcPr>
          <w:p>
            <w:pPr>
              <w:jc w:val="right"/>
              <w:ind w:right="64"/>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9" w:lineRule="exact"/>
        <w:rPr>
          <w:sz w:val="20"/>
          <w:szCs w:val="20"/>
          <w:color w:val="auto"/>
        </w:rPr>
      </w:pPr>
    </w:p>
    <w:p>
      <w:pPr>
        <w:ind w:left="5680" w:right="1940" w:hanging="5674"/>
        <w:spacing w:after="0" w:line="463"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each of the periods presented, our earnings were insufficient to cover fixed charges and accordingly ratios are not presented.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right"/>
        <w:ind w:right="4600"/>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jc w:val="right"/>
        <w:ind w:right="4580"/>
        <w:spacing w:after="0"/>
        <w:rPr>
          <w:sz w:val="20"/>
          <w:szCs w:val="20"/>
          <w:color w:val="auto"/>
        </w:rPr>
      </w:pPr>
      <w:r>
        <w:rPr>
          <w:rFonts w:ascii="Arial" w:cs="Arial" w:eastAsia="Arial" w:hAnsi="Arial"/>
          <w:sz w:val="17"/>
          <w:szCs w:val="17"/>
          <w:color w:val="auto"/>
        </w:rPr>
        <w:t>We may sell securities in any of the ways described below or in any combination of these:</w:t>
      </w:r>
    </w:p>
    <w:p>
      <w:pPr>
        <w:spacing w:after="0" w:line="122" w:lineRule="exact"/>
        <w:rPr>
          <w:sz w:val="20"/>
          <w:szCs w:val="20"/>
          <w:color w:val="auto"/>
        </w:rPr>
      </w:pPr>
    </w:p>
    <w:p>
      <w:pPr>
        <w:ind w:left="1120" w:hanging="440"/>
        <w:spacing w:after="0"/>
        <w:tabs>
          <w:tab w:leader="none" w:pos="11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 or through underwriters or dealers;</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one or more agents; or</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directly to purchasers or to a single purchaser.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11" w:lineRule="exact"/>
        <w:rPr>
          <w:sz w:val="20"/>
          <w:szCs w:val="20"/>
          <w:color w:val="auto"/>
        </w:rPr>
      </w:pPr>
    </w:p>
    <w:p>
      <w:pPr>
        <w:ind w:left="1120" w:hanging="440"/>
        <w:spacing w:after="0"/>
        <w:tabs>
          <w:tab w:leader="none" w:pos="11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 from time to time;</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11" w:lineRule="exact"/>
        <w:rPr>
          <w:sz w:val="20"/>
          <w:szCs w:val="20"/>
          <w:color w:val="auto"/>
        </w:rPr>
      </w:pPr>
    </w:p>
    <w:p>
      <w:pPr>
        <w:ind w:right="600" w:firstLine="438"/>
        <w:spacing w:after="0" w:line="264"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4" w:lineRule="exact"/>
        <w:rPr>
          <w:sz w:val="20"/>
          <w:szCs w:val="20"/>
          <w:color w:val="auto"/>
        </w:rPr>
      </w:pPr>
    </w:p>
    <w:p>
      <w:pPr>
        <w:ind w:left="1120" w:hanging="440"/>
        <w:spacing w:after="0"/>
        <w:tabs>
          <w:tab w:leader="none" w:pos="112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35" w:lineRule="exact"/>
        <w:rPr>
          <w:rFonts w:ascii="Arial" w:cs="Arial" w:eastAsia="Arial" w:hAnsi="Arial"/>
          <w:sz w:val="17"/>
          <w:szCs w:val="17"/>
          <w:b w:val="1"/>
          <w:bCs w:val="1"/>
          <w:color w:val="auto"/>
        </w:rPr>
      </w:pPr>
    </w:p>
    <w:p>
      <w:pPr>
        <w:ind w:left="1120" w:right="220" w:hanging="440"/>
        <w:spacing w:after="0" w:line="264" w:lineRule="auto"/>
        <w:tabs>
          <w:tab w:leader="none" w:pos="11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87"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securities exchanges on which the securities may be listed.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Only the agents or underwriters named in each prospectus supplement are agents or underwriters in connection with the securities being offered thereby.</w:t>
      </w:r>
    </w:p>
    <w:p>
      <w:pPr>
        <w:spacing w:after="0" w:line="145" w:lineRule="exact"/>
        <w:rPr>
          <w:sz w:val="20"/>
          <w:szCs w:val="20"/>
          <w:color w:val="auto"/>
        </w:rPr>
      </w:pPr>
    </w:p>
    <w:p>
      <w:pPr>
        <w:ind w:firstLine="438"/>
        <w:spacing w:after="0" w:line="265" w:lineRule="auto"/>
        <w:rPr>
          <w:sz w:val="20"/>
          <w:szCs w:val="20"/>
          <w:color w:val="auto"/>
        </w:rPr>
      </w:pPr>
      <w:r>
        <w:rPr>
          <w:rFonts w:ascii="Arial" w:cs="Arial" w:eastAsia="Arial" w:hAnsi="Arial"/>
          <w:sz w:val="17"/>
          <w:szCs w:val="17"/>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77" w:lineRule="exact"/>
        <w:rPr>
          <w:sz w:val="20"/>
          <w:szCs w:val="20"/>
          <w:color w:val="auto"/>
        </w:rPr>
      </w:pPr>
    </w:p>
    <w:p>
      <w:pPr>
        <w:ind w:right="40" w:firstLine="431"/>
        <w:spacing w:after="0" w:line="329" w:lineRule="auto"/>
        <w:rPr>
          <w:sz w:val="20"/>
          <w:szCs w:val="20"/>
          <w:color w:val="auto"/>
        </w:rPr>
      </w:pPr>
      <w:r>
        <w:rPr>
          <w:rFonts w:ascii="Arial" w:cs="Arial" w:eastAsia="Arial" w:hAnsi="Arial"/>
          <w:sz w:val="15"/>
          <w:szCs w:val="15"/>
          <w:color w:val="auto"/>
        </w:rPr>
        <w:t>Agents, underwriters and other third parties described above may be entitled to indemnification by us against certain civil liabilities, including liabilities under the Securities Act of 1933,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firstLine="441"/>
        <w:spacing w:after="0" w:line="306" w:lineRule="auto"/>
        <w:rPr>
          <w:sz w:val="20"/>
          <w:szCs w:val="20"/>
          <w:color w:val="auto"/>
        </w:rPr>
      </w:pPr>
      <w:r>
        <w:rPr>
          <w:rFonts w:ascii="Arial" w:cs="Arial" w:eastAsia="Arial" w:hAnsi="Arial"/>
          <w:sz w:val="15"/>
          <w:szCs w:val="15"/>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any remarketing firm and the terms of its agreement, if any, with us and will describe the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4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84" w:lineRule="exact"/>
        <w:rPr>
          <w:sz w:val="20"/>
          <w:szCs w:val="20"/>
          <w:color w:val="auto"/>
        </w:rPr>
      </w:pPr>
    </w:p>
    <w:p>
      <w:pPr>
        <w:ind w:right="40" w:firstLine="438"/>
        <w:spacing w:after="0" w:line="276"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of trading markets for, any of our securities.</w:t>
      </w:r>
    </w:p>
    <w:p>
      <w:pPr>
        <w:spacing w:after="0" w:line="66" w:lineRule="exact"/>
        <w:rPr>
          <w:sz w:val="20"/>
          <w:szCs w:val="20"/>
          <w:color w:val="auto"/>
        </w:rPr>
      </w:pPr>
    </w:p>
    <w:p>
      <w:pPr>
        <w:ind w:right="80" w:firstLine="441"/>
        <w:spacing w:after="0" w:line="248" w:lineRule="auto"/>
        <w:rPr>
          <w:sz w:val="20"/>
          <w:szCs w:val="20"/>
          <w:color w:val="auto"/>
        </w:rPr>
      </w:pPr>
      <w:r>
        <w:rPr>
          <w:rFonts w:ascii="Arial" w:cs="Arial" w:eastAsia="Arial" w:hAnsi="Arial"/>
          <w:sz w:val="18"/>
          <w:szCs w:val="18"/>
          <w:color w:val="auto"/>
        </w:rPr>
        <w:t>Certain persons participating in this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125,000,000 shares of common stock. As of June 1, 2008, we had 80,810,302 shares of common stock outstanding.</w:t>
      </w:r>
    </w:p>
    <w:p>
      <w:pPr>
        <w:spacing w:after="0" w:line="122" w:lineRule="exact"/>
        <w:rPr>
          <w:sz w:val="20"/>
          <w:szCs w:val="20"/>
          <w:color w:val="auto"/>
        </w:rPr>
      </w:pPr>
    </w:p>
    <w:p>
      <w:pPr>
        <w:ind w:right="380" w:firstLine="217"/>
        <w:spacing w:after="0" w:line="254"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20" w:firstLine="220"/>
        <w:spacing w:after="0" w:line="249"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and, upon issuance and sale, all shares we are offering by this prospectus, will be fully-paid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17"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We are authorized to issue 1,000,000 shares of undesignated preferred stock. As of June 1, 2008, no shares of our preferred stock were outstanding. The following summary of certain provisions of our preferred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87" w:lineRule="exact"/>
        <w:rPr>
          <w:sz w:val="20"/>
          <w:szCs w:val="20"/>
          <w:color w:val="auto"/>
        </w:rPr>
      </w:pPr>
    </w:p>
    <w:p>
      <w:pPr>
        <w:ind w:right="60" w:firstLine="220"/>
        <w:spacing w:after="0" w:line="304" w:lineRule="auto"/>
        <w:rPr>
          <w:sz w:val="20"/>
          <w:szCs w:val="20"/>
          <w:color w:val="auto"/>
        </w:rPr>
      </w:pPr>
      <w:r>
        <w:rPr>
          <w:rFonts w:ascii="Arial" w:cs="Arial" w:eastAsia="Arial" w:hAnsi="Arial"/>
          <w:sz w:val="15"/>
          <w:szCs w:val="15"/>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51" w:lineRule="exact"/>
        <w:rPr>
          <w:sz w:val="20"/>
          <w:szCs w:val="20"/>
          <w:color w:val="auto"/>
        </w:rPr>
      </w:pPr>
    </w:p>
    <w:p>
      <w:pPr>
        <w:ind w:right="240" w:firstLine="220"/>
        <w:spacing w:after="0" w:line="363" w:lineRule="auto"/>
        <w:rPr>
          <w:sz w:val="20"/>
          <w:szCs w:val="20"/>
          <w:color w:val="auto"/>
        </w:rPr>
      </w:pPr>
      <w:r>
        <w:rPr>
          <w:rFonts w:ascii="Arial" w:cs="Arial" w:eastAsia="Arial" w:hAnsi="Arial"/>
          <w:sz w:val="15"/>
          <w:szCs w:val="15"/>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 w:lineRule="exact"/>
        <w:rPr>
          <w:sz w:val="20"/>
          <w:szCs w:val="20"/>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title and stated value;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number of shares offered, the liquidation preference per share and the purchase price;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dividend rate(s), period(s) and/or payment date(s), or method(s) of calculation for such dividends;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provisions for a sinking fund,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provisions for redemption, if applicable;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listing of the preferred stock on any securities exchange or market;</w:t>
      </w:r>
    </w:p>
    <w:p>
      <w:pPr>
        <w:spacing w:after="0" w:line="123" w:lineRule="exact"/>
        <w:rPr>
          <w:rFonts w:ascii="Arial" w:cs="Arial" w:eastAsia="Arial" w:hAnsi="Arial"/>
          <w:sz w:val="18"/>
          <w:szCs w:val="18"/>
          <w:b w:val="1"/>
          <w:bCs w:val="1"/>
          <w:color w:val="auto"/>
        </w:rPr>
      </w:pPr>
    </w:p>
    <w:p>
      <w:pPr>
        <w:ind w:left="660" w:right="520" w:hanging="429"/>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87" w:lineRule="exact"/>
        <w:rPr>
          <w:rFonts w:ascii="Arial" w:cs="Arial" w:eastAsia="Arial" w:hAnsi="Arial"/>
          <w:sz w:val="18"/>
          <w:szCs w:val="18"/>
          <w:b w:val="1"/>
          <w:bCs w:val="1"/>
          <w:color w:val="auto"/>
        </w:rPr>
      </w:pPr>
    </w:p>
    <w:p>
      <w:pPr>
        <w:ind w:left="660" w:right="60" w:hanging="429"/>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voting rights, if any, of the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23" w:lineRule="exact"/>
        <w:rPr>
          <w:rFonts w:ascii="Arial" w:cs="Arial" w:eastAsia="Arial" w:hAnsi="Arial"/>
          <w:sz w:val="18"/>
          <w:szCs w:val="18"/>
          <w:b w:val="1"/>
          <w:bCs w:val="1"/>
          <w:color w:val="auto"/>
        </w:rPr>
      </w:pPr>
    </w:p>
    <w:p>
      <w:pPr>
        <w:ind w:left="660" w:right="180" w:hanging="429"/>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StemCells, Inc.; and</w:t>
      </w:r>
    </w:p>
    <w:p>
      <w:pPr>
        <w:spacing w:after="0" w:line="87" w:lineRule="exact"/>
        <w:rPr>
          <w:rFonts w:ascii="Arial" w:cs="Arial" w:eastAsia="Arial" w:hAnsi="Arial"/>
          <w:sz w:val="18"/>
          <w:szCs w:val="18"/>
          <w:b w:val="1"/>
          <w:bCs w:val="1"/>
          <w:color w:val="auto"/>
        </w:rPr>
      </w:pPr>
    </w:p>
    <w:p>
      <w:pPr>
        <w:ind w:left="660" w:right="400" w:hanging="429"/>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StemCells, Inc.</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each applicable prospectus supplement.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17" w:lineRule="exact"/>
        <w:rPr>
          <w:sz w:val="20"/>
          <w:szCs w:val="20"/>
          <w:color w:val="auto"/>
        </w:rPr>
      </w:pPr>
    </w:p>
    <w:p>
      <w:pPr>
        <w:ind w:right="140" w:firstLine="217"/>
        <w:spacing w:after="0" w:line="329" w:lineRule="auto"/>
        <w:rPr>
          <w:sz w:val="20"/>
          <w:szCs w:val="20"/>
          <w:color w:val="auto"/>
        </w:rPr>
      </w:pPr>
      <w:r>
        <w:rPr>
          <w:rFonts w:ascii="Arial" w:cs="Arial" w:eastAsia="Arial" w:hAnsi="Arial"/>
          <w:sz w:val="15"/>
          <w:szCs w:val="15"/>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to the warrants.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111" w:lineRule="exact"/>
        <w:rPr>
          <w:sz w:val="20"/>
          <w:szCs w:val="20"/>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specific designation and aggregate number of, and the price at which we will issue, the warrants;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currency or currency units in which the offering price, if any, and the exercise price are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purchasable upon exercise of the warrants;</w:t>
      </w:r>
    </w:p>
    <w:p>
      <w:pPr>
        <w:spacing w:after="0" w:line="123" w:lineRule="exact"/>
        <w:rPr>
          <w:rFonts w:ascii="Arial" w:cs="Arial" w:eastAsia="Arial" w:hAnsi="Arial"/>
          <w:sz w:val="18"/>
          <w:szCs w:val="18"/>
          <w:b w:val="1"/>
          <w:bCs w:val="1"/>
          <w:color w:val="auto"/>
        </w:rPr>
      </w:pPr>
    </w:p>
    <w:p>
      <w:pPr>
        <w:ind w:left="660" w:right="640" w:hanging="429"/>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87" w:lineRule="exact"/>
        <w:rPr>
          <w:rFonts w:ascii="Arial" w:cs="Arial" w:eastAsia="Arial" w:hAnsi="Arial"/>
          <w:sz w:val="18"/>
          <w:szCs w:val="18"/>
          <w:b w:val="1"/>
          <w:bCs w:val="1"/>
          <w:color w:val="auto"/>
        </w:rPr>
      </w:pPr>
    </w:p>
    <w:p>
      <w:pPr>
        <w:ind w:left="660" w:hanging="429"/>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87" w:lineRule="exact"/>
        <w:rPr>
          <w:rFonts w:ascii="Arial" w:cs="Arial" w:eastAsia="Arial" w:hAnsi="Arial"/>
          <w:sz w:val="18"/>
          <w:szCs w:val="18"/>
          <w:b w:val="1"/>
          <w:bCs w:val="1"/>
          <w:color w:val="auto"/>
        </w:rPr>
      </w:pPr>
    </w:p>
    <w:p>
      <w:pPr>
        <w:ind w:left="660" w:right="160" w:hanging="429"/>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7" w:lineRule="exact"/>
        <w:rPr>
          <w:rFonts w:ascii="Arial" w:cs="Arial" w:eastAsia="Arial" w:hAnsi="Arial"/>
          <w:sz w:val="18"/>
          <w:szCs w:val="18"/>
          <w:b w:val="1"/>
          <w:bCs w:val="1"/>
          <w:color w:val="auto"/>
        </w:rPr>
      </w:pPr>
    </w:p>
    <w:p>
      <w:pPr>
        <w:ind w:left="660" w:right="80" w:hanging="429"/>
        <w:spacing w:after="0" w:line="293"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5" w:lineRule="exact"/>
        <w:rPr>
          <w:rFonts w:ascii="Arial" w:cs="Arial" w:eastAsia="Arial" w:hAnsi="Arial"/>
          <w:sz w:val="17"/>
          <w:szCs w:val="17"/>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applicable material U.S. federal income tax consequences;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the identity of the warrant agent for the warrants and of any other depositaries, execution or paying agents, transfer agents, registrars or other agents;</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if applicable, the date from and after which the warrants and the common stock, preferred stock and/or debt securities will be separately transferable;</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if applicable, the minimum or maximum amount of the warrants that may be exercised at any one time;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anti-dilution provisions of the warrants,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redemption or call provisions;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whether the warrants are to be sold separately or with other securities as parts of units; and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ind w:right="20" w:firstLine="217"/>
        <w:spacing w:after="0" w:line="250" w:lineRule="auto"/>
        <w:rPr>
          <w:sz w:val="20"/>
          <w:szCs w:val="20"/>
          <w:color w:val="auto"/>
        </w:rPr>
      </w:pPr>
      <w:r>
        <w:rPr>
          <w:rFonts w:ascii="Arial" w:cs="Arial" w:eastAsia="Arial" w:hAnsi="Arial"/>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6" w:lineRule="exact"/>
        <w:rPr>
          <w:sz w:val="20"/>
          <w:szCs w:val="20"/>
          <w:color w:val="auto"/>
        </w:rPr>
      </w:pPr>
    </w:p>
    <w:p>
      <w:pPr>
        <w:ind w:right="100" w:firstLine="217"/>
        <w:spacing w:after="0" w:line="251" w:lineRule="auto"/>
        <w:rPr>
          <w:sz w:val="20"/>
          <w:szCs w:val="20"/>
          <w:color w:val="auto"/>
        </w:rPr>
      </w:pPr>
      <w:r>
        <w:rPr>
          <w:rFonts w:ascii="Arial" w:cs="Arial" w:eastAsia="Arial" w:hAnsi="Arial"/>
          <w:sz w:val="18"/>
          <w:szCs w:val="18"/>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initial public offering price of up to $100,000,000. Unless otherwise specified in the applicable prospectus supplement, the debt securities will represent direct, unsecured obligations of StemCells, Inc. and will rank equally with all of our other unsecured indebtedness.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The following statements relating to the debt securities and the indenture are summaries, qualified in their entirety to the detailed provisions of the indenture.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80" w:firstLine="217"/>
        <w:spacing w:after="0" w:line="293"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52" w:lineRule="exact"/>
        <w:rPr>
          <w:sz w:val="20"/>
          <w:szCs w:val="20"/>
          <w:color w:val="auto"/>
        </w:rPr>
      </w:pPr>
    </w:p>
    <w:p>
      <w:pPr>
        <w:ind w:right="100" w:firstLine="217"/>
        <w:spacing w:after="0" w:line="264"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74" w:lineRule="exact"/>
        <w:rPr>
          <w:sz w:val="20"/>
          <w:szCs w:val="20"/>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title of the series;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limit on the aggregate principal amount;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date or dates on which principal is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if applicable, premium and interest, is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the denominations in which such debt securities may be issuable, if other than denominations of $1,000 or any integral multiple of that number;</w:t>
      </w:r>
    </w:p>
    <w:p>
      <w:pPr>
        <w:spacing w:after="0" w:line="158" w:lineRule="exact"/>
        <w:rPr>
          <w:rFonts w:ascii="Arial" w:cs="Arial" w:eastAsia="Arial" w:hAnsi="Arial"/>
          <w:sz w:val="15"/>
          <w:szCs w:val="15"/>
          <w:b w:val="1"/>
          <w:bCs w:val="1"/>
          <w:color w:val="auto"/>
        </w:rPr>
      </w:pPr>
    </w:p>
    <w:p>
      <w:pPr>
        <w:ind w:left="660" w:right="30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whether the debt securities are to be issuable in the form of certificated debt securities (as described below) or global debt securities (as described below);</w:t>
      </w:r>
    </w:p>
    <w:p>
      <w:pPr>
        <w:spacing w:after="0" w:line="87" w:lineRule="exact"/>
        <w:rPr>
          <w:rFonts w:ascii="Arial" w:cs="Arial" w:eastAsia="Arial" w:hAnsi="Arial"/>
          <w:sz w:val="18"/>
          <w:szCs w:val="18"/>
          <w:b w:val="1"/>
          <w:bCs w:val="1"/>
          <w:color w:val="auto"/>
        </w:rPr>
      </w:pPr>
    </w:p>
    <w:p>
      <w:pPr>
        <w:ind w:left="66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currency of denomination;</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the designation of the currency, currencies or currency units in which payment of principal and, if applicable, premium and interest, will be made;</w:t>
      </w:r>
    </w:p>
    <w:p>
      <w:pPr>
        <w:spacing w:after="0" w:line="158" w:lineRule="exact"/>
        <w:rPr>
          <w:rFonts w:ascii="Arial" w:cs="Arial" w:eastAsia="Arial" w:hAnsi="Arial"/>
          <w:sz w:val="15"/>
          <w:szCs w:val="15"/>
          <w:b w:val="1"/>
          <w:bCs w:val="1"/>
          <w:color w:val="auto"/>
        </w:rPr>
      </w:pPr>
    </w:p>
    <w:p>
      <w:pPr>
        <w:ind w:left="660" w:hanging="429"/>
        <w:spacing w:after="0" w:line="293" w:lineRule="auto"/>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5" w:lineRule="exact"/>
        <w:rPr>
          <w:rFonts w:ascii="Arial" w:cs="Arial" w:eastAsia="Arial" w:hAnsi="Arial"/>
          <w:sz w:val="17"/>
          <w:szCs w:val="17"/>
          <w:b w:val="1"/>
          <w:bCs w:val="1"/>
          <w:color w:val="auto"/>
        </w:rPr>
      </w:pPr>
    </w:p>
    <w:p>
      <w:pPr>
        <w:ind w:left="660" w:right="140" w:hanging="429"/>
        <w:spacing w:after="0" w:line="364" w:lineRule="auto"/>
        <w:tabs>
          <w:tab w:leader="none" w:pos="6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9" w:lineRule="exact"/>
        <w:rPr>
          <w:rFonts w:ascii="Arial" w:cs="Arial" w:eastAsia="Arial" w:hAnsi="Arial"/>
          <w:sz w:val="15"/>
          <w:szCs w:val="15"/>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provisions, if any, relating to any collateral provided for such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events of default, if not otherwise described below under “Events of Default”;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for conversion into or exchange for shares of common stock or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20"/>
        </w:numPr>
        <w:rPr>
          <w:rFonts w:ascii="Arial" w:cs="Arial" w:eastAsia="Arial" w:hAnsi="Arial"/>
          <w:sz w:val="15"/>
          <w:szCs w:val="15"/>
          <w:b w:val="1"/>
          <w:bCs w:val="1"/>
          <w:color w:val="auto"/>
        </w:rPr>
      </w:pPr>
      <w:r>
        <w:rPr>
          <w:rFonts w:ascii="Arial" w:cs="Arial" w:eastAsia="Arial" w:hAnsi="Arial"/>
          <w:sz w:val="15"/>
          <w:szCs w:val="15"/>
          <w:color w:val="auto"/>
        </w:rPr>
        <w:t>the terms and conditions, if any, upon which the debt securities shall be subordinated in right of payment to other indebtedness of StemCells, Inc.</w:t>
      </w:r>
    </w:p>
    <w:p>
      <w:pPr>
        <w:spacing w:after="0" w:line="145" w:lineRule="exact"/>
        <w:rPr>
          <w:sz w:val="20"/>
          <w:szCs w:val="20"/>
          <w:color w:val="auto"/>
        </w:rPr>
      </w:pPr>
    </w:p>
    <w:p>
      <w:pPr>
        <w:ind w:firstLine="217"/>
        <w:spacing w:after="0" w:line="271"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70" w:lineRule="exact"/>
        <w:rPr>
          <w:sz w:val="20"/>
          <w:szCs w:val="20"/>
          <w:color w:val="auto"/>
        </w:rPr>
      </w:pPr>
    </w:p>
    <w:p>
      <w:pPr>
        <w:jc w:val="both"/>
        <w:ind w:right="120" w:firstLine="217"/>
        <w:spacing w:after="0" w:line="25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117" w:lineRule="exact"/>
        <w:rPr>
          <w:sz w:val="20"/>
          <w:szCs w:val="20"/>
          <w:color w:val="auto"/>
        </w:rPr>
      </w:pPr>
    </w:p>
    <w:p>
      <w:pPr>
        <w:ind w:right="20" w:firstLine="217"/>
        <w:spacing w:after="0" w:line="264" w:lineRule="auto"/>
        <w:rPr>
          <w:sz w:val="20"/>
          <w:szCs w:val="20"/>
          <w:color w:val="auto"/>
        </w:rPr>
      </w:pPr>
      <w:r>
        <w:rPr>
          <w:rFonts w:ascii="Arial" w:cs="Arial" w:eastAsia="Arial" w:hAnsi="Arial"/>
          <w:sz w:val="18"/>
          <w:szCs w:val="18"/>
          <w:color w:val="auto"/>
        </w:rPr>
        <w:t>We may issue debt securities which can be exchanged for or converted into shares of common stock or preferred stock. If we do, we will describe the terms of exchange or conversion in the prospectus supplement relating to these debt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11" w:lineRule="exact"/>
        <w:rPr>
          <w:sz w:val="20"/>
          <w:szCs w:val="20"/>
          <w:color w:val="auto"/>
        </w:rPr>
      </w:pPr>
    </w:p>
    <w:p>
      <w:pPr>
        <w:ind w:left="660" w:right="780" w:hanging="429"/>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111" w:lineRule="exact"/>
        <w:rPr>
          <w:sz w:val="20"/>
          <w:szCs w:val="20"/>
          <w:color w:val="auto"/>
        </w:rPr>
      </w:pPr>
    </w:p>
    <w:p>
      <w:pPr>
        <w:ind w:right="720" w:firstLine="217"/>
        <w:spacing w:after="0" w:line="264"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117" w:lineRule="exact"/>
        <w:rPr>
          <w:sz w:val="20"/>
          <w:szCs w:val="20"/>
          <w:color w:val="auto"/>
        </w:rPr>
      </w:pPr>
    </w:p>
    <w:p>
      <w:pPr>
        <w:ind w:right="320" w:firstLine="220"/>
        <w:spacing w:after="0" w:line="329" w:lineRule="auto"/>
        <w:rPr>
          <w:sz w:val="20"/>
          <w:szCs w:val="20"/>
          <w:color w:val="auto"/>
        </w:rPr>
      </w:pPr>
      <w:r>
        <w:rPr>
          <w:rFonts w:ascii="Arial" w:cs="Arial" w:eastAsia="Arial" w:hAnsi="Arial"/>
          <w:sz w:val="15"/>
          <w:szCs w:val="15"/>
          <w:color w:val="auto"/>
        </w:rPr>
        <w:t>If you hold certificated debt securities, you may transfer or exchange such debt securities at the trustee’s office or at the paying agent’s office or agency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31" w:lineRule="exact"/>
        <w:rPr>
          <w:sz w:val="20"/>
          <w:szCs w:val="20"/>
          <w:color w:val="auto"/>
        </w:rPr>
      </w:pPr>
    </w:p>
    <w:p>
      <w:pPr>
        <w:jc w:val="both"/>
        <w:ind w:right="180" w:firstLine="214"/>
        <w:spacing w:after="0" w:line="364" w:lineRule="auto"/>
        <w:rPr>
          <w:sz w:val="20"/>
          <w:szCs w:val="20"/>
          <w:color w:val="auto"/>
        </w:rPr>
      </w:pPr>
      <w:r>
        <w:rPr>
          <w:rFonts w:ascii="Arial" w:cs="Arial" w:eastAsia="Arial" w:hAnsi="Arial"/>
          <w:sz w:val="15"/>
          <w:szCs w:val="15"/>
          <w:color w:val="auto"/>
        </w:rPr>
        <w:t>You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jc w:val="both"/>
        <w:ind w:right="180" w:firstLine="220"/>
        <w:spacing w:after="0" w:line="25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84" w:lineRule="exact"/>
        <w:rPr>
          <w:sz w:val="20"/>
          <w:szCs w:val="20"/>
          <w:color w:val="auto"/>
        </w:rPr>
      </w:pPr>
    </w:p>
    <w:p>
      <w:pPr>
        <w:ind w:right="20" w:firstLine="217"/>
        <w:spacing w:after="0" w:line="251"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17" w:lineRule="exact"/>
        <w:rPr>
          <w:sz w:val="20"/>
          <w:szCs w:val="20"/>
          <w:color w:val="auto"/>
        </w:rPr>
      </w:pPr>
    </w:p>
    <w:p>
      <w:pPr>
        <w:ind w:right="120" w:firstLine="217"/>
        <w:spacing w:after="0" w:line="251"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debt securities additional protection in the event of a recapitalization transaction, a change of control of StemCells, Inc., or a highly leveraged transaction. If we offer any covenants or provisions of this type with respect to any debt securities covered by this prospectus, we will describe them in the applicable prospectus supplement.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Unless otherwise indicated in this prospectus or a prospectus supplement, the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17" w:lineRule="exact"/>
        <w:rPr>
          <w:sz w:val="20"/>
          <w:szCs w:val="20"/>
          <w:color w:val="auto"/>
        </w:rPr>
      </w:pPr>
    </w:p>
    <w:p>
      <w:pPr>
        <w:ind w:right="300" w:firstLine="217"/>
        <w:spacing w:after="0" w:line="264" w:lineRule="auto"/>
        <w:rPr>
          <w:sz w:val="20"/>
          <w:szCs w:val="20"/>
          <w:color w:val="auto"/>
        </w:rPr>
      </w:pPr>
      <w:r>
        <w:rPr>
          <w:rFonts w:ascii="Arial" w:cs="Arial" w:eastAsia="Arial" w:hAnsi="Arial"/>
          <w:sz w:val="18"/>
          <w:szCs w:val="18"/>
          <w:color w:val="auto"/>
        </w:rPr>
        <w:t>We have agreed in the indenture that we will not consolidate with or merge into any other person or convey, transfer, sell or lease our properties and assets substantially as an entirety to any person, unless:</w:t>
      </w:r>
    </w:p>
    <w:p>
      <w:pPr>
        <w:spacing w:after="0" w:line="74" w:lineRule="exact"/>
        <w:rPr>
          <w:sz w:val="20"/>
          <w:szCs w:val="20"/>
          <w:color w:val="auto"/>
        </w:rPr>
      </w:pPr>
    </w:p>
    <w:p>
      <w:pPr>
        <w:ind w:left="660" w:right="100" w:hanging="429"/>
        <w:spacing w:after="0" w:line="250"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if we are not the surviving person, the surviving person has expressly assumed all of our obligations, including the payment of the principal of and, premium, if any, and interest on the debt securities and the performance of the other covenants under the indenture; and</w:t>
      </w:r>
    </w:p>
    <w:p>
      <w:pPr>
        <w:spacing w:after="0" w:line="99" w:lineRule="exact"/>
        <w:rPr>
          <w:rFonts w:ascii="Arial" w:cs="Arial" w:eastAsia="Arial" w:hAnsi="Arial"/>
          <w:sz w:val="18"/>
          <w:szCs w:val="18"/>
          <w:b w:val="1"/>
          <w:bCs w:val="1"/>
          <w:color w:val="auto"/>
        </w:rPr>
      </w:pPr>
    </w:p>
    <w:p>
      <w:pPr>
        <w:ind w:left="660" w:right="80" w:hanging="429"/>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immediately before and immediately after giving effect to the transaction, no event of default, and no event which, after notice or lapse of time or both, would become an event of default, has occurred and is continuing under the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right="320" w:firstLine="220"/>
        <w:spacing w:after="0" w:line="264"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4" w:lineRule="exact"/>
        <w:rPr>
          <w:sz w:val="20"/>
          <w:szCs w:val="20"/>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fail to pay any principal or premium, if any, when it becomes due;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fail to pay any interest within 30 days after it becomes due;</w:t>
      </w:r>
    </w:p>
    <w:p>
      <w:pPr>
        <w:spacing w:after="0" w:line="123" w:lineRule="exact"/>
        <w:rPr>
          <w:rFonts w:ascii="Arial" w:cs="Arial" w:eastAsia="Arial" w:hAnsi="Arial"/>
          <w:sz w:val="18"/>
          <w:szCs w:val="18"/>
          <w:b w:val="1"/>
          <w:bCs w:val="1"/>
          <w:color w:val="auto"/>
        </w:rPr>
      </w:pPr>
    </w:p>
    <w:p>
      <w:pPr>
        <w:ind w:left="660" w:right="240" w:hanging="429"/>
        <w:spacing w:after="0" w:line="293"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65" w:lineRule="exact"/>
        <w:rPr>
          <w:rFonts w:ascii="Arial" w:cs="Arial" w:eastAsia="Arial" w:hAnsi="Arial"/>
          <w:sz w:val="17"/>
          <w:szCs w:val="17"/>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certain events involving bankruptcy, insolvency or reorganization of StemCells, Inc. or any of our significant subsidiaries.</w:t>
      </w:r>
    </w:p>
    <w:p>
      <w:pPr>
        <w:spacing w:after="0" w:line="111" w:lineRule="exact"/>
        <w:rPr>
          <w:sz w:val="20"/>
          <w:szCs w:val="20"/>
          <w:color w:val="auto"/>
        </w:rPr>
      </w:pPr>
    </w:p>
    <w:p>
      <w:pPr>
        <w:ind w:right="420" w:firstLine="217"/>
        <w:spacing w:after="0" w:line="364" w:lineRule="auto"/>
        <w:rPr>
          <w:sz w:val="20"/>
          <w:szCs w:val="20"/>
          <w:color w:val="auto"/>
        </w:rPr>
      </w:pPr>
      <w:r>
        <w:rPr>
          <w:rFonts w:ascii="Arial" w:cs="Arial" w:eastAsia="Arial" w:hAnsi="Arial"/>
          <w:sz w:val="15"/>
          <w:szCs w:val="15"/>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6" w:lineRule="exact"/>
        <w:rPr>
          <w:sz w:val="20"/>
          <w:szCs w:val="20"/>
          <w:color w:val="auto"/>
        </w:rPr>
      </w:pPr>
    </w:p>
    <w:p>
      <w:pPr>
        <w:ind w:right="100" w:firstLine="220"/>
        <w:spacing w:after="0" w:line="250"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majority in aggregate principal amount of outstanding debt securities of such series may rescind and annul such acceleration if:</w:t>
      </w:r>
    </w:p>
    <w:p>
      <w:pPr>
        <w:spacing w:after="0" w:line="111" w:lineRule="exact"/>
        <w:rPr>
          <w:sz w:val="20"/>
          <w:szCs w:val="20"/>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all lawful interest on overdue interest and overdue principal has been paid; and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rescission would not conflict with any judgment or decree.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addition, if the acceleration occurs at any time when we have outstanding indebtedness which is senior to the debt securities, the payment of the principal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amount of outstanding debt securities may be subordinated in right of payment to the prior payment of any amounts due under the senior indebtedness, in which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case the holders of debt securities will be entitled to payment under the terms prescribed in the instruments evidencing the senior indebtedness and the indenture.</w:t>
      </w:r>
    </w:p>
    <w:p>
      <w:pPr>
        <w:spacing w:after="0" w:line="134"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84"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84"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4" w:lineRule="exact"/>
        <w:rPr>
          <w:sz w:val="20"/>
          <w:szCs w:val="20"/>
          <w:color w:val="auto"/>
        </w:rPr>
      </w:pPr>
    </w:p>
    <w:p>
      <w:pPr>
        <w:ind w:left="660" w:hanging="429"/>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holder gives to the trustee written notice of a continuing event of default;</w:t>
      </w:r>
    </w:p>
    <w:p>
      <w:pPr>
        <w:spacing w:after="0" w:line="123" w:lineRule="exact"/>
        <w:rPr>
          <w:rFonts w:ascii="Arial" w:cs="Arial" w:eastAsia="Arial" w:hAnsi="Arial"/>
          <w:sz w:val="18"/>
          <w:szCs w:val="18"/>
          <w:b w:val="1"/>
          <w:bCs w:val="1"/>
          <w:color w:val="auto"/>
        </w:rPr>
      </w:pPr>
    </w:p>
    <w:p>
      <w:pPr>
        <w:ind w:left="660" w:right="500" w:hanging="429"/>
        <w:spacing w:after="0" w:line="264"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trustee fails to institute a proceeding within 60 days after such request; and</w:t>
      </w:r>
    </w:p>
    <w:p>
      <w:pPr>
        <w:spacing w:after="0" w:line="123" w:lineRule="exact"/>
        <w:rPr>
          <w:rFonts w:ascii="Arial" w:cs="Arial" w:eastAsia="Arial" w:hAnsi="Arial"/>
          <w:sz w:val="18"/>
          <w:szCs w:val="18"/>
          <w:b w:val="1"/>
          <w:bCs w:val="1"/>
          <w:color w:val="auto"/>
        </w:rPr>
      </w:pPr>
    </w:p>
    <w:p>
      <w:pPr>
        <w:ind w:left="660" w:right="560" w:hanging="429"/>
        <w:spacing w:after="0" w:line="264"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74" w:lineRule="exact"/>
        <w:rPr>
          <w:sz w:val="20"/>
          <w:szCs w:val="20"/>
          <w:color w:val="auto"/>
        </w:rPr>
      </w:pPr>
    </w:p>
    <w:p>
      <w:pPr>
        <w:ind w:right="620" w:firstLine="217"/>
        <w:spacing w:after="0" w:line="264"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17" w:lineRule="exact"/>
        <w:rPr>
          <w:sz w:val="20"/>
          <w:szCs w:val="20"/>
          <w:color w:val="auto"/>
        </w:rPr>
      </w:pPr>
    </w:p>
    <w:p>
      <w:pPr>
        <w:ind w:right="600" w:firstLine="220"/>
        <w:spacing w:after="0" w:line="264"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4" w:lineRule="exact"/>
        <w:rPr>
          <w:sz w:val="20"/>
          <w:szCs w:val="20"/>
          <w:color w:val="auto"/>
        </w:rPr>
      </w:pPr>
    </w:p>
    <w:p>
      <w:pPr>
        <w:ind w:left="660" w:right="300" w:hanging="429"/>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provide that the surviving entity following a change of control of StemCells, Inc. permitted under the indenture will assume all of our obligations under the indenture and debt securities;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provide for certificated debt securities in addition to uncertificated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under the Trust Indenture Act of 1939;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to cure any ambiguity, defect or inconsistency, or make any other change that does not materially and adversely affect the rights of any holder; and</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to appoint a successor trustee under the indenture with respect to one or more series.</w:t>
      </w:r>
    </w:p>
    <w:p>
      <w:pPr>
        <w:spacing w:after="0" w:line="111" w:lineRule="exact"/>
        <w:rPr>
          <w:sz w:val="20"/>
          <w:szCs w:val="20"/>
          <w:color w:val="auto"/>
        </w:rPr>
      </w:pPr>
    </w:p>
    <w:p>
      <w:pPr>
        <w:ind w:right="80" w:firstLine="220"/>
        <w:spacing w:after="0" w:line="271"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of such series, or waive compliance in a particular instance by us with any provision of the indenture or such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0" w:lineRule="exact"/>
        <w:rPr>
          <w:sz w:val="20"/>
          <w:szCs w:val="20"/>
          <w:color w:val="auto"/>
        </w:rPr>
      </w:pPr>
    </w:p>
    <w:p>
      <w:pPr>
        <w:ind w:left="660" w:hanging="429"/>
        <w:spacing w:after="0"/>
        <w:tabs>
          <w:tab w:leader="none" w:pos="660" w:val="left"/>
        </w:tabs>
        <w:numPr>
          <w:ilvl w:val="0"/>
          <w:numId w:val="28"/>
        </w:numPr>
        <w:rPr>
          <w:rFonts w:ascii="Arial" w:cs="Arial" w:eastAsia="Arial" w:hAnsi="Arial"/>
          <w:sz w:val="15"/>
          <w:szCs w:val="15"/>
          <w:b w:val="1"/>
          <w:bCs w:val="1"/>
          <w:color w:val="auto"/>
        </w:rPr>
      </w:pPr>
      <w:r>
        <w:rPr>
          <w:rFonts w:ascii="Arial" w:cs="Arial" w:eastAsia="Arial" w:hAnsi="Arial"/>
          <w:sz w:val="15"/>
          <w:szCs w:val="15"/>
          <w:color w:val="auto"/>
        </w:rPr>
        <w:t>reduce the amount of debt securities whose holders must consent to an amendment, supplement, or waiver to the indenture or such debt security;</w:t>
      </w:r>
    </w:p>
    <w:p>
      <w:pPr>
        <w:spacing w:after="0" w:line="158" w:lineRule="exact"/>
        <w:rPr>
          <w:rFonts w:ascii="Arial" w:cs="Arial" w:eastAsia="Arial" w:hAnsi="Arial"/>
          <w:sz w:val="15"/>
          <w:szCs w:val="15"/>
          <w:b w:val="1"/>
          <w:bCs w:val="1"/>
          <w:color w:val="auto"/>
        </w:rPr>
      </w:pPr>
    </w:p>
    <w:p>
      <w:pPr>
        <w:ind w:left="660" w:right="600" w:hanging="429"/>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or reduce amount of or postpone the date for payment of sinking fund or analogous obligations;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the stated maturity of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make any debt security payable in money other than that stated in the debt security;</w:t>
      </w:r>
    </w:p>
    <w:p>
      <w:pPr>
        <w:spacing w:after="0" w:line="123" w:lineRule="exact"/>
        <w:rPr>
          <w:rFonts w:ascii="Arial" w:cs="Arial" w:eastAsia="Arial" w:hAnsi="Arial"/>
          <w:sz w:val="18"/>
          <w:szCs w:val="18"/>
          <w:b w:val="1"/>
          <w:bCs w:val="1"/>
          <w:color w:val="auto"/>
        </w:rPr>
      </w:pPr>
    </w:p>
    <w:p>
      <w:pPr>
        <w:ind w:left="660" w:right="360" w:hanging="429"/>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17" w:lineRule="exact"/>
        <w:rPr>
          <w:sz w:val="20"/>
          <w:szCs w:val="20"/>
          <w:color w:val="auto"/>
        </w:rPr>
      </w:pPr>
    </w:p>
    <w:p>
      <w:pPr>
        <w:ind w:firstLine="217"/>
        <w:spacing w:after="0" w:line="264"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4" w:lineRule="exact"/>
        <w:rPr>
          <w:sz w:val="20"/>
          <w:szCs w:val="20"/>
          <w:color w:val="auto"/>
        </w:rPr>
      </w:pPr>
    </w:p>
    <w:p>
      <w:pPr>
        <w:ind w:left="660" w:right="680" w:hanging="429"/>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3" w:lineRule="exact"/>
        <w:rPr>
          <w:rFonts w:ascii="Arial" w:cs="Arial" w:eastAsia="Arial" w:hAnsi="Arial"/>
          <w:sz w:val="18"/>
          <w:szCs w:val="18"/>
          <w:b w:val="1"/>
          <w:bCs w:val="1"/>
          <w:color w:val="auto"/>
        </w:rPr>
      </w:pPr>
    </w:p>
    <w:p>
      <w:pPr>
        <w:ind w:left="1140" w:hanging="253"/>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10" w:lineRule="exact"/>
        <w:rPr>
          <w:rFonts w:ascii="Arial" w:cs="Arial" w:eastAsia="Arial" w:hAnsi="Arial"/>
          <w:sz w:val="18"/>
          <w:szCs w:val="18"/>
          <w:color w:val="auto"/>
        </w:rPr>
      </w:pPr>
    </w:p>
    <w:p>
      <w:pPr>
        <w:ind w:left="660" w:right="480" w:hanging="429"/>
        <w:spacing w:after="0" w:line="364" w:lineRule="auto"/>
        <w:tabs>
          <w:tab w:leader="none" w:pos="66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order to exercise either defeasance option, we must deposit with the trustee or other qualifying trustee, in trust for that purpose:</w:t>
      </w:r>
    </w:p>
    <w:p>
      <w:pPr>
        <w:spacing w:after="0" w:line="111" w:lineRule="exact"/>
        <w:rPr>
          <w:sz w:val="20"/>
          <w:szCs w:val="20"/>
          <w:color w:val="auto"/>
        </w:rPr>
      </w:pPr>
    </w:p>
    <w:p>
      <w:pPr>
        <w:ind w:left="660" w:hanging="429"/>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money;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right="140" w:hanging="429"/>
        <w:spacing w:after="0" w:line="264"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U.S. Government Obligations (as described below) or Foreign Government Obligations (as described below) which through the scheduled payment of principal and interest in accordance with their terms will provide money; or</w:t>
      </w:r>
    </w:p>
    <w:p>
      <w:pPr>
        <w:spacing w:after="0" w:line="87" w:lineRule="exact"/>
        <w:rPr>
          <w:rFonts w:ascii="Arial" w:cs="Arial" w:eastAsia="Arial" w:hAnsi="Arial"/>
          <w:sz w:val="18"/>
          <w:szCs w:val="18"/>
          <w:b w:val="1"/>
          <w:bCs w:val="1"/>
          <w:color w:val="auto"/>
        </w:rPr>
      </w:pPr>
    </w:p>
    <w:p>
      <w:pPr>
        <w:ind w:left="660" w:right="80" w:hanging="429"/>
        <w:spacing w:after="0" w:line="264"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which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11" w:lineRule="exact"/>
        <w:rPr>
          <w:sz w:val="20"/>
          <w:szCs w:val="20"/>
          <w:color w:val="auto"/>
        </w:rPr>
      </w:pPr>
    </w:p>
    <w:p>
      <w:pPr>
        <w:ind w:left="660" w:right="80" w:hanging="429"/>
        <w:spacing w:after="0" w:line="364" w:lineRule="auto"/>
        <w:tabs>
          <w:tab w:leader="none" w:pos="66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9" w:lineRule="exact"/>
        <w:rPr>
          <w:rFonts w:ascii="Arial" w:cs="Arial" w:eastAsia="Arial" w:hAnsi="Arial"/>
          <w:sz w:val="15"/>
          <w:szCs w:val="15"/>
          <w:b w:val="1"/>
          <w:bCs w:val="1"/>
          <w:color w:val="auto"/>
        </w:rPr>
      </w:pPr>
    </w:p>
    <w:p>
      <w:pPr>
        <w:ind w:left="660" w:hanging="429"/>
        <w:spacing w:after="0" w:line="268" w:lineRule="auto"/>
        <w:tabs>
          <w:tab w:leader="none" w:pos="6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85" w:lineRule="exact"/>
        <w:rPr>
          <w:rFonts w:ascii="Arial" w:cs="Arial" w:eastAsia="Arial" w:hAnsi="Arial"/>
          <w:sz w:val="17"/>
          <w:szCs w:val="17"/>
          <w:b w:val="1"/>
          <w:bCs w:val="1"/>
          <w:color w:val="auto"/>
        </w:rPr>
      </w:pPr>
    </w:p>
    <w:p>
      <w:pPr>
        <w:jc w:val="both"/>
        <w:ind w:left="660" w:right="260" w:hanging="429"/>
        <w:spacing w:after="0" w:line="329" w:lineRule="auto"/>
        <w:tabs>
          <w:tab w:leader="none" w:pos="66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44" w:lineRule="exact"/>
        <w:rPr>
          <w:rFonts w:ascii="Arial" w:cs="Arial" w:eastAsia="Arial" w:hAnsi="Arial"/>
          <w:sz w:val="15"/>
          <w:szCs w:val="15"/>
          <w:b w:val="1"/>
          <w:bCs w:val="1"/>
          <w:color w:val="auto"/>
        </w:rPr>
      </w:pPr>
    </w:p>
    <w:p>
      <w:pPr>
        <w:ind w:left="660" w:hanging="429"/>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certain other conditions described in the indenture are satisfied.</w:t>
      </w:r>
    </w:p>
    <w:p>
      <w:pPr>
        <w:spacing w:after="0" w:line="111" w:lineRule="exact"/>
        <w:rPr>
          <w:sz w:val="20"/>
          <w:szCs w:val="20"/>
          <w:color w:val="auto"/>
        </w:rPr>
      </w:pPr>
    </w:p>
    <w:p>
      <w:pPr>
        <w:ind w:right="140" w:firstLine="220"/>
        <w:spacing w:after="0" w:line="317" w:lineRule="auto"/>
        <w:rPr>
          <w:sz w:val="20"/>
          <w:szCs w:val="20"/>
          <w:color w:val="auto"/>
        </w:rPr>
      </w:pPr>
      <w:r>
        <w:rPr>
          <w:rFonts w:ascii="Arial" w:cs="Arial" w:eastAsia="Arial" w:hAnsi="Arial"/>
          <w:sz w:val="15"/>
          <w:szCs w:val="15"/>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41" w:lineRule="exact"/>
        <w:rPr>
          <w:sz w:val="20"/>
          <w:szCs w:val="20"/>
          <w:color w:val="auto"/>
        </w:rPr>
      </w:pPr>
    </w:p>
    <w:p>
      <w:pPr>
        <w:ind w:right="80" w:firstLine="217"/>
        <w:spacing w:after="0" w:line="364" w:lineRule="auto"/>
        <w:rPr>
          <w:sz w:val="20"/>
          <w:szCs w:val="20"/>
          <w:color w:val="auto"/>
        </w:rPr>
      </w:pPr>
      <w:r>
        <w:rPr>
          <w:rFonts w:ascii="Arial" w:cs="Arial" w:eastAsia="Arial" w:hAnsi="Arial"/>
          <w:sz w:val="15"/>
          <w:szCs w:val="15"/>
          <w:color w:val="auto"/>
        </w:rPr>
        <w:t>The term “U.S. Government Obligations” as used in the above discussion means securities which are direct obligations of or non-callable obligations guaranteed by the United States of America for the payment of which obligation or guarantee the full faith and credit of the United States of America is pledged.</w:t>
      </w:r>
    </w:p>
    <w:p>
      <w:pPr>
        <w:spacing w:after="0" w:line="6" w:lineRule="exact"/>
        <w:rPr>
          <w:sz w:val="20"/>
          <w:szCs w:val="20"/>
          <w:color w:val="auto"/>
        </w:rPr>
      </w:pPr>
    </w:p>
    <w:p>
      <w:pPr>
        <w:ind w:right="20" w:firstLine="217"/>
        <w:spacing w:after="0" w:line="250" w:lineRule="auto"/>
        <w:rPr>
          <w:sz w:val="20"/>
          <w:szCs w:val="20"/>
          <w:color w:val="auto"/>
        </w:rPr>
      </w:pPr>
      <w:r>
        <w:rPr>
          <w:rFonts w:ascii="Arial" w:cs="Arial" w:eastAsia="Arial" w:hAnsi="Arial"/>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17" w:lineRule="exact"/>
        <w:rPr>
          <w:sz w:val="20"/>
          <w:szCs w:val="20"/>
          <w:color w:val="auto"/>
        </w:rPr>
      </w:pPr>
    </w:p>
    <w:p>
      <w:pPr>
        <w:ind w:right="20" w:firstLine="217"/>
        <w:spacing w:after="0" w:line="254" w:lineRule="auto"/>
        <w:rPr>
          <w:sz w:val="20"/>
          <w:szCs w:val="20"/>
          <w:color w:val="auto"/>
        </w:rPr>
      </w:pPr>
      <w:r>
        <w:rPr>
          <w:rFonts w:ascii="Arial" w:cs="Arial" w:eastAsia="Arial" w:hAnsi="Arial"/>
          <w:sz w:val="18"/>
          <w:szCs w:val="18"/>
          <w:color w:val="auto"/>
        </w:rPr>
        <w:t>We will identify the trustee with respect to any series of debt securities in the prospectus supplement relating to the applicable debt securities. You should note that if the trustee becomes a creditor of StemCells, Inc., the indenture and the Trust Indenture Act of 1939 limit the rights of the trustee to obtain payment of claims in certain cases, 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84" w:lineRule="exact"/>
        <w:rPr>
          <w:sz w:val="20"/>
          <w:szCs w:val="20"/>
          <w:color w:val="auto"/>
        </w:rPr>
      </w:pPr>
    </w:p>
    <w:p>
      <w:pPr>
        <w:ind w:right="60" w:firstLine="217"/>
        <w:spacing w:after="0" w:line="250"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right="180" w:firstLine="217"/>
        <w:spacing w:after="0" w:line="293" w:lineRule="auto"/>
        <w:rPr>
          <w:sz w:val="20"/>
          <w:szCs w:val="20"/>
          <w:color w:val="auto"/>
        </w:rPr>
      </w:pPr>
      <w:r>
        <w:rPr>
          <w:rFonts w:ascii="Arial" w:cs="Arial" w:eastAsia="Arial" w:hAnsi="Arial"/>
          <w:sz w:val="17"/>
          <w:szCs w:val="17"/>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52"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80" w:firstLine="217"/>
        <w:spacing w:after="0" w:line="266"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6"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(as amended) for the year ended December 31, 2007 (File No. 000-19871);</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2008 (File No. 000-19871);</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5, 2008, March 21, 2008 and May 13, 2008 (File No. 000-19871);</w:t>
      </w:r>
    </w:p>
    <w:p>
      <w:pPr>
        <w:spacing w:after="0" w:line="123" w:lineRule="exact"/>
        <w:rPr>
          <w:rFonts w:ascii="Arial" w:cs="Arial" w:eastAsia="Arial" w:hAnsi="Arial"/>
          <w:sz w:val="18"/>
          <w:szCs w:val="18"/>
          <w:b w:val="1"/>
          <w:bCs w:val="1"/>
          <w:color w:val="auto"/>
        </w:rPr>
      </w:pPr>
    </w:p>
    <w:p>
      <w:pPr>
        <w:ind w:left="660" w:right="540" w:hanging="429"/>
        <w:spacing w:after="0" w:line="264"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 and</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definitive Proxy Statement on Form DEF 14A filed on June 9, 2008 (File No. 000-19871).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380" w:firstLine="217"/>
        <w:spacing w:after="0" w:line="293" w:lineRule="auto"/>
        <w:rPr>
          <w:sz w:val="20"/>
          <w:szCs w:val="20"/>
          <w:color w:val="auto"/>
        </w:rPr>
      </w:pPr>
      <w:r>
        <w:rPr>
          <w:rFonts w:ascii="Arial" w:cs="Arial" w:eastAsia="Arial" w:hAnsi="Arial"/>
          <w:sz w:val="17"/>
          <w:szCs w:val="17"/>
          <w:color w:val="auto"/>
        </w:rPr>
        <w:t>The validity of the issuance of the securities offered hereby will be passed upon for us by Ropes &amp; Gray LLP, Boston, Massachusetts. The validity of any securities will be passed upon for any underwriters or agents by counsel that we will name in the applicable prospectus supplement.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firstLine="217"/>
        <w:spacing w:after="0" w:line="271" w:lineRule="auto"/>
        <w:rPr>
          <w:sz w:val="20"/>
          <w:szCs w:val="20"/>
          <w:color w:val="auto"/>
        </w:rPr>
      </w:pPr>
      <w:r>
        <w:rPr>
          <w:rFonts w:ascii="Arial" w:cs="Arial" w:eastAsia="Arial" w:hAnsi="Arial"/>
          <w:sz w:val="17"/>
          <w:szCs w:val="17"/>
          <w:color w:val="auto"/>
        </w:rPr>
        <w:t xml:space="preserve">The consolidated financial statements and management’s assessment of the effectiveness of internal control over financial reporting have been incorporated by reference herein and in the registration statement in reliance upon the reports of Grant Thornton LLP, independent registered public accountants (which reports expressed an unqualified opinion and contain an explanatory paragraph relating to the adoption of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upon the authority of said firm as experts in accounting and auditing.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$100,000,000</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Common Stock</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Preferred Stock</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Debt Securities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July 18, 2008</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5109845</wp:posOffset>
            </wp:positionV>
            <wp:extent cx="1831340" cy="353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31340" cy="353060"/>
                    </a:xfrm>
                    <a:prstGeom prst="rect">
                      <a:avLst/>
                    </a:prstGeom>
                    <a:noFill/>
                  </pic:spPr>
                </pic:pic>
              </a:graphicData>
            </a:graphic>
          </wp:anchor>
        </w:drawing>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650"/>
    </w:lvl>
  </w:abstractNum>
  <w:abstractNum w:abstractNumId="1">
    <w:nsid w:val="519B500D"/>
    <w:multiLevelType w:val="hybridMultilevel"/>
    <w:lvl w:ilvl="0">
      <w:lvlJc w:val="left"/>
      <w:lvlText w:val="Ø"/>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Ø"/>
      <w:numFmt w:val="bullet"/>
      <w:start w:val="1"/>
    </w:lvl>
  </w:abstractNum>
  <w:abstractNum w:abstractNumId="6">
    <w:nsid w:val="62BBD95A"/>
    <w:multiLevelType w:val="hybridMultilevel"/>
    <w:lvl w:ilvl="0">
      <w:lvlJc w:val="left"/>
      <w:lvlText w:val="(%1)"/>
      <w:numFmt w:val="decimal"/>
      <w:start w:val="30"/>
    </w:lvl>
  </w:abstractNum>
  <w:abstractNum w:abstractNumId="7">
    <w:nsid w:val="436C6125"/>
    <w:multiLevelType w:val="hybridMultilevel"/>
    <w:lvl w:ilvl="0">
      <w:lvlJc w:val="left"/>
      <w:lvlText w:val="Ø"/>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lvl w:ilvl="1">
      <w:lvlJc w:val="left"/>
      <w:lvlText w:val="(%2)"/>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2019-12-10T10:31:57Z</dcterms:created>
  <dcterms:modified xsi:type="dcterms:W3CDTF">2019-12-10T10:31:57Z</dcterms:modified>
</cp:coreProperties>
</file>