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9"/>
        </w:trPr>
        <w:tc>
          <w:tcPr>
            <w:tcW w:w="42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2023, Microbot Medical Inc. (the “Company”) issued a press release announcing that it was recently awarded an NIS300,000 grant from Israel’s Ministry of Economy to encourage the Company’s marketing activities and enhance the commercialization of the LIBERTY Robotic System in the US market, within the scope of its “Smart Money” program. The Smart Money program’s aim is to help Israeli companies expand their business to growing international markets (outside of Israel). The grant may be repaid via a royalty mechanism from future sales of the LIBERTY Robotic System.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52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2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5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March 2, 2023</w:t>
            </w:r>
          </w:p>
        </w:tc>
        <w:tc>
          <w:tcPr>
            <w:tcW w:w="7620" w:type="dxa"/>
            <w:vAlign w:val="bottom"/>
            <w:tcBorders>
              <w:top w:val="single" w:sz="8" w:color="auto"/>
            </w:tcBorders>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6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Leverages Recently Awarded Non-Dilutive Grant from the Israeli Government to Promote Marketing Activities Toward Commercialization of the LIBERTY® Robotic System</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Engagement with Interventional Radiologists Reaches Highest Level Yet as Company Continues to Progress Through Regulatory and Clinical Phases; Company Seeking to Create Interest and Anticipation for When the System is Commercialized</w:t>
      </w:r>
    </w:p>
    <w:p>
      <w:pPr>
        <w:spacing w:after="0" w:line="16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HINGHAM, Mass., March 2, 2023 </w:t>
      </w:r>
      <w:r>
        <w:rPr>
          <w:rFonts w:ascii="Times New Roman" w:cs="Times New Roman" w:eastAsia="Times New Roman" w:hAnsi="Times New Roman"/>
          <w:sz w:val="18"/>
          <w:szCs w:val="18"/>
          <w:color w:val="auto"/>
        </w:rPr>
        <w:t>– Microbot Medical Inc. (Nasdaq: MBOT), the developer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the first single-use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 was recently awarded a grant from Israel’s Ministry of Economy to encourage the Company’s marketing activities and enhance the commercialization of the LIBERTY Robotic System in the US market, within the scope of its ‘Smart Money’ program.</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non-dilutive grant from the Israeli government, beyond enhancing our existing marketing budget and enabling us to maintain a higher presence among our key constituents, validates our current strategy,” commented Rachel Vaknin, Chief Financial Officer. “The additional funds allow us to engage with key opinion leaders, hospitals and potential strategic partners in the U.S., at a time when it’s imperative that we increase our profile ahead of the regulatory and clinical phases. This is expected to allow us to seed the market and generate a high degree of market anticipation and excitement as we near the planned commercialization of the LIBERTY Robotic System.”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Smart Money program’s aim is to help Israeli companies expand their business to growing international markets (outside of Israel). The grant, which totaled NIS300,000, may be repaid via a royalty mechanism from future sales of the LIBERTY Robotic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the One &amp; DoneTM technologies, the outcome of its studies to evaluate LIBERTY, the One &amp; DoneTM technologies and other existing and future technologies, any failure or inability to recruit physicians and clinicians to serve as primary investigators to conduct regulatory studies which could adversely affect or delay such studies, uncertainty in the results of pre-clinical studies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2023-03-02T08:04:58Z</dcterms:created>
  <dcterms:modified xsi:type="dcterms:W3CDTF">2023-03-02T08:04:58Z</dcterms:modified>
</cp:coreProperties>
</file>