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UNDER SECTION 13 OR 15(d)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0"/>
          <w:szCs w:val="20"/>
          <w:color w:val="auto"/>
        </w:rPr>
      </w:pPr>
    </w:p>
    <w:p>
      <w:pPr>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For the quarter ended: March 31, 2008</w:t>
      </w:r>
      <w:r>
        <w:rPr>
          <w:sz w:val="20"/>
          <w:szCs w:val="20"/>
          <w:color w:val="auto"/>
        </w:rPr>
        <w:tab/>
      </w: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0-19871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440" w:type="dxa"/>
            <w:vAlign w:val="bottom"/>
          </w:tcPr>
          <w:p>
            <w:pPr>
              <w:spacing w:after="0"/>
              <w:rPr>
                <w:sz w:val="24"/>
                <w:szCs w:val="24"/>
                <w:color w:val="auto"/>
              </w:rPr>
            </w:pPr>
          </w:p>
        </w:tc>
        <w:tc>
          <w:tcPr>
            <w:tcW w:w="4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rPr>
              <w:t>STEMCELLS, INC.</w:t>
            </w:r>
          </w:p>
        </w:tc>
        <w:tc>
          <w:tcPr>
            <w:tcW w:w="3420" w:type="dxa"/>
            <w:vAlign w:val="bottom"/>
          </w:tcPr>
          <w:p>
            <w:pPr>
              <w:spacing w:after="0"/>
              <w:rPr>
                <w:sz w:val="24"/>
                <w:szCs w:val="24"/>
                <w:color w:val="auto"/>
              </w:rPr>
            </w:pPr>
          </w:p>
        </w:tc>
      </w:tr>
      <w:tr>
        <w:trPr>
          <w:trHeight w:val="228"/>
        </w:trPr>
        <w:tc>
          <w:tcPr>
            <w:tcW w:w="3440" w:type="dxa"/>
            <w:vAlign w:val="bottom"/>
          </w:tcPr>
          <w:p>
            <w:pPr>
              <w:spacing w:after="0"/>
              <w:rPr>
                <w:sz w:val="19"/>
                <w:szCs w:val="19"/>
                <w:color w:val="auto"/>
              </w:rPr>
            </w:pP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20" w:type="dxa"/>
            <w:vAlign w:val="bottom"/>
          </w:tcPr>
          <w:p>
            <w:pPr>
              <w:spacing w:after="0"/>
              <w:rPr>
                <w:sz w:val="19"/>
                <w:szCs w:val="19"/>
                <w:color w:val="auto"/>
              </w:rPr>
            </w:pPr>
          </w:p>
        </w:tc>
      </w:tr>
      <w:tr>
        <w:trPr>
          <w:trHeight w:val="414"/>
        </w:trPr>
        <w:tc>
          <w:tcPr>
            <w:tcW w:w="8000" w:type="dxa"/>
            <w:vAlign w:val="bottom"/>
            <w:gridSpan w:val="4"/>
          </w:tcPr>
          <w:p>
            <w:pPr>
              <w:jc w:val="center"/>
              <w:ind w:right="2580"/>
              <w:spacing w:after="0"/>
              <w:rPr>
                <w:sz w:val="20"/>
                <w:szCs w:val="20"/>
                <w:color w:val="auto"/>
              </w:rPr>
            </w:pPr>
            <w:r>
              <w:rPr>
                <w:rFonts w:ascii="Times New Roman" w:cs="Times New Roman" w:eastAsia="Times New Roman" w:hAnsi="Times New Roman"/>
                <w:sz w:val="18"/>
                <w:szCs w:val="18"/>
                <w:color w:val="auto"/>
                <w:w w:val="96"/>
              </w:rPr>
              <w:t>DELAWARE</w:t>
            </w:r>
          </w:p>
        </w:tc>
        <w:tc>
          <w:tcPr>
            <w:tcW w:w="342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8"/>
              </w:rPr>
              <w:t>94-3078125</w:t>
            </w:r>
          </w:p>
        </w:tc>
      </w:tr>
      <w:tr>
        <w:trPr>
          <w:trHeight w:val="191"/>
        </w:trPr>
        <w:tc>
          <w:tcPr>
            <w:tcW w:w="54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jc w:val="center"/>
              <w:ind w:right="19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8000" w:type="dxa"/>
            <w:vAlign w:val="bottom"/>
            <w:gridSpan w:val="4"/>
          </w:tcPr>
          <w:p>
            <w:pPr>
              <w:jc w:val="center"/>
              <w:ind w:right="25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2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440" w:type="dxa"/>
            <w:vAlign w:val="bottom"/>
          </w:tcPr>
          <w:p>
            <w:pPr>
              <w:spacing w:after="0"/>
              <w:rPr>
                <w:sz w:val="24"/>
                <w:szCs w:val="24"/>
                <w:color w:val="auto"/>
              </w:rPr>
            </w:pPr>
          </w:p>
        </w:tc>
        <w:tc>
          <w:tcPr>
            <w:tcW w:w="4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3155 PORTER DRIVE</w:t>
            </w:r>
          </w:p>
        </w:tc>
        <w:tc>
          <w:tcPr>
            <w:tcW w:w="3420" w:type="dxa"/>
            <w:vAlign w:val="bottom"/>
          </w:tcPr>
          <w:p>
            <w:pPr>
              <w:spacing w:after="0"/>
              <w:rPr>
                <w:sz w:val="24"/>
                <w:szCs w:val="24"/>
                <w:color w:val="auto"/>
              </w:rPr>
            </w:pPr>
          </w:p>
        </w:tc>
      </w:tr>
      <w:tr>
        <w:trPr>
          <w:trHeight w:val="241"/>
        </w:trPr>
        <w:tc>
          <w:tcPr>
            <w:tcW w:w="3440" w:type="dxa"/>
            <w:vAlign w:val="bottom"/>
          </w:tcPr>
          <w:p>
            <w:pPr>
              <w:spacing w:after="0"/>
              <w:rPr>
                <w:sz w:val="20"/>
                <w:szCs w:val="20"/>
                <w:color w:val="auto"/>
              </w:rPr>
            </w:pPr>
          </w:p>
        </w:tc>
        <w:tc>
          <w:tcPr>
            <w:tcW w:w="4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PALO ALTO, CA 94304</w:t>
            </w:r>
          </w:p>
        </w:tc>
        <w:tc>
          <w:tcPr>
            <w:tcW w:w="3420" w:type="dxa"/>
            <w:vAlign w:val="bottom"/>
          </w:tcPr>
          <w:p>
            <w:pPr>
              <w:spacing w:after="0"/>
              <w:rPr>
                <w:sz w:val="20"/>
                <w:szCs w:val="20"/>
                <w:color w:val="auto"/>
              </w:rPr>
            </w:pPr>
          </w:p>
        </w:tc>
      </w:t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342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475-3100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-127635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0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18" w:right="239" w:bottom="1440" w:gutter="0" w:footer="0" w:header="0"/>
        </w:sectPr>
      </w:pP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 Large accelerated filer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 Non-accelerated filer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Smaller reporting company</w:t>
      </w:r>
    </w:p>
    <w:p>
      <w:pPr>
        <w:spacing w:after="0" w:line="304" w:lineRule="exact"/>
        <w:rPr>
          <w:sz w:val="20"/>
          <w:szCs w:val="20"/>
          <w:color w:val="auto"/>
        </w:rPr>
      </w:pPr>
    </w:p>
    <w:p>
      <w:pPr>
        <w:sectPr>
          <w:pgSz w:w="11900" w:h="16838" w:orient="portrait"/>
          <w:cols w:equalWidth="0" w:num="4">
            <w:col w:w="2800" w:space="720"/>
            <w:col w:w="1400" w:space="560"/>
            <w:col w:w="3360" w:space="140"/>
            <w:col w:w="2440"/>
          </w:cols>
          <w:pgMar w:left="240" w:top="118" w:right="239" w:bottom="1440" w:gutter="0" w:footer="0" w:header="0"/>
          <w:type w:val="continuous"/>
        </w:sectPr>
      </w:pP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57" w:lineRule="exact"/>
        <w:rPr>
          <w:sz w:val="20"/>
          <w:szCs w:val="20"/>
          <w:color w:val="auto"/>
        </w:rPr>
      </w:pPr>
    </w:p>
    <w:p>
      <w:pPr>
        <w:sectPr>
          <w:pgSz w:w="11900" w:h="16838" w:orient="portrait"/>
          <w:cols w:equalWidth="0" w:num="2">
            <w:col w:w="8860" w:space="120"/>
            <w:col w:w="2440"/>
          </w:cols>
          <w:pgMar w:left="240" w:top="11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At May 1, 2008, there were 80,810,302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STEMCELLS,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3"/>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PART I. FINANCIAL INFORMATION</w:t>
              </w:r>
            </w:hyperlink>
          </w:p>
        </w:tc>
        <w:tc>
          <w:tcPr>
            <w:tcW w:w="7680" w:type="dxa"/>
            <w:vAlign w:val="bottom"/>
            <w:gridSpan w:val="10"/>
            <w:vMerge w:val="restart"/>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 Number</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3"/>
            <w:vMerge w:val="continue"/>
          </w:tcPr>
          <w:p>
            <w:pPr>
              <w:spacing w:after="0"/>
              <w:rPr>
                <w:sz w:val="14"/>
                <w:szCs w:val="14"/>
                <w:color w:val="auto"/>
              </w:rPr>
            </w:pPr>
          </w:p>
        </w:tc>
        <w:tc>
          <w:tcPr>
            <w:tcW w:w="7680" w:type="dxa"/>
            <w:vAlign w:val="bottom"/>
            <w:gridSpan w:val="10"/>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at March 31, 2008 and December 31, 2007</w:t>
              </w:r>
            </w:hyperlink>
          </w:p>
        </w:tc>
        <w:tc>
          <w:tcPr>
            <w:tcW w:w="3760" w:type="dxa"/>
            <w:vAlign w:val="bottom"/>
            <w:gridSpan w:val="4"/>
          </w:tcPr>
          <w:p>
            <w:pPr>
              <w:spacing w:after="0"/>
              <w:rPr>
                <w:sz w:val="24"/>
                <w:szCs w:val="24"/>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months ended March 31, 2008 and 2007</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March 31, 2008 and 2007</w:t>
              </w:r>
            </w:hyperlink>
          </w:p>
        </w:tc>
        <w:tc>
          <w:tcPr>
            <w:tcW w:w="2240" w:type="dxa"/>
            <w:vAlign w:val="bottom"/>
          </w:tcPr>
          <w:p>
            <w:pPr>
              <w:spacing w:after="0"/>
              <w:rPr>
                <w:sz w:val="24"/>
                <w:szCs w:val="24"/>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Quantitative and Qualitative Disclosures About Market Risk</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80" w:type="dxa"/>
            <w:vAlign w:val="bottom"/>
            <w:tcBorders>
              <w:left w:val="single" w:sz="8" w:color="0000EE"/>
            </w:tcBorders>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PART II.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1.</w:t>
              </w:r>
            </w:hyperlink>
          </w:p>
        </w:tc>
        <w:tc>
          <w:tcPr>
            <w:tcW w:w="240" w:type="dxa"/>
            <w:vAlign w:val="bottom"/>
            <w:tcBorders>
              <w:top w:val="single" w:sz="8" w:color="0000EE"/>
            </w:tcBorders>
            <w:gridSpan w:val="2"/>
          </w:tcPr>
          <w:p>
            <w:pPr>
              <w:spacing w:after="0"/>
              <w:rPr>
                <w:sz w:val="24"/>
                <w:szCs w:val="24"/>
                <w:color w:val="auto"/>
              </w:rPr>
            </w:pPr>
          </w:p>
        </w:tc>
        <w:tc>
          <w:tcPr>
            <w:tcW w:w="18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8000" w:type="dxa"/>
            <w:vAlign w:val="bottom"/>
            <w:gridSpan w:val="11"/>
          </w:tcPr>
          <w:p>
            <w:pPr>
              <w:spacing w:after="0"/>
              <w:rPr>
                <w:sz w:val="24"/>
                <w:szCs w:val="24"/>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1A.</w:t>
              </w:r>
            </w:hyperlink>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3.</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Defaults Upon Senior Securities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4.</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Submission of Matters to a Vote of Security-Holders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80" w:type="dxa"/>
            <w:vAlign w:val="bottom"/>
            <w:tcBorders>
              <w:left w:val="single" w:sz="8" w:color="0000EE"/>
            </w:tcBorders>
            <w:gridSpan w:val="6"/>
            <w:shd w:val="clear" w:color="auto" w:fill="0000EE"/>
          </w:tcPr>
          <w:p>
            <w:pPr>
              <w:spacing w:after="0" w:line="20" w:lineRule="exact"/>
              <w:rPr>
                <w:sz w:val="1"/>
                <w:szCs w:val="1"/>
                <w:color w:val="auto"/>
              </w:rPr>
            </w:pPr>
          </w:p>
        </w:tc>
        <w:tc>
          <w:tcPr>
            <w:tcW w:w="60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5.</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6.</w:t>
              </w:r>
            </w:hyperlink>
          </w:p>
        </w:tc>
        <w:tc>
          <w:tcPr>
            <w:tcW w:w="240" w:type="dxa"/>
            <w:vAlign w:val="bottom"/>
            <w:gridSpan w:val="2"/>
          </w:tcPr>
          <w:p>
            <w:pPr>
              <w:spacing w:after="0"/>
              <w:rPr>
                <w:sz w:val="24"/>
                <w:szCs w:val="24"/>
                <w:color w:val="auto"/>
              </w:rPr>
            </w:pPr>
          </w:p>
        </w:tc>
        <w:tc>
          <w:tcPr>
            <w:tcW w:w="9820" w:type="dxa"/>
            <w:vAlign w:val="bottom"/>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Exhibits</w:t>
              </w:r>
            </w:hyperlink>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SIGNATURES</w:t>
              </w:r>
            </w:hyperlink>
          </w:p>
        </w:tc>
        <w:tc>
          <w:tcPr>
            <w:tcW w:w="9460" w:type="dxa"/>
            <w:vAlign w:val="bottom"/>
            <w:gridSpan w:val="16"/>
          </w:tcPr>
          <w:p>
            <w:pPr>
              <w:spacing w:after="0"/>
              <w:rPr>
                <w:sz w:val="24"/>
                <w:szCs w:val="24"/>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EXHIBIT 31.1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EXHIBIT 31.2</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EXHIBIT 32.1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EXHIBIT 32.2</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REFERENCES TO OUR COMMON STOCK</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Throughout this Form 10-Q, the words “we,” “us,” “our,” and “StemCells” refer to StemCells, Inc., including StemCells California, Inc., our-owned subsidiary, and the owner or licensee of most of our intellectual property. “Common stock” refers to our common stock, $.01 par value.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March 31, 2008</w:t>
            </w:r>
          </w:p>
        </w:tc>
        <w:tc>
          <w:tcPr>
            <w:tcW w:w="3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December 31,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12,610,351</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16,748,166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26,696,413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809,301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1,032,482</w:t>
            </w:r>
          </w:p>
        </w:tc>
        <w:tc>
          <w:tcPr>
            <w:tcW w:w="0" w:type="dxa"/>
            <w:vAlign w:val="bottom"/>
          </w:tcPr>
          <w:p>
            <w:pPr>
              <w:spacing w:after="0"/>
              <w:rPr>
                <w:sz w:val="1"/>
                <w:szCs w:val="1"/>
                <w:color w:val="auto"/>
              </w:rPr>
            </w:pPr>
          </w:p>
        </w:tc>
      </w:tr>
      <w:tr>
        <w:trPr>
          <w:trHeight w:val="228"/>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31,406,762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38,752,695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3,700,466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1,710,829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39,589,650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48,282,566</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wind-down expenses,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rent,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Capital lease obligation, 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Bonds payable, current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4,221,988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6,138,559</w:t>
            </w: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 non-current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payable,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wind-down expenses,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4,538,699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non-current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163,865</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10,773,874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and contingencies (Note 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$.01 par value; 125,000,000 shares authorized; issued and outstanding 80,768,042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March 31, 2008 and 80,681,087 at 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807,680</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265,614,200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264,603,711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(236,459,736)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(229,914,747)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(1,146,368)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28,815,776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39,589,650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0" w:type="dxa"/>
            <w:vAlign w:val="bottom"/>
          </w:tcPr>
          <w:p>
            <w:pPr>
              <w:spacing w:after="0"/>
              <w:rPr>
                <w:sz w:val="16"/>
                <w:szCs w:val="16"/>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from licensing agreements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17,350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4,499,751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2,254,203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Wind-down expenses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160,250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6,914,204</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24"/>
                <w:szCs w:val="24"/>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(6,896,854)</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and settlement agreement, net</w:t>
            </w: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383,665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(28,191)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9"/>
                <w:szCs w:val="19"/>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351,865</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4"/>
                <w:szCs w:val="24"/>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6,544,989)</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4,619,752)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loss per share</w:t>
            </w:r>
          </w:p>
        </w:tc>
        <w:tc>
          <w:tcPr>
            <w:tcW w:w="100" w:type="dxa"/>
            <w:vAlign w:val="bottom"/>
          </w:tcPr>
          <w:p>
            <w:pPr>
              <w:spacing w:after="0"/>
              <w:rPr>
                <w:sz w:val="20"/>
                <w:szCs w:val="20"/>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80,703,962</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78,566,195</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STEMCELLS,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2008</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0" w:type="dxa"/>
            <w:vAlign w:val="bottom"/>
          </w:tcPr>
          <w:p>
            <w:pPr>
              <w:spacing w:after="0"/>
              <w:rPr>
                <w:sz w:val="16"/>
                <w:szCs w:val="16"/>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w w:val="98"/>
              </w:rPr>
              <w:t>($6,544,989)</w:t>
            </w: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302,647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1,011,359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income from license and settlement agreement, net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interest and other receivables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25,687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and other assets, current</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223,181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 non-current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(49,232)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(1,962,174)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wind-down expenses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(221,950)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rent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(61,532)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Deposits and other long-term liabilities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(7,291,366)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(5,252,048)</w:t>
            </w:r>
          </w:p>
        </w:tc>
        <w:tc>
          <w:tcPr>
            <w:tcW w:w="0" w:type="dxa"/>
            <w:vAlign w:val="bottom"/>
          </w:tcPr>
          <w:p>
            <w:pPr>
              <w:spacing w:after="0"/>
              <w:rPr>
                <w:sz w:val="1"/>
                <w:szCs w:val="1"/>
                <w:color w:val="auto"/>
              </w:rPr>
            </w:pPr>
          </w:p>
        </w:tc>
      </w:tr>
      <w:tr>
        <w:trPr>
          <w:trHeight w:val="43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the sale of marketable securities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10,237,748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(58,427)</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10,179,321</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debt obligations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(36,773)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1,426,345</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2,851,182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9,759,169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51,795,529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4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$ 12,610,351</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50,921,611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28,191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33,317</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60" w:type="dxa"/>
            <w:vAlign w:val="bottom"/>
            <w:gridSpan w:val="2"/>
            <w:vMerge w:val="continue"/>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4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2008 and 2007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21" w:lineRule="exact"/>
        <w:rPr>
          <w:sz w:val="20"/>
          <w:szCs w:val="20"/>
          <w:color w:val="auto"/>
        </w:rPr>
      </w:pPr>
    </w:p>
    <w:p>
      <w:pPr>
        <w:ind w:right="860" w:firstLine="450"/>
        <w:spacing w:after="0" w:line="282" w:lineRule="auto"/>
        <w:rPr>
          <w:sz w:val="20"/>
          <w:szCs w:val="20"/>
          <w:color w:val="auto"/>
        </w:rPr>
      </w:pPr>
      <w:r>
        <w:rPr>
          <w:rFonts w:ascii="Times New Roman" w:cs="Times New Roman" w:eastAsia="Times New Roman" w:hAnsi="Times New Roman"/>
          <w:sz w:val="18"/>
          <w:szCs w:val="18"/>
          <w:color w:val="auto"/>
        </w:rPr>
        <w:t>StemCells, Inc., a Delaware corporation, is a biopharmaceutical company that operates in one segment, the development of novel cell-based therapeutics designed to treat human diseases and disorders.</w:t>
      </w:r>
    </w:p>
    <w:p>
      <w:pPr>
        <w:spacing w:after="0" w:line="54" w:lineRule="exact"/>
        <w:rPr>
          <w:sz w:val="20"/>
          <w:szCs w:val="20"/>
          <w:color w:val="auto"/>
        </w:rPr>
      </w:pPr>
    </w:p>
    <w:p>
      <w:pPr>
        <w:ind w:firstLine="447"/>
        <w:spacing w:after="0" w:line="255" w:lineRule="auto"/>
        <w:rPr>
          <w:sz w:val="20"/>
          <w:szCs w:val="20"/>
          <w:color w:val="auto"/>
        </w:rPr>
      </w:pPr>
      <w:r>
        <w:rPr>
          <w:rFonts w:ascii="Times New Roman" w:cs="Times New Roman" w:eastAsia="Times New Roman" w:hAnsi="Times New Roman"/>
          <w:sz w:val="18"/>
          <w:szCs w:val="18"/>
          <w:color w:val="auto"/>
        </w:rPr>
        <w:t>The accompanying financial data as of and for the three months ended March 31, 2008 and 2007 has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(US GAAP) have been condensed or omitted pursuant to such rules and regulations. The December 31, 2007 condensed consolidated balance sheet was derived from audited financial statements, but does not include all disclosures required by US GAAP. However, we believe that the disclosures are adequate to make the information presented not misleading. These condensed consolidated financial statements should be read in conjunction with the consolidated financial statements and the notes thereto, included in our Annual Report on Form 10-K for the fiscal year ended December 31, 2007.</w:t>
      </w:r>
    </w:p>
    <w:p>
      <w:pPr>
        <w:spacing w:after="0" w:line="81" w:lineRule="exact"/>
        <w:rPr>
          <w:sz w:val="20"/>
          <w:szCs w:val="20"/>
          <w:color w:val="auto"/>
        </w:rPr>
      </w:pPr>
    </w:p>
    <w:p>
      <w:pPr>
        <w:ind w:right="60" w:firstLine="447"/>
        <w:spacing w:after="0" w:line="254" w:lineRule="auto"/>
        <w:rPr>
          <w:sz w:val="20"/>
          <w:szCs w:val="20"/>
          <w:color w:val="auto"/>
        </w:rPr>
      </w:pPr>
      <w:r>
        <w:rPr>
          <w:rFonts w:ascii="Times New Roman" w:cs="Times New Roman" w:eastAsia="Times New Roman" w:hAnsi="Times New Roman"/>
          <w:sz w:val="18"/>
          <w:szCs w:val="18"/>
          <w:color w:val="auto"/>
        </w:rPr>
        <w:t>We expect to incur additional operating losses over the foreseeable future. We have very limited liquidity and capital resources and must obtain significant additional capital and other resources in order to sustain our product development efforts, to provide funding for the acquisition of technologies, businesses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StemCells, Inc., and our wholly-owned subsidiary, StemCells California,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intercompany accounts and transactions have been eliminated.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447"/>
        <w:spacing w:after="0" w:line="31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judgments, assumptions and estimates that affect the amounts reported in our condensed consolidated financial statements and accompanying notes. Actual results could differ materially from those estimates.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estimates include the following:</w:t>
      </w:r>
    </w:p>
    <w:p>
      <w:pPr>
        <w:spacing w:after="0" w:line="117" w:lineRule="exact"/>
        <w:rPr>
          <w:sz w:val="20"/>
          <w:szCs w:val="20"/>
          <w:color w:val="auto"/>
        </w:rPr>
      </w:pPr>
    </w:p>
    <w:p>
      <w:pPr>
        <w:ind w:left="660" w:right="280" w:hanging="436"/>
        <w:spacing w:after="0" w:line="28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grant date fair value of stock-based awards recognized as compensation expense in accordance with the provisions of Statement of Financial Accounting Standards No. 123 (Revised 2004)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xml:space="preserve"> (SFAS 123R). (See Note 3).</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wind-down expenses (See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21"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Certain reclassifications of prior year amounts have been made to conform to current year presentation. Deferred rent of approximately $290,000 as of December 31, 2007 has been reclassified from “Deferred rent, non-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current” to “Deferred rent, current” on the condensed consolidated balance sheet to conform with the current year presentation. The reclassifications had no effect on total assets, liabilities, equity, or net loss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Equivalents and Marketable Securities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money market and highly liquid investments with a maturity of 90 days or less at the date of purchase are classified as cash equivalents. Investments with remaining maturities of 365 days or less not classified as cash equivalents are classified as marketable securities, current. Investments with remaining maturities greater than 365 days are classified as marketable securities, non-current. Our marketable debt and equity securities have been accounted for as available-for-sale. Management determines the appropriate classification of its investments in marketable debt and equity securities at the time of purchase and reevaluates the available-for-sale designations as of each balance sheet date. These securities are carried at fair value (see Note 2, “Financial Instruments”), with the unrealized gains and losses reported as a component of stockholders’ equity. The cost of securities sold is based upon the specific identification method.</w:t>
      </w:r>
    </w:p>
    <w:p>
      <w:pPr>
        <w:spacing w:after="0" w:line="81" w:lineRule="exact"/>
        <w:rPr>
          <w:sz w:val="20"/>
          <w:szCs w:val="20"/>
          <w:color w:val="auto"/>
        </w:rPr>
      </w:pPr>
    </w:p>
    <w:p>
      <w:pPr>
        <w:ind w:right="100" w:firstLine="450"/>
        <w:spacing w:after="0" w:line="258" w:lineRule="auto"/>
        <w:rPr>
          <w:sz w:val="20"/>
          <w:szCs w:val="20"/>
          <w:color w:val="auto"/>
        </w:rPr>
      </w:pPr>
      <w:r>
        <w:rPr>
          <w:rFonts w:ascii="Times New Roman" w:cs="Times New Roman" w:eastAsia="Times New Roman" w:hAnsi="Times New Roman"/>
          <w:sz w:val="18"/>
          <w:szCs w:val="18"/>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three months ended March 31, 2008 and March 31, 2007.</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119"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Our receivables generally consist of interest income on our financial instruments, revenue from licensing agreements and rent from our sub-lease tenants.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Fair Value of Financial Instruments</w:t>
      </w:r>
    </w:p>
    <w:p>
      <w:pPr>
        <w:spacing w:after="0" w:line="119" w:lineRule="exact"/>
        <w:rPr>
          <w:sz w:val="20"/>
          <w:szCs w:val="20"/>
          <w:color w:val="auto"/>
        </w:rPr>
      </w:pPr>
    </w:p>
    <w:p>
      <w:pPr>
        <w:ind w:right="20" w:firstLine="450"/>
        <w:spacing w:after="0" w:line="259" w:lineRule="auto"/>
        <w:rPr>
          <w:sz w:val="20"/>
          <w:szCs w:val="20"/>
          <w:color w:val="auto"/>
        </w:rPr>
      </w:pPr>
      <w:r>
        <w:rPr>
          <w:rFonts w:ascii="Times New Roman" w:cs="Times New Roman" w:eastAsia="Times New Roman" w:hAnsi="Times New Roman"/>
          <w:sz w:val="18"/>
          <w:szCs w:val="18"/>
          <w:color w:val="auto"/>
        </w:rPr>
        <w:t xml:space="preserve">Statement of Financial Accounting Standards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defines and establishes a framework for measuring fair value and expands disclosures about fair value measurements. In accordance with SFAS 157, we have categorized our financial assets and liabilities, based on the priority of the inputs to the valuation technique, into a three-level fair value hierarchy as set forth below. If the inputs used to measure the financial instruments fall within different levels of the hierarchy, the categorization is based on the lowest level input that is significant to the fair value measurement of the instrument.</w:t>
      </w:r>
    </w:p>
    <w:p>
      <w:pPr>
        <w:spacing w:after="0" w:line="74"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condensed consolidated balance sheets are categorized based on the inputs to the valuation techniques as follows:</w:t>
      </w:r>
    </w:p>
    <w:p>
      <w:pPr>
        <w:spacing w:after="0" w:line="52" w:lineRule="exact"/>
        <w:rPr>
          <w:sz w:val="20"/>
          <w:szCs w:val="20"/>
          <w:color w:val="auto"/>
        </w:rPr>
      </w:pPr>
    </w:p>
    <w:p>
      <w:pPr>
        <w:jc w:val="both"/>
        <w:ind w:right="280" w:firstLine="67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has the ability to access at the measurement date (examples include active exchange-traded equity securities, listed derivatives, and most U.S. Government and agency securities).</w:t>
      </w:r>
    </w:p>
    <w:p>
      <w:pPr>
        <w:spacing w:after="0" w:line="65" w:lineRule="exact"/>
        <w:rPr>
          <w:sz w:val="20"/>
          <w:szCs w:val="20"/>
          <w:color w:val="auto"/>
        </w:rPr>
      </w:pPr>
    </w:p>
    <w:p>
      <w:pPr>
        <w:ind w:right="80" w:firstLine="67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where trading occurs infrequently or whose values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quoted prices of instruments with similar attributes in active markets. Level 2 inputs include the following:</w:t>
      </w:r>
    </w:p>
    <w:p>
      <w:pPr>
        <w:spacing w:after="0" w:line="52" w:lineRule="exact"/>
        <w:rPr>
          <w:sz w:val="20"/>
          <w:szCs w:val="20"/>
          <w:color w:val="auto"/>
        </w:rPr>
      </w:pPr>
    </w:p>
    <w:p>
      <w:pPr>
        <w:ind w:left="1360" w:right="300" w:hanging="447"/>
        <w:spacing w:after="0" w:line="282" w:lineRule="auto"/>
        <w:tabs>
          <w:tab w:leader="none" w:pos="13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Quoted prices for identical or similar assets or liabilities in non-active markets (examples include corporate and municipal bonds which trade infrequently);</w:t>
      </w:r>
    </w:p>
    <w:p>
      <w:pPr>
        <w:spacing w:after="0" w:line="67" w:lineRule="exact"/>
        <w:rPr>
          <w:rFonts w:ascii="Times New Roman" w:cs="Times New Roman" w:eastAsia="Times New Roman" w:hAnsi="Times New Roman"/>
          <w:sz w:val="18"/>
          <w:szCs w:val="18"/>
          <w:b w:val="1"/>
          <w:bCs w:val="1"/>
          <w:color w:val="auto"/>
        </w:rPr>
      </w:pPr>
    </w:p>
    <w:p>
      <w:pPr>
        <w:ind w:left="1360" w:right="80" w:hanging="447"/>
        <w:spacing w:after="0" w:line="282" w:lineRule="auto"/>
        <w:tabs>
          <w:tab w:leader="none" w:pos="13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(examples include interest rate and currency swaps); and</w:t>
      </w:r>
    </w:p>
    <w:p>
      <w:pPr>
        <w:spacing w:after="0" w:line="67" w:lineRule="exact"/>
        <w:rPr>
          <w:rFonts w:ascii="Times New Roman" w:cs="Times New Roman" w:eastAsia="Times New Roman" w:hAnsi="Times New Roman"/>
          <w:sz w:val="18"/>
          <w:szCs w:val="18"/>
          <w:b w:val="1"/>
          <w:bCs w:val="1"/>
          <w:color w:val="auto"/>
        </w:rPr>
      </w:pPr>
    </w:p>
    <w:p>
      <w:pPr>
        <w:ind w:left="1360" w:right="320" w:hanging="447"/>
        <w:spacing w:after="0" w:line="282" w:lineRule="auto"/>
        <w:tabs>
          <w:tab w:leader="none" w:pos="13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(examples include certain securities and derivatives).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right="120" w:firstLine="7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significant to the overall fair value measurement. These inputs reflect management’s own assumptions about the assumptions a market participant would use in pricing the asset or liability. We currently do not have any Level 3 financial assets or liabilities.</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presents the financial assets and liabilities we measure at fair value on a recurring basis, based on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10,184,570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10,184,570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1,077,066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6,375,615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9,374,936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3,810,654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3,810,654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11,261,636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8"/>
              </w:rPr>
              <w:t>19,561,205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30,822,841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Bond obligation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1,112,917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447"/>
        <w:spacing w:after="0" w:line="255" w:lineRule="auto"/>
        <w:rPr>
          <w:sz w:val="20"/>
          <w:szCs w:val="20"/>
          <w:color w:val="auto"/>
        </w:rPr>
      </w:pPr>
      <w:r>
        <w:rPr>
          <w:rFonts w:ascii="Times New Roman" w:cs="Times New Roman" w:eastAsia="Times New Roman" w:hAnsi="Times New Roman"/>
          <w:sz w:val="18"/>
          <w:szCs w:val="18"/>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right="40" w:firstLine="447"/>
        <w:spacing w:after="0" w:line="313" w:lineRule="auto"/>
        <w:rPr>
          <w:sz w:val="20"/>
          <w:szCs w:val="20"/>
          <w:color w:val="auto"/>
        </w:rPr>
      </w:pPr>
      <w:r>
        <w:rPr>
          <w:rFonts w:ascii="Times New Roman" w:cs="Times New Roman" w:eastAsia="Times New Roman" w:hAnsi="Times New Roman"/>
          <w:sz w:val="17"/>
          <w:szCs w:val="17"/>
          <w:color w:val="auto"/>
        </w:rPr>
        <w:t>We account for stock-based compensation awards to employees in accordance with SFAS 123R. The compensation expense we record for these awards is based on their grant-date fair value as calculated and amortized over their vesting period. See Note 3, “Stock-Based Compensation” for further information.</w:t>
      </w:r>
    </w:p>
    <w:p>
      <w:pPr>
        <w:spacing w:after="0" w:line="28" w:lineRule="exact"/>
        <w:rPr>
          <w:sz w:val="20"/>
          <w:szCs w:val="20"/>
          <w:color w:val="auto"/>
        </w:rPr>
      </w:pPr>
    </w:p>
    <w:p>
      <w:pPr>
        <w:ind w:right="20" w:firstLine="447"/>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stock-based awards granted to non-employees in accordance with SFAS 123 and Emerging Issues Task Force (EITF) 96-18,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Equity Instruments That Are Issued To Other Than Employees For Acquiring, Or In Conjunction With Selling, Goods Or Services</w:t>
      </w:r>
      <w:r>
        <w:rPr>
          <w:rFonts w:ascii="Times New Roman" w:cs="Times New Roman" w:eastAsia="Times New Roman" w:hAnsi="Times New Roman"/>
          <w:sz w:val="18"/>
          <w:szCs w:val="18"/>
          <w:color w:val="auto"/>
        </w:rPr>
        <w:t>, and accordingly,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the estimated fair value of such options as calculated using the Black-Scholes model. The estimated fair value is re-measured at each reporting date and is amortized over the remaining vesting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right="280" w:firstLine="450"/>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 period. Diluted net loss per share is computed based on the weighted-average number of shares of common stock and other dilutive securities. To the extent these securities are anti-dilutive, they are excluded from the calculation of diluted earnings per share.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the basic and diluted earnings per share computations: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80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(6,544,989)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9"/>
              </w:rPr>
              <w:t>(4,619,752)</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and diluted net loss per share</w:t>
            </w:r>
          </w:p>
        </w:tc>
        <w:tc>
          <w:tcPr>
            <w:tcW w:w="300" w:type="dxa"/>
            <w:vAlign w:val="bottom"/>
          </w:tcPr>
          <w:p>
            <w:pPr>
              <w:spacing w:after="0"/>
              <w:rPr>
                <w:sz w:val="18"/>
                <w:szCs w:val="18"/>
                <w:color w:val="auto"/>
              </w:rPr>
            </w:pP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w w:val="98"/>
              </w:rPr>
              <w:t>80,703,962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96"/>
              </w:rPr>
              <w:t>78,566,195</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(0.08)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(0.06)</w:t>
            </w:r>
          </w:p>
        </w:tc>
      </w:tr>
    </w:tbl>
    <w:p>
      <w:pPr>
        <w:spacing w:after="0" w:line="90" w:lineRule="exact"/>
        <w:rPr>
          <w:sz w:val="20"/>
          <w:szCs w:val="20"/>
          <w:color w:val="auto"/>
        </w:rPr>
      </w:pPr>
    </w:p>
    <w:p>
      <w:pPr>
        <w:ind w:right="80" w:firstLine="447"/>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were excluded from the computation of diluted net loss per share because the effect would have been anti-dilutive as of March 31: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Borders>
              <w:bottom w:val="single" w:sz="8" w:color="auto"/>
            </w:tcBorders>
          </w:tcPr>
          <w:p>
            <w:pPr>
              <w:spacing w:after="0"/>
              <w:rPr>
                <w:sz w:val="15"/>
                <w:szCs w:val="15"/>
                <w:color w:val="auto"/>
              </w:rPr>
            </w:pP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8,798,903</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8,607,859</w:t>
            </w: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1,650,000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1,255,000</w:t>
            </w:r>
          </w:p>
        </w:tc>
        <w:tc>
          <w:tcPr>
            <w:tcW w:w="280" w:type="dxa"/>
            <w:vAlign w:val="bottom"/>
            <w:shd w:val="clear" w:color="auto" w:fill="CCEEFF"/>
          </w:tcPr>
          <w:p>
            <w:pPr>
              <w:spacing w:after="0"/>
              <w:rPr>
                <w:sz w:val="18"/>
                <w:szCs w:val="18"/>
                <w:color w:val="auto"/>
              </w:rPr>
            </w:pPr>
          </w:p>
        </w:tc>
        <w:tc>
          <w:tcPr>
            <w:tcW w:w="19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1,930,658</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11,703,903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10,538,517</w:t>
            </w:r>
          </w:p>
        </w:tc>
        <w:tc>
          <w:tcPr>
            <w:tcW w:w="3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losses and other comprehensive loss (or OCL). OCL includes certain changes in stockholders’ equity that are excluded from net losses. Specifically, we include in OCL changes in unrealized gains and losses on our marketable securities. Accumulated other comprehensive loss was $1,146,368 as of March 31, 2008 and $283,874 as of December 31, 2007.</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activity in OCL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5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(6,544,989)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 (4,619,752)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and losses on marketable securities</w:t>
            </w:r>
          </w:p>
        </w:tc>
        <w:tc>
          <w:tcPr>
            <w:tcW w:w="202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(862,494)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(2,852,133)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(7,407,483)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(7,471,885)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40" w:firstLine="450"/>
        <w:spacing w:after="0" w:line="259" w:lineRule="auto"/>
        <w:rPr>
          <w:sz w:val="20"/>
          <w:szCs w:val="20"/>
          <w:color w:val="auto"/>
        </w:rPr>
      </w:pPr>
      <w:r>
        <w:rPr>
          <w:rFonts w:ascii="Times New Roman" w:cs="Times New Roman" w:eastAsia="Times New Roman" w:hAnsi="Times New Roman"/>
          <w:sz w:val="18"/>
          <w:szCs w:val="18"/>
          <w:color w:val="auto"/>
        </w:rPr>
        <w:t xml:space="preserve">In September 2006, the Financial Accounting Standards Board (FASB) issued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adopted the provisions of SFAS 157 that became effective in our first quarter of 2008. See “Estimated Fair Value of Financial Instruments” above for further information about the adoption of the required provisions of SFAS 157 above.</w:t>
      </w:r>
    </w:p>
    <w:p>
      <w:pPr>
        <w:spacing w:after="0" w:line="72"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February 2008, the FASB issued FASB Staff Position No. FAS 157-2, </w:t>
      </w:r>
      <w:r>
        <w:rPr>
          <w:rFonts w:ascii="Times New Roman" w:cs="Times New Roman" w:eastAsia="Times New Roman" w:hAnsi="Times New Roman"/>
          <w:sz w:val="18"/>
          <w:szCs w:val="18"/>
          <w:i w:val="1"/>
          <w:iCs w:val="1"/>
          <w:color w:val="auto"/>
        </w:rPr>
        <w:t>Effective Date of FASB Statement No. 157</w:t>
      </w:r>
      <w:r>
        <w:rPr>
          <w:rFonts w:ascii="Times New Roman" w:cs="Times New Roman" w:eastAsia="Times New Roman" w:hAnsi="Times New Roman"/>
          <w:sz w:val="18"/>
          <w:szCs w:val="18"/>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72" w:lineRule="exact"/>
        <w:rPr>
          <w:sz w:val="20"/>
          <w:szCs w:val="20"/>
          <w:color w:val="auto"/>
        </w:rPr>
      </w:pPr>
    </w:p>
    <w:p>
      <w:pPr>
        <w:ind w:right="140" w:firstLine="450"/>
        <w:spacing w:after="0" w:line="277" w:lineRule="auto"/>
        <w:rPr>
          <w:sz w:val="20"/>
          <w:szCs w:val="20"/>
          <w:color w:val="auto"/>
        </w:rPr>
      </w:pPr>
      <w:r>
        <w:rPr>
          <w:rFonts w:ascii="Times New Roman" w:cs="Times New Roman" w:eastAsia="Times New Roman" w:hAnsi="Times New Roman"/>
          <w:sz w:val="17"/>
          <w:szCs w:val="17"/>
          <w:color w:val="auto"/>
        </w:rPr>
        <w:t xml:space="preserve">In February 2007, the FASB issued SFAS No. 159, </w:t>
      </w:r>
      <w:r>
        <w:rPr>
          <w:rFonts w:ascii="Times New Roman" w:cs="Times New Roman" w:eastAsia="Times New Roman" w:hAnsi="Times New Roman"/>
          <w:sz w:val="17"/>
          <w:szCs w:val="17"/>
          <w:i w:val="1"/>
          <w:iCs w:val="1"/>
          <w:color w:val="auto"/>
        </w:rPr>
        <w:t>The Fair Value Option for Financial Assets and Financial Liabilities—Including an amendment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FASB Statement No. 115 </w:t>
      </w:r>
      <w:r>
        <w:rPr>
          <w:rFonts w:ascii="Times New Roman" w:cs="Times New Roman" w:eastAsia="Times New Roman" w:hAnsi="Times New Roman"/>
          <w:sz w:val="17"/>
          <w:szCs w:val="17"/>
          <w:color w:val="auto"/>
        </w:rPr>
        <w:t>(SFAS 159). Under SFAS 159, a company may choose, at specified election dates, to measure eligible items at fair value and report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SFAS 159 became effective beginning with our first quarter of 2008. At this time, we have chosen not to adopt the provisions of SFAS 159 for our existing financial instruments.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Assets</w:t>
      </w:r>
    </w:p>
    <w:p>
      <w:pPr>
        <w:spacing w:after="0" w:line="121" w:lineRule="exact"/>
        <w:rPr>
          <w:sz w:val="20"/>
          <w:szCs w:val="20"/>
          <w:color w:val="auto"/>
        </w:rPr>
      </w:pPr>
    </w:p>
    <w:p>
      <w:pPr>
        <w:ind w:right="300" w:firstLine="44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cash, cash equivalents and available-for-sale marketable securities held in our current and non-current investment portfolio: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Amortized cost</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unrealized</w:t>
            </w:r>
          </w:p>
        </w:tc>
        <w:tc>
          <w:tcPr>
            <w:tcW w:w="32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2008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534,652</w:t>
            </w:r>
          </w:p>
        </w:tc>
        <w:tc>
          <w:tcPr>
            <w:tcW w:w="6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10,184,570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10,184,570</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debt securities (maturity within 90 days)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1,891,129</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12,075,699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12,075,699</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debt securities (maturity within 1 year)</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16,706,595</w:t>
            </w: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47,144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16,748,166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marketable securities, current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16,706,595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47,144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16,748,166</w:t>
            </w:r>
          </w:p>
        </w:tc>
        <w:tc>
          <w:tcPr>
            <w:tcW w:w="0" w:type="dxa"/>
            <w:vAlign w:val="bottom"/>
          </w:tcPr>
          <w:p>
            <w:pPr>
              <w:spacing w:after="0"/>
              <w:rPr>
                <w:sz w:val="1"/>
                <w:szCs w:val="1"/>
                <w:color w:val="auto"/>
              </w:rPr>
            </w:pPr>
          </w:p>
        </w:tc>
      </w:tr>
      <w:tr>
        <w:trPr>
          <w:trHeight w:val="432"/>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917,217</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4,693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2,269,697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(1,192,631)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 non-current</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3,186,914</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(1,192,631)</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marketable securities, current and</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32,503,860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51,837</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(1,198,204)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31,357,493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2007</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549,544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549,544</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5,079,564</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debt securities (maturity within 90 days)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4,130,404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4,130,061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9,209,968</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debt securities (maturity within 1 year)</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8"/>
              </w:rPr>
              <w:t>26,680,824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26,696,413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 current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26,680,824</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26,696,413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1,180,394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2,269,697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(308,229)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marketable securities, non-current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3,450,091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(308,229)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3,150,971</w:t>
            </w:r>
          </w:p>
        </w:tc>
        <w:tc>
          <w:tcPr>
            <w:tcW w:w="0" w:type="dxa"/>
            <w:vAlign w:val="bottom"/>
          </w:tcPr>
          <w:p>
            <w:pPr>
              <w:spacing w:after="0"/>
              <w:rPr>
                <w:sz w:val="1"/>
                <w:szCs w:val="1"/>
                <w:color w:val="auto"/>
              </w:rPr>
            </w:pPr>
          </w:p>
        </w:tc>
      </w:tr>
      <w:tr>
        <w:trPr>
          <w:trHeight w:val="205"/>
        </w:trPr>
        <w:tc>
          <w:tcPr>
            <w:tcW w:w="5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marketable securities, current and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w:t>
            </w:r>
          </w:p>
        </w:tc>
        <w:tc>
          <w:tcPr>
            <w:tcW w:w="4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8"/>
              </w:rPr>
              <w:t>39,890,427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28,246</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(312,120)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39,606,553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investment in marketable debt securities consist primarily of commercial paper, corporate bonds, and asset-backed securities.</w:t>
      </w:r>
    </w:p>
    <w:p>
      <w:pPr>
        <w:spacing w:after="0" w:line="117"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Our investment in marketable equity securities consists of shares in ReNeuron Group plc, a publicly listed UK corporation. In July 2005, we entered into a license and settlement agreement with ReNeuron Limited, a wholly owned subsidiary of ReNeuron Group plc, (collectively referred to as “ReNeuron”). As part of the agreement, we granted ReNeuron a license that allows ReNeuron to exploit their “c-mycER” conditionally immortalized adult 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February 2007, we sold 5,275,000 ordinary shares of ReNeuron for net proceeds of approximately $3,075,000 and we recognized a realized gain of approximately $716,000. In February 2007, as a consequence of certain anti-dilution provisions in the agreement, ReNeuron issued us an additional 822,000 shares of common stock net of approximately 12,000 shares which were transferred to NeuroSpheres Ltd., (NeuroSpheres) a Canadian corporation from which we have licensed some of the patent rights that are subject to the agreement with ReNeuron. We recorded approximately $550,000 as other income for the additional shares. We owned 4,821,924 ordinary shares of ReNeuron at March 31, 2008 and December 31, 2007 and the fair value of those shares was approximately $1,077,000 at March 31, 2008 and approximately $1,961,000 at December 31, 2007.</w:t>
      </w:r>
    </w:p>
    <w:p>
      <w:pPr>
        <w:spacing w:after="0" w:line="81"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Changes in the market value of our ReNeuron shares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21" w:lineRule="exact"/>
        <w:rPr>
          <w:sz w:val="20"/>
          <w:szCs w:val="20"/>
          <w:color w:val="auto"/>
        </w:rPr>
      </w:pPr>
    </w:p>
    <w:p>
      <w:pPr>
        <w:ind w:right="140" w:firstLine="447"/>
        <w:spacing w:after="0" w:line="261" w:lineRule="auto"/>
        <w:rPr>
          <w:sz w:val="20"/>
          <w:szCs w:val="20"/>
          <w:color w:val="auto"/>
        </w:rPr>
      </w:pPr>
      <w:r>
        <w:rPr>
          <w:rFonts w:ascii="Times New Roman" w:cs="Times New Roman" w:eastAsia="Times New Roman" w:hAnsi="Times New Roman"/>
          <w:sz w:val="18"/>
          <w:szCs w:val="18"/>
          <w:color w:val="auto"/>
        </w:rPr>
        <w:t>We currently grant stock-based awards under three equity incentive plans. We had 15,227,244 shares authorized under the three plans as of March 31, 2008. Under these plans we may grant incentive stock options, nonqualified stock options, stock appreciation rights, restricted stock, restricted stock units,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72"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Our compensation expense for stock options and restricted stock units issued from our equity incentive plans for the three months ended March 31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480,349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262,279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490,578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356,706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employee stock-based compensation expense and effect on 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970,927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618,985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on basic and diluted net loss per common share</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2008, we have approximately $7,780,000 of total unrecognized compensation expense related to unvested awards granted under our various stock-based plans that we expect to recognize over a weighted-average vesting period of 2.7 years.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11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Generally, stock options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 Unvested options are forfeited on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47"/>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is estimated as of the date of grant using the Black-Scholes option pricing model, which requires certain assumptions as of the date of grant. The weighted-average assumptions used at March 31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8660" w:type="dxa"/>
            <w:vAlign w:val="bottom"/>
          </w:tcPr>
          <w:p>
            <w:pPr>
              <w:spacing w:after="0"/>
              <w:rPr>
                <w:sz w:val="12"/>
                <w:szCs w:val="12"/>
                <w:color w:val="auto"/>
              </w:rPr>
            </w:pPr>
          </w:p>
        </w:tc>
        <w:tc>
          <w:tcPr>
            <w:tcW w:w="106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40" w:type="dxa"/>
            <w:vAlign w:val="bottom"/>
          </w:tcPr>
          <w:p>
            <w:pPr>
              <w:spacing w:after="0"/>
              <w:rPr>
                <w:sz w:val="12"/>
                <w:szCs w:val="12"/>
                <w:color w:val="auto"/>
              </w:rPr>
            </w:pPr>
          </w:p>
        </w:tc>
        <w:tc>
          <w:tcPr>
            <w:tcW w:w="116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r>
              <w:rPr>
                <w:rFonts w:ascii="Times New Roman" w:cs="Times New Roman" w:eastAsia="Times New Roman" w:hAnsi="Times New Roman"/>
                <w:sz w:val="15"/>
                <w:szCs w:val="15"/>
                <w:color w:val="auto"/>
              </w:rPr>
              <w:t>(1)</w:t>
            </w:r>
          </w:p>
        </w:tc>
        <w:tc>
          <w:tcPr>
            <w:tcW w:w="10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6.22</w:t>
            </w:r>
          </w:p>
        </w:tc>
        <w:tc>
          <w:tcPr>
            <w:tcW w:w="17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15"/>
                <w:szCs w:val="15"/>
                <w:color w:val="auto"/>
              </w:rPr>
              <w:t>(2)</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2.80%</w:t>
            </w:r>
          </w:p>
        </w:tc>
        <w:tc>
          <w:tcPr>
            <w:tcW w:w="17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15"/>
                <w:szCs w:val="15"/>
                <w:color w:val="auto"/>
              </w:rPr>
              <w:t>(3)</w:t>
            </w: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74.75%</w:t>
            </w:r>
          </w:p>
        </w:tc>
        <w:tc>
          <w:tcPr>
            <w:tcW w:w="17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100.19%</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r>
              <w:rPr>
                <w:rFonts w:ascii="Times New Roman" w:cs="Times New Roman" w:eastAsia="Times New Roman" w:hAnsi="Times New Roman"/>
                <w:sz w:val="15"/>
                <w:szCs w:val="15"/>
                <w:color w:val="auto"/>
              </w:rPr>
              <w:t>(4)</w:t>
            </w: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right="6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represents the period during which our stock-based awards are expected to be outstanding. In 2008 we estimated this amount based on historical experience of similar awards, giving consideration to the contractual terms of the awards, vesting requirements, and expectation of future employee behavior, including post-vesting terminations. In 2007 the expected term is equal to the average of the contractual life of the stock option and its vesting period as of the date of grant.</w:t>
      </w:r>
    </w:p>
    <w:p>
      <w:pPr>
        <w:spacing w:after="0" w:line="3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U.S. Treasury debt securities with maturities close to the expected term of the option as of the date of grant.</w:t>
      </w:r>
    </w:p>
    <w:p>
      <w:pPr>
        <w:spacing w:after="0" w:line="76" w:lineRule="exact"/>
        <w:rPr>
          <w:rFonts w:ascii="Times New Roman" w:cs="Times New Roman" w:eastAsia="Times New Roman" w:hAnsi="Times New Roman"/>
          <w:sz w:val="18"/>
          <w:szCs w:val="18"/>
          <w:color w:val="auto"/>
        </w:rPr>
      </w:pPr>
    </w:p>
    <w:p>
      <w:pPr>
        <w:ind w:left="460" w:right="10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historical volatility over the most recent historical period equal to the length of the expected term of the option as of the date of grant.</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historically issued any dividends and we do not expect to in the foreseeable future.</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At the end of each reporting period we estimate forfeiture rates based on our historical experience within separate groups of employees and adjust the stock-based compensation expense accordingly.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stock option activity for the three months ended March 31, 2008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15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2007</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9,028,810</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(279,907)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March 31, 2008</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8,798,903</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180" w:firstLine="447"/>
        <w:spacing w:after="0" w:line="266" w:lineRule="auto"/>
        <w:rPr>
          <w:sz w:val="20"/>
          <w:szCs w:val="20"/>
          <w:color w:val="auto"/>
        </w:rPr>
      </w:pPr>
      <w:r>
        <w:rPr>
          <w:rFonts w:ascii="Times New Roman" w:cs="Times New Roman" w:eastAsia="Times New Roman" w:hAnsi="Times New Roman"/>
          <w:sz w:val="18"/>
          <w:szCs w:val="18"/>
          <w:color w:val="auto"/>
        </w:rPr>
        <w:t>The estimated weighted average fair value per share of options granted was approximately $1.48 in the three months ended March 31, 2008, based on the Black-Scholes model and the assumptions discussed above. Total intrinsic value of options exercised at time of exercise was approximately $32,000 for the three months ended March 31, 2008.</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changes in unvested options for the three months ended March 31, 2008 is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vMerge w:val="restart"/>
          </w:tcPr>
          <w:p>
            <w:pPr>
              <w:spacing w:after="0"/>
              <w:rPr>
                <w:sz w:val="13"/>
                <w:szCs w:val="13"/>
                <w:color w:val="auto"/>
              </w:rPr>
            </w:pPr>
          </w:p>
        </w:tc>
        <w:tc>
          <w:tcPr>
            <w:tcW w:w="18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options at December 31, 2007</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4,428,192</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(387,146)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(35,341)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options at March 31, 2008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4,115,705</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fair value of shares vested were approximately $838,000 in the three months ended March 31, 2008.</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In March 2008, we granted restricted stock units to certain employees that entitle the holders to receive shares of our common stock upon vesting. These restricted stock units vest over a three year period from the date of grant: one-third of the award will vest on each grant date anniversary over the following three years. The fair value of restricted stock units granted are based upon the market price of the underlying common stock as if it were vested and issued on the date of grant.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restricted stock unit activity for the three months ended March 31, 2008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3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2007</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1,650,000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2008</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1,650,000</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In July 2006, we granted cash-settled Stock Appreciation Rights (SARs) to certain employees that give the holder the right, upon exercise, to the difference between the price per share of our common stock at the time of exercise and the exercise price of the SAR. The exercise price of the SAR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stock-based compensation expense and liability are re-measured at each reporting date through the date of settlement.</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changes in SARs for the three months ended March 31, 2008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72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2007</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1,478,219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7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(47,370)</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March 31, 2008</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1,430,849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SARs exercisable at March 31, 2008</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596,181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In the first three months of 2008 we re-measured the compensation expense and liability related to the SARs and reduced total compensation expense by approximately $42,000 due to the forfeiture of SARs and 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our common stock price. The total compensation expense related to SARs was approximately $168,000 in the first three months of 2007.</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At March 31, 2008, approximately $681,000 of unrecognized compensation expense related to SARs is expected to be recognized over a weighted average vesting period of approximately 1.3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Wind-down expenses</w:t>
      </w:r>
    </w:p>
    <w:p>
      <w:pPr>
        <w:spacing w:after="0" w:line="121" w:lineRule="exact"/>
        <w:rPr>
          <w:sz w:val="20"/>
          <w:szCs w:val="20"/>
          <w:color w:val="auto"/>
        </w:rPr>
      </w:pPr>
    </w:p>
    <w:p>
      <w:pPr>
        <w:jc w:val="both"/>
        <w:ind w:right="300" w:firstLine="450"/>
        <w:spacing w:after="0" w:line="258" w:lineRule="auto"/>
        <w:rPr>
          <w:sz w:val="20"/>
          <w:szCs w:val="20"/>
          <w:color w:val="auto"/>
        </w:rPr>
      </w:pPr>
      <w:r>
        <w:rPr>
          <w:rFonts w:ascii="Times New Roman" w:cs="Times New Roman" w:eastAsia="Times New Roman" w:hAnsi="Times New Roman"/>
          <w:sz w:val="18"/>
          <w:szCs w:val="18"/>
          <w:color w:val="auto"/>
        </w:rPr>
        <w:t>In October 1999, we relocated to California from Rhode Island and established a wind down reserve for the estimated lease payments and operating costs of the scientific and administrative facility in Rhode Island.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summary of the changes to our wind-down reserve as of March 31, 2008 and December 31, 2007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to March</w:t>
            </w:r>
          </w:p>
        </w:tc>
        <w:tc>
          <w:tcPr>
            <w:tcW w:w="17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to December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31, 2008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31, 2007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wind-down reserve at 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4,875,000</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5,512,000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Less actual expenses recorded against estimated reserve during the period</w:t>
            </w: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(331,000)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(1,420,000)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expense recorded to revise estimated reserve at period-end</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783,000</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Revised reserve at period-end</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rent at period-end</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1,218,000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1,268,000</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wind-down expenses at period-end (current and non current)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wind-down expenses, current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1,383,000</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Accrued wind-down expenses, non-current</w:t>
            </w:r>
          </w:p>
        </w:tc>
        <w:tc>
          <w:tcPr>
            <w:tcW w:w="2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4,539,000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wind-down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5,922,000</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Capital leases</w:t>
      </w:r>
    </w:p>
    <w:p>
      <w:pPr>
        <w:spacing w:after="0" w:line="119" w:lineRule="exact"/>
        <w:rPr>
          <w:sz w:val="20"/>
          <w:szCs w:val="20"/>
          <w:color w:val="auto"/>
        </w:rPr>
      </w:pPr>
    </w:p>
    <w:p>
      <w:pPr>
        <w:ind w:right="20" w:firstLine="447"/>
        <w:spacing w:after="0" w:line="258" w:lineRule="auto"/>
        <w:rPr>
          <w:sz w:val="20"/>
          <w:szCs w:val="20"/>
          <w:color w:val="auto"/>
        </w:rPr>
      </w:pPr>
      <w:r>
        <w:rPr>
          <w:rFonts w:ascii="Times New Roman" w:cs="Times New Roman" w:eastAsia="Times New Roman" w:hAnsi="Times New Roman"/>
          <w:sz w:val="18"/>
          <w:szCs w:val="18"/>
          <w:color w:val="auto"/>
        </w:rPr>
        <w:t>We entered into direct financing transactions with the State of Rhode Island and received proceeds from the issuance of industrial revenue bonds totaling $5,000,000 to finance the construction of our pilot manufacturing facility in Rhode Island. The related lease agreements are structured such that lease payments fully fund all semiannual interest payments and annual principal payments through maturity in August 2014. The interest rate for the remaining bond series is 9.5%. The bond contains certain restrictive covenants which limit, among other things, the payment of cash dividends and the sale of the related assets. The outstanding principal was approximately $1,113,000 at March 31, 2008 and $1,145,000 at December 31, 2007.</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540" w:firstLine="447"/>
        <w:spacing w:after="0" w:line="282" w:lineRule="auto"/>
        <w:rPr>
          <w:sz w:val="20"/>
          <w:szCs w:val="20"/>
          <w:color w:val="auto"/>
        </w:rPr>
      </w:pPr>
      <w:r>
        <w:rPr>
          <w:rFonts w:ascii="Times New Roman" w:cs="Times New Roman" w:eastAsia="Times New Roman" w:hAnsi="Times New Roman"/>
          <w:sz w:val="18"/>
          <w:szCs w:val="18"/>
          <w:color w:val="auto"/>
        </w:rPr>
        <w:t>We entered into a fifteen-year lease agreement for a scientific and administrative facility in Rhode Island in connection with a sale and leaseback arrangement in 1997. The lease term expires June 30, 2013. The lease contains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escalating rent payments, which we recognize on a straight-line basis. Deferred rent expense for this facility was approximately $1,218,000 at March 31, 2008 and $1,268,000 at December 31, 2007, and is included as part of the wind-down accrual on the accompanying condensed consolidated balance sheet.</w:t>
      </w:r>
    </w:p>
    <w:p>
      <w:pPr>
        <w:spacing w:after="0" w:line="54" w:lineRule="exact"/>
        <w:rPr>
          <w:sz w:val="20"/>
          <w:szCs w:val="20"/>
          <w:color w:val="auto"/>
        </w:rPr>
      </w:pPr>
    </w:p>
    <w:p>
      <w:pPr>
        <w:ind w:right="20" w:firstLine="447"/>
        <w:spacing w:after="0" w:line="254" w:lineRule="auto"/>
        <w:rPr>
          <w:sz w:val="20"/>
          <w:szCs w:val="20"/>
          <w:color w:val="auto"/>
        </w:rPr>
      </w:pPr>
      <w:r>
        <w:rPr>
          <w:rFonts w:ascii="Times New Roman" w:cs="Times New Roman" w:eastAsia="Times New Roman" w:hAnsi="Times New Roman"/>
          <w:sz w:val="18"/>
          <w:szCs w:val="18"/>
          <w:color w:val="auto"/>
        </w:rPr>
        <w:t>We entered into and amended a lease agreement for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The lease term expires March 31, 2010.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condensed consolidated balance sheets. The lease contains escalating rent payments, which we recognize as operating lease expense on a straight-line basis. Deferred rent was approximately $666,000 as of March 31, 2008 and $728,000 as of December 31, 2007, and is reflected as deferred rent on our condensed consolidated balance sheet. At March 31, 2008, we had a space-sharing agreement covering approximately 10,451 square feet of this facility. We receive base payments plus a proportionate share of the operating expenses based on square footage over the term of 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 xml:space="preserve">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Certificate for both.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Subsequent Event</w:t>
      </w:r>
    </w:p>
    <w:p>
      <w:pPr>
        <w:spacing w:after="0" w:line="121"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In April 2008, Progenitor Cell Therapy, LLC (“PCT”), a provider of cGMP-quality cell processing services headquartered in Hackensack, NJ, prepaid the $1.0 million advanced to PCT under a note purchase agreement we entered into on December 3, 2007. On that date, we announced that we were exploring the possible acquisition of PCT and that PCT had agreed to a period of exclusivity to allow for due diligence and negotiations. In consideration of the exclusivity period, we made a secured loan of $1.0 million. However, the parties were unable to reach agreement on mutually acceptable terms and conditions, and on March 4, 2008, we announced we had terminated discussions regarding the acquisition of PCT. Effective March 18, 2008, we and PCT amended the note purchase agreement to accelerate the date for repayment of the loan to June 26, 2008 and to relax certain restrictive covenants and exclusivity provisions.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ind w:firstLine="447"/>
        <w:spacing w:after="0" w:line="252"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 Item 1A included in our Annual Report on Form 10-K for the fiscal year ended December 31, 2007.</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Our research and development (R&amp;D) programs are focused on identifying and developing potential cell-based therapeutics which can either restore or support organ function. Since we relocated our corporate headquarters and research laboratories to California in 1999 our R&amp;D efforts have primarily been directed at refining our methods for identifying, isolating, culturing, and purifying the human neural stem cell and human liver engrafting cells (hLEC) and developing these as potential cell-based therapeutics for the central nervous system (CNS) and the liver, respectively. We are currently conducting a Phase I clinical trial of our HuCNS-SC</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candidate (purified human neural stem cells) as a treatment for infantile and late infantile neuronal ceroid lipofuscinosis (NCL), a fatal neurodegenerative disease often referred to as Batten disease. We have completed enrollment and dosing for this six-patient trial and expect it to be completed in early 2009. Our CNS Program is continuing research and preclinical development for additional potential indications in the CNS field. We are targeting to initiate clinical trials to test our HuCNS-SC product candidate for a spinal cord indication in 2008 and for a myelin disorder in the brain by the end of 2008. In our Liver Program, we are in preclinical development with our human liver engrafting cells and are exploring their applicability as a cellular therapy to restore function to liver tissue by replacing dysfunctional or damaged cells. For a brief description of our significant research and development programs see Overview “Research and Development Programs” in the Business Section of Part I, Item 1 included in our Annual Report on Form 10-K for the fiscal year ended December 31, 2007. We have also conducted research on several other cell types and in other areas, which could lead to other possible product candidates, process improvements or further research activities.</w:t>
      </w:r>
    </w:p>
    <w:p>
      <w:pPr>
        <w:spacing w:after="0" w:line="81" w:lineRule="exact"/>
        <w:rPr>
          <w:sz w:val="20"/>
          <w:szCs w:val="20"/>
          <w:color w:val="auto"/>
        </w:rPr>
      </w:pPr>
    </w:p>
    <w:p>
      <w:pPr>
        <w:ind w:right="220" w:firstLine="447"/>
        <w:spacing w:after="0" w:line="266" w:lineRule="auto"/>
        <w:rPr>
          <w:sz w:val="20"/>
          <w:szCs w:val="20"/>
          <w:color w:val="auto"/>
        </w:rPr>
      </w:pPr>
      <w:r>
        <w:rPr>
          <w:rFonts w:ascii="Times New Roman" w:cs="Times New Roman" w:eastAsia="Times New Roman" w:hAnsi="Times New Roman"/>
          <w:sz w:val="18"/>
          <w:szCs w:val="18"/>
          <w:color w:val="auto"/>
        </w:rPr>
        <w:t>We have not derived any revenue or cash flows from the sale or commercialization of any products except for license revenue for certain of our patented cells and media for use in research. As a result, we have incurred annual operating losses since inception and expect to incur substantial operating losses in the future. Therefore, we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66"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Before we can derive revenue or cash inflows from the commercialization of any of our product candidates, we will need to: (i) conduct substantial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testing and characterization of our proprietary cell types, (ii) undertake preclinical and clinical testing for specific disease indications; (iii)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validate and scale-up manufacturing processes to produce these cell-based therapeutics, and (iv) pursue required regulatory approvals. These steps are risky, expensive and time consuming.</w:t>
      </w:r>
    </w:p>
    <w:p>
      <w:pPr>
        <w:spacing w:after="0" w:line="74"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 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83"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Given the early stage of development of our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Events</w:t>
      </w:r>
    </w:p>
    <w:p>
      <w:pPr>
        <w:spacing w:after="0" w:line="121"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On April 23, 2008 we announced that the U.S. Patent and Trademark Office (PTO) issued U.S. Patent Number 7,361,505 (‘505) with broad claims covering human neural stem cells derived from any tissue source, including embryonic, fetal, juvenile, or adult tissue. The ‘505 patent is exclusively licensed to StemCells.</w:t>
      </w:r>
    </w:p>
    <w:p>
      <w:pPr>
        <w:spacing w:after="0" w:line="68"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On April 15, 2008 we announced that the PTO upheld two of our neural stem cell patents, (U.S. Patent Number 5,851,832 and U.S. Patent Number 6,497,872), as amended, in reexamination proceedings commenced in 2007. The patents are two of four patents which are the basis of our patent infringement suit against Neuralstem. See Item 1 of Part II, Legal Proceedings, below.</w:t>
      </w:r>
    </w:p>
    <w:p>
      <w:pPr>
        <w:spacing w:after="0" w:line="68"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On March 4, 2008 we announced that we were no longer pursuing a possible acquisition of Progenitor Cell Therapy, LLC (“PCT”), a provider of cGMP-quality cell processing services headquartered in Hackensack, NJ. On December 3, 2007 we had announced that we were exploring such an acquisition and that PCT had agreed to a period of exclusivity to allow for due diligence and negotiations. In consideration of the exclusivity period, we made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secured loan of $1.0 million to PCT. However, the parties were unable to reach agreement on mutually acceptable terms and conditions, and terminated discussions. The $1.0 million loan was prepaid in April 2008.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21" w:lineRule="exact"/>
        <w:rPr>
          <w:sz w:val="20"/>
          <w:szCs w:val="20"/>
          <w:color w:val="auto"/>
        </w:rPr>
      </w:pPr>
    </w:p>
    <w:p>
      <w:pPr>
        <w:ind w:firstLine="447"/>
        <w:spacing w:after="0" w:line="255" w:lineRule="auto"/>
        <w:rPr>
          <w:sz w:val="20"/>
          <w:szCs w:val="20"/>
          <w:color w:val="auto"/>
        </w:rPr>
      </w:pPr>
      <w:r>
        <w:rPr>
          <w:rFonts w:ascii="Times New Roman" w:cs="Times New Roman" w:eastAsia="Times New Roman" w:hAnsi="Times New Roman"/>
          <w:sz w:val="18"/>
          <w:szCs w:val="18"/>
          <w:color w:val="auto"/>
        </w:rPr>
        <w:t>The accompanying discussion and analysis of our financial condition and results of operations are based on our condensed consolidated financial statements and the related disclosures, which have been prepared in accordance with accounting principles generally accepted in the United States. The preparation of these condensed consolidated financial statements requires management to make estimates, assumptions, and judgments that affect the reported amounts in our condensed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On January 1, 2006, we adopted Statement of Financial Accounting Standards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 SFAS 123R requires us to recognize expense related to the fair value of our stock-based compensation awards, including employee stock options. Under the provisions of SFAS 123R, employee stock-based compensation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The expected term represents the period during which our stock-based awards are expected to be outstanding. From our adoption date of SFAS 123R to December 31, 2007, and in accordance with Staff Accounting Bulletin 107, </w:t>
      </w: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(SAB 107), the expected term was equal to the average of the contractual life of the stock option and its vesting period as of the date of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simplified method). In December 2007, the SEC issued Staff Accounting Bulletin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(SAB 110), extending the availability of SAB 107 beyond its original deadline of December 31, 2007. The extension is available for companies under specified conditions that include, a lack of sufficient historical exercise data related to their stock based awards. Effective January 01, 2008, in accordance with SAB 110, we no longer use the simplified method and estimate the expected term based on historical experience of similar awards, giving consideration to the contractual terms of the awards, vesting requirements, and expectation of future employee behavior, including post-vesting terminations. The change of method in estimating the expected term did not have a material impact on our condensed consolidated financial statements.</w:t>
      </w:r>
    </w:p>
    <w:p>
      <w:pPr>
        <w:spacing w:after="0" w:line="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As required under SFAS 123R, we review our valuation assumptions at each grant date and, as a result, our assumptions in future periods may change. Employee stock-based compensation expense was approximately $929,000 for the three months ended March 31, 2008. As of March 31, 2008, total compensation cost related to unvested stock-based awards not yet recognized was approximately $8,499,000, which is expected to be recognized as expense over a weighted-average period of 2.5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Wind-down expenses</w:t>
      </w:r>
    </w:p>
    <w:p>
      <w:pPr>
        <w:spacing w:after="0" w:line="121"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wind-down of our research and manufacturing operations in Lincoln, Rhode Island, and the relocation of our corporate headquarters and remaining research laboratories to California in October 1999, we provided a reserve for our estimate of the exit cost obligation in accordance with EITF 94-3, </w:t>
      </w:r>
      <w:r>
        <w:rPr>
          <w:rFonts w:ascii="Times New Roman" w:cs="Times New Roman" w:eastAsia="Times New Roman" w:hAnsi="Times New Roman"/>
          <w:sz w:val="18"/>
          <w:szCs w:val="18"/>
          <w:i w:val="1"/>
          <w:iCs w:val="1"/>
          <w:color w:val="auto"/>
        </w:rPr>
        <w:t>Liability Recognition for Certain Employee Termination Benefits and Other Costs to Exit an Activity (Including Certain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Incurred in a Restructuring)</w:t>
      </w:r>
      <w:r>
        <w:rPr>
          <w:rFonts w:ascii="Times New Roman" w:cs="Times New Roman" w:eastAsia="Times New Roman" w:hAnsi="Times New Roman"/>
          <w:sz w:val="18"/>
          <w:szCs w:val="18"/>
          <w:color w:val="auto"/>
        </w:rPr>
        <w:t>. The reserve reflects estimates of the ongoing costs of our former scientific and administrative facility in Lincoln, which we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18"/>
          <w:szCs w:val="18"/>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76"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five years (2003 through 2007) was approximately 73%, varying from 66% to 89%. As of March 31, 2008, based on current information available to management, the vacancy rate is projected to be approximately 80% for the remainder of 2008, and approximately 70% from 2009 through the end of the lease. These estimates are based on actual occupancy as of March 31, 2008, predicted lead time for acquiring new subtenants, historical vacancy rates for the area, and assessments by our broker/realtor of future real estate market conditions. If the assumed vacancy rate for 2009 to the end of the lease had been 5% higher or lower at March 31, 2008, then the reserve would have increased or decreased by approximately $205,000. Similarly, a 5% increase or decrease in the operating expenses for the facility from 2008 on would have increased or decreased the reserve by approximately $118,000, and a 5% increase or decrease in the assumed average rental charge per square foot would have increased or decreased the reserve by approximately $77,000. Management does not wait for specific events to change its estimate, but instead uses its best efforts to anticipate them on a quarterly basis.</w:t>
      </w:r>
    </w:p>
    <w:p>
      <w:pPr>
        <w:spacing w:after="0" w:line="89" w:lineRule="exact"/>
        <w:rPr>
          <w:sz w:val="20"/>
          <w:szCs w:val="20"/>
          <w:color w:val="auto"/>
        </w:rPr>
      </w:pPr>
    </w:p>
    <w:p>
      <w:pPr>
        <w:ind w:right="180" w:firstLine="447"/>
        <w:spacing w:after="0" w:line="266" w:lineRule="auto"/>
        <w:rPr>
          <w:sz w:val="20"/>
          <w:szCs w:val="20"/>
          <w:color w:val="auto"/>
        </w:rPr>
      </w:pPr>
      <w:r>
        <w:rPr>
          <w:rFonts w:ascii="Times New Roman" w:cs="Times New Roman" w:eastAsia="Times New Roman" w:hAnsi="Times New Roman"/>
          <w:sz w:val="18"/>
          <w:szCs w:val="18"/>
          <w:color w:val="auto"/>
        </w:rPr>
        <w:t>We recorded actual expenses against this reserve of approximately $331,000 for the three months ended March 31, 2008. Based on management’s evaluation of the factors mentioned above, and particularly the projected vacancy rates described above, we adjusted the reserve to $5,922,000 at March 31, 2008 by recording an additional $160,000 for the three months ended March 31, 2008.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Rhode Island facilities, and the increasing costs associated with operating our California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totaled approximately $17,000 for the three months ended March 31, 2008 and $6,000 for the three months ended March 31,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color w:val="auto"/>
              </w:rPr>
              <w:t>2008</w:t>
            </w:r>
          </w:p>
        </w:tc>
        <w:tc>
          <w:tcPr>
            <w:tcW w:w="13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2007</w:t>
            </w: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4"/>
                <w:szCs w:val="14"/>
                <w:color w:val="auto"/>
              </w:rPr>
              <w:t>Change in 2008 versus 2007</w:t>
            </w: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65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agreements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$ 17,350</w:t>
            </w:r>
          </w:p>
        </w:tc>
        <w:tc>
          <w:tcPr>
            <w:tcW w:w="20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5,946</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$ 11,404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0" w:firstLine="222"/>
        <w:spacing w:after="0" w:line="282" w:lineRule="auto"/>
        <w:rPr>
          <w:sz w:val="20"/>
          <w:szCs w:val="20"/>
          <w:color w:val="auto"/>
        </w:rPr>
      </w:pPr>
      <w:r>
        <w:rPr>
          <w:rFonts w:ascii="Times New Roman" w:cs="Times New Roman" w:eastAsia="Times New Roman" w:hAnsi="Times New Roman"/>
          <w:sz w:val="18"/>
          <w:szCs w:val="18"/>
          <w:color w:val="auto"/>
        </w:rPr>
        <w:t>The increase in licensing revenue in the three months ended March 31, 2008 as compared to the three months ended March 31, 2007 was primarily attributable to increased licensing fees from existing licensing agreements.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780" w:firstLine="450"/>
        <w:spacing w:after="0" w:line="282" w:lineRule="auto"/>
        <w:rPr>
          <w:sz w:val="20"/>
          <w:szCs w:val="20"/>
          <w:color w:val="auto"/>
        </w:rPr>
      </w:pPr>
      <w:r>
        <w:rPr>
          <w:rFonts w:ascii="Times New Roman" w:cs="Times New Roman" w:eastAsia="Times New Roman" w:hAnsi="Times New Roman"/>
          <w:sz w:val="18"/>
          <w:szCs w:val="18"/>
          <w:color w:val="auto"/>
        </w:rPr>
        <w:t>Operating expenses totaled approximately $6,914,000 for the three months ended March 31, 2008 and $6,505,000 for the three months ended March 31, 2007.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2008</w:t>
            </w: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color w:val="auto"/>
              </w:rPr>
              <w:t>2007</w:t>
            </w:r>
          </w:p>
        </w:tc>
        <w:tc>
          <w:tcPr>
            <w:tcW w:w="6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color w:val="auto"/>
              </w:rPr>
              <w:t>Change in 2008 versus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2"/>
          </w:tcPr>
          <w:p>
            <w:pPr>
              <w:jc w:val="right"/>
              <w:ind w:right="239"/>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6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$ 4,499,751</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$ 4,019,138</w:t>
            </w:r>
          </w:p>
        </w:tc>
        <w:tc>
          <w:tcPr>
            <w:tcW w:w="1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$ 480,613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2,254,203</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2,264,548</w:t>
            </w:r>
          </w:p>
        </w:tc>
        <w:tc>
          <w:tcPr>
            <w:tcW w:w="18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Wind-down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160,250</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221,765</w:t>
            </w:r>
          </w:p>
        </w:tc>
        <w:tc>
          <w:tcPr>
            <w:tcW w:w="6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(61,515)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$ 6,914,204</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$ 6,505,451</w:t>
            </w:r>
          </w:p>
        </w:tc>
        <w:tc>
          <w:tcPr>
            <w:tcW w:w="18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$ 408,753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60" w:firstLine="450"/>
        <w:spacing w:after="0" w:line="254" w:lineRule="auto"/>
        <w:rPr>
          <w:sz w:val="20"/>
          <w:szCs w:val="20"/>
          <w:color w:val="auto"/>
        </w:rPr>
      </w:pPr>
      <w:r>
        <w:rPr>
          <w:rFonts w:ascii="Times New Roman" w:cs="Times New Roman" w:eastAsia="Times New Roman" w:hAnsi="Times New Roman"/>
          <w:sz w:val="18"/>
          <w:szCs w:val="18"/>
          <w:color w:val="auto"/>
        </w:rPr>
        <w:t>Our R&amp;D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and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2007) were approximately $80 million. Over this period, the majority of these cumulative costs were related to:</w:t>
      </w:r>
    </w:p>
    <w:p>
      <w:pPr>
        <w:spacing w:after="0" w:line="3" w:lineRule="exact"/>
        <w:rPr>
          <w:sz w:val="20"/>
          <w:szCs w:val="20"/>
          <w:color w:val="auto"/>
        </w:rPr>
      </w:pPr>
    </w:p>
    <w:p>
      <w:pPr>
        <w:ind w:right="20" w:firstLine="8"/>
        <w:spacing w:after="0" w:line="255"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characterization of our proprietary HuCNS-SC cell, (ii) expenditures for toxicology and other preclinical studies, preparation and submission of our Investigational New Drug (IND) application for our Phase I trial for NCL to the FDA, and obtaining FDA clearance; and (iii) expenditures in connection with our HuCNS-SC Phase I clinical trial.</w:t>
      </w:r>
    </w:p>
    <w:p>
      <w:pPr>
        <w:spacing w:after="0" w:line="78" w:lineRule="exact"/>
        <w:rPr>
          <w:sz w:val="20"/>
          <w:szCs w:val="20"/>
          <w:color w:val="auto"/>
        </w:rPr>
      </w:pPr>
    </w:p>
    <w:p>
      <w:pPr>
        <w:ind w:right="40" w:firstLine="447"/>
        <w:spacing w:after="0" w:line="255" w:lineRule="auto"/>
        <w:rPr>
          <w:sz w:val="20"/>
          <w:szCs w:val="20"/>
          <w:color w:val="auto"/>
        </w:rPr>
      </w:pPr>
      <w:r>
        <w:rPr>
          <w:rFonts w:ascii="Times New Roman" w:cs="Times New Roman" w:eastAsia="Times New Roman" w:hAnsi="Times New Roman"/>
          <w:sz w:val="18"/>
          <w:szCs w:val="18"/>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7"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R&amp;D expense totaled approximately $4,500,000 in the first three months of 2008, as compared to $4,019,000 for the same period in 2007. The increase of approximately $481,000, or 12%, from 2007 to 2008 was primarily attributable to an increase in personnel costs of approximately $463,000, primarily resulting from an increase in headcount to support the continued expansion of our operations in cell processing and our product development programs, and of which approximately $163,000 was attributable to stock-based compensation expense. The remainder of the increase in 2008 was due to increases in other R&amp;D expenses. At March 31, 2008, we had 46 full-time employees working in research and development and laboratory support services as compared to 36 at March 31, 2007.</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totaled approximately $2,254,000 in the first three months of 2008, compared with $2,265,000 for the same period in 2007. The decrease of approximately $11,000, or less than 1%, from 2007 to 2008 was primarily attributable to a decrease in external services of approximately $160,000, primarily due to lower recruiting, legal and investor relations-related services, and a decrease in other operating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expenses of approximately $50,000. Those decreased expenses were mostly offset by an increase of approximately $166,000 in operating expenses for our vacant pilot manufacturing facility in Rhode Island and an increase in personnel costs of $33,000, primarily resulting from an increase in headcount. Stock-based compensation expense in the first three months of 2008 was comparable to the same period in 2007.</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Wind-down Expenses</w:t>
      </w:r>
    </w:p>
    <w:p>
      <w:pPr>
        <w:spacing w:after="0" w:line="119" w:lineRule="exact"/>
        <w:rPr>
          <w:sz w:val="20"/>
          <w:szCs w:val="20"/>
          <w:color w:val="auto"/>
        </w:rPr>
      </w:pPr>
    </w:p>
    <w:p>
      <w:pPr>
        <w:ind w:right="100" w:firstLine="450"/>
        <w:spacing w:after="0" w:line="253" w:lineRule="auto"/>
        <w:rPr>
          <w:sz w:val="20"/>
          <w:szCs w:val="20"/>
          <w:color w:val="auto"/>
        </w:rPr>
      </w:pPr>
      <w:r>
        <w:rPr>
          <w:rFonts w:ascii="Times New Roman" w:cs="Times New Roman" w:eastAsia="Times New Roman" w:hAnsi="Times New Roman"/>
          <w:sz w:val="18"/>
          <w:szCs w:val="18"/>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$6,143,000 at December 31, 2007. For the three-month period ending March 31, 2008, payments net of subtenant income of approximately $331,000 were recorded against this reserve. At March 31, 2008, we re-evaluated the estimate and adjusted the reserve to approximately $5,922,000 by recording in aggregate, additional wind-down expenses of approximately $160,000. For the same period in 2007, we recorded against this reserve, actual expenses of approximately $381,000 and at March 31, 2007 after re-evaluating the estimate, an additional $222,000 to adjust the reserve.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4 “Wind-down expenses,” in the Notes to condensed consolidated financial statements of Part I, Item 1 of this Form 10-Q for further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totaled approximately $352,000 in the three months ended March 31, 2008, compared with $1,880,000 for the same period in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2008</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2007</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color w:val="auto"/>
              </w:rPr>
              <w:t>Change in 2008 versus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10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License and settlement agreement,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550,467</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(550,467)</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Gain on sale of 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717,621</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(717,621)</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383,665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653,606</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(269,941)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(28,191)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(33,317)</w:t>
            </w: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(8,624)</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351,865</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1,879,753</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(1,527,888)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Calculation is not meaningful.</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License and Settlement Agreement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450"/>
        <w:spacing w:after="0" w:line="255" w:lineRule="auto"/>
        <w:rPr>
          <w:sz w:val="20"/>
          <w:szCs w:val="20"/>
          <w:color w:val="auto"/>
        </w:rPr>
      </w:pPr>
      <w:r>
        <w:rPr>
          <w:rFonts w:ascii="Times New Roman" w:cs="Times New Roman" w:eastAsia="Times New Roman" w:hAnsi="Times New Roman"/>
          <w:sz w:val="18"/>
          <w:szCs w:val="18"/>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w:t>
      </w:r>
    </w:p>
    <w:p>
      <w:pPr>
        <w:spacing w:after="0" w:line="81" w:lineRule="exact"/>
        <w:rPr>
          <w:sz w:val="20"/>
          <w:szCs w:val="20"/>
          <w:color w:val="auto"/>
        </w:rPr>
      </w:pPr>
    </w:p>
    <w:p>
      <w:pPr>
        <w:ind w:right="140" w:firstLine="450"/>
        <w:spacing w:after="0" w:line="282" w:lineRule="auto"/>
        <w:rPr>
          <w:sz w:val="20"/>
          <w:szCs w:val="20"/>
          <w:color w:val="auto"/>
        </w:rPr>
      </w:pPr>
      <w:r>
        <w:rPr>
          <w:rFonts w:ascii="Times New Roman" w:cs="Times New Roman" w:eastAsia="Times New Roman" w:hAnsi="Times New Roman"/>
          <w:sz w:val="18"/>
          <w:szCs w:val="18"/>
          <w:color w:val="auto"/>
        </w:rPr>
        <w:t>Other income from the license and settlement agreement totaled approximately $550,000 in the first three months of 2007, which was the fair value of the ReNeuron shares we received under such agreement, net of legal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fees and the value of the shares that were transferred to NeuroSpheres Ltd., a Canadian corporation from which we have licensed some of the patent rights that are the subject of the agreement with ReNeuron. See Note 2 “Financial Assets,” in the notes to condensed consolidated financial statements of Part I, Item 1 of this Form 10-Q for further information regarding this transaction.</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Gain on Sale of Marketable Equity Securities</w:t>
      </w:r>
    </w:p>
    <w:p>
      <w:pPr>
        <w:spacing w:after="0" w:line="119" w:lineRule="exact"/>
        <w:rPr>
          <w:sz w:val="20"/>
          <w:szCs w:val="20"/>
          <w:color w:val="auto"/>
        </w:rPr>
      </w:pPr>
    </w:p>
    <w:p>
      <w:pPr>
        <w:ind w:right="140" w:firstLine="447"/>
        <w:spacing w:after="0" w:line="266" w:lineRule="auto"/>
        <w:rPr>
          <w:sz w:val="20"/>
          <w:szCs w:val="20"/>
          <w:color w:val="auto"/>
        </w:rPr>
      </w:pPr>
      <w:r>
        <w:rPr>
          <w:rFonts w:ascii="Times New Roman" w:cs="Times New Roman" w:eastAsia="Times New Roman" w:hAnsi="Times New Roman"/>
          <w:sz w:val="18"/>
          <w:szCs w:val="18"/>
          <w:color w:val="auto"/>
        </w:rPr>
        <w:t>The gain on sale of marketable equity securities of approximately $716,000 in the first three months of 2007 was attributable to sales of ReNeuron shares. See Note 2 “Financial Assets,” in the notes to condensed consolidated financial statements of Part I, Item 1 of this Form 10-Q for further information on this transaction.</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Interest income totaled approximately $384,000 in the first three months of 2008 and $654,000 for the same period in 2007. Interest income in 2008 was lower compared to 2007 primarily as a result of lower average yield and lower average investment balances. See “Cash Used in Investing Activities,” in Liquidity and Capital Resources below for further information.</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$28,000 in the first three months of 2008 and $33,000 for the same period in 2007. Interest expense in 2008 was lower compared to 2007 primarily attributable to lower outstanding debt and capital lease balances. See Note 5 “Commitment and Contingencies,” in the notes to condensed consolidated financial statements of Part I, Item 1 of this Form 10-Q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450"/>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0" w:type="dxa"/>
            <w:vAlign w:val="bottom"/>
            <w:gridSpan w:val="2"/>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20" w:type="dxa"/>
            <w:vAlign w:val="bottom"/>
          </w:tcPr>
          <w:p>
            <w:pPr>
              <w:spacing w:after="0"/>
              <w:rPr>
                <w:sz w:val="13"/>
                <w:szCs w:val="13"/>
                <w:color w:val="auto"/>
              </w:rPr>
            </w:pPr>
          </w:p>
        </w:tc>
      </w:tr>
      <w:tr>
        <w:trPr>
          <w:trHeight w:val="149"/>
        </w:trPr>
        <w:tc>
          <w:tcPr>
            <w:tcW w:w="5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gridSpan w:val="2"/>
          </w:tcPr>
          <w:p>
            <w:pPr>
              <w:jc w:val="center"/>
              <w:ind w:left="744"/>
              <w:spacing w:after="0" w:line="149" w:lineRule="exact"/>
              <w:rPr>
                <w:sz w:val="20"/>
                <w:szCs w:val="20"/>
                <w:color w:val="auto"/>
              </w:rPr>
            </w:pPr>
            <w:r>
              <w:rPr>
                <w:rFonts w:ascii="Times New Roman" w:cs="Times New Roman" w:eastAsia="Times New Roman" w:hAnsi="Times New Roman"/>
                <w:sz w:val="14"/>
                <w:szCs w:val="14"/>
                <w:b w:val="1"/>
                <w:bCs w:val="1"/>
                <w:color w:val="auto"/>
              </w:rPr>
              <w:t>2008</w:t>
            </w:r>
          </w:p>
        </w:tc>
        <w:tc>
          <w:tcPr>
            <w:tcW w:w="820" w:type="dxa"/>
            <w:vAlign w:val="bottom"/>
          </w:tcPr>
          <w:p>
            <w:pPr>
              <w:spacing w:after="0"/>
              <w:rPr>
                <w:sz w:val="12"/>
                <w:szCs w:val="12"/>
                <w:color w:val="auto"/>
              </w:rPr>
            </w:pPr>
          </w:p>
        </w:tc>
      </w:tr>
      <w:tr>
        <w:trPr>
          <w:trHeight w:val="173"/>
        </w:trPr>
        <w:tc>
          <w:tcPr>
            <w:tcW w:w="5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5"/>
                <w:szCs w:val="15"/>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0" w:type="dxa"/>
            <w:vAlign w:val="bottom"/>
            <w:tcBorders>
              <w:bottom w:val="single" w:sz="8" w:color="auto"/>
            </w:tcBorders>
            <w:gridSpan w:val="2"/>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Versus 2007</w:t>
            </w:r>
          </w:p>
        </w:tc>
        <w:tc>
          <w:tcPr>
            <w:tcW w:w="820" w:type="dxa"/>
            <w:vAlign w:val="bottom"/>
            <w:tcBorders>
              <w:bottom w:val="single" w:sz="8" w:color="auto"/>
            </w:tcBorders>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136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60" w:type="dxa"/>
            <w:vAlign w:val="bottom"/>
          </w:tcPr>
          <w:p>
            <w:pPr>
              <w:spacing w:after="0"/>
              <w:rPr>
                <w:sz w:val="12"/>
                <w:szCs w:val="12"/>
                <w:color w:val="auto"/>
              </w:rPr>
            </w:pPr>
          </w:p>
        </w:tc>
        <w:tc>
          <w:tcPr>
            <w:tcW w:w="136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ind w:right="5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42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and highly liquid investments </w:t>
            </w:r>
            <w:r>
              <w:rPr>
                <w:rFonts w:ascii="Times New Roman" w:cs="Times New Roman" w:eastAsia="Times New Roman" w:hAnsi="Times New Roman"/>
                <w:sz w:val="15"/>
                <w:szCs w:val="15"/>
                <w:color w:val="auto"/>
              </w:rPr>
              <w:t>(1)</w:t>
            </w:r>
          </w:p>
        </w:tc>
        <w:tc>
          <w:tcPr>
            <w:tcW w:w="1360" w:type="dxa"/>
            <w:vAlign w:val="bottom"/>
          </w:tcPr>
          <w:p>
            <w:pPr>
              <w:jc w:val="right"/>
              <w:ind w:right="182"/>
              <w:spacing w:after="0"/>
              <w:rPr>
                <w:sz w:val="20"/>
                <w:szCs w:val="20"/>
                <w:color w:val="auto"/>
              </w:rPr>
            </w:pPr>
            <w:r>
              <w:rPr>
                <w:rFonts w:ascii="Times New Roman" w:cs="Times New Roman" w:eastAsia="Times New Roman" w:hAnsi="Times New Roman"/>
                <w:sz w:val="18"/>
                <w:szCs w:val="18"/>
                <w:color w:val="auto"/>
              </w:rPr>
              <w:t>$30,280,427</w:t>
            </w:r>
          </w:p>
        </w:tc>
        <w:tc>
          <w:tcPr>
            <w:tcW w:w="18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$37,645,085</w:t>
            </w:r>
          </w:p>
        </w:tc>
        <w:tc>
          <w:tcPr>
            <w:tcW w:w="440" w:type="dxa"/>
            <w:vAlign w:val="bottom"/>
          </w:tcPr>
          <w:p>
            <w:pPr>
              <w:spacing w:after="0"/>
              <w:rPr>
                <w:sz w:val="24"/>
                <w:szCs w:val="24"/>
                <w:color w:val="auto"/>
              </w:rPr>
            </w:pPr>
          </w:p>
        </w:tc>
        <w:tc>
          <w:tcPr>
            <w:tcW w:w="136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$(7,364,658)</w:t>
            </w:r>
          </w:p>
        </w:tc>
        <w:tc>
          <w:tcPr>
            <w:tcW w:w="4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right="8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highly liquid investments include unrestricted cash, cash equivalents, and current and non-current marketable debt securities. Marketable equity securities, which are comprised of 4,821,924 ordinary shares of ReNeuron, are excluded from the amounts above because management does not consider them highly liquid. See Note 2, “Financial Assets,” in the notes to the condensed consolidated financial statements of Part I, Item 1 of this Form 10-Q for further information.</w:t>
      </w:r>
    </w:p>
    <w:p>
      <w:pPr>
        <w:spacing w:after="0" w:line="72" w:lineRule="exact"/>
        <w:rPr>
          <w:sz w:val="20"/>
          <w:szCs w:val="20"/>
          <w:color w:val="auto"/>
        </w:rPr>
      </w:pPr>
    </w:p>
    <w:p>
      <w:pPr>
        <w:ind w:right="320" w:firstLine="447"/>
        <w:spacing w:after="0" w:line="266" w:lineRule="auto"/>
        <w:rPr>
          <w:sz w:val="20"/>
          <w:szCs w:val="20"/>
          <w:color w:val="auto"/>
        </w:rPr>
      </w:pPr>
      <w:r>
        <w:rPr>
          <w:rFonts w:ascii="Times New Roman" w:cs="Times New Roman" w:eastAsia="Times New Roman" w:hAnsi="Times New Roman"/>
          <w:sz w:val="18"/>
          <w:szCs w:val="18"/>
          <w:color w:val="auto"/>
        </w:rPr>
        <w:t>Total cash and highly liquid investments were approximately $30,280,000 at March 31, 2008, compared with approximately $37,645,000 at December 31, 2007. The decrease in our cash and highly liquid investments of approximately $7,365,000, or 20%, from December 31, 2007 to March 31, 2008 was primarily attributable to cash used in operating activities.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gridSpan w:val="2"/>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60" w:type="dxa"/>
            <w:vAlign w:val="bottom"/>
          </w:tcPr>
          <w:p>
            <w:pPr>
              <w:spacing w:after="0"/>
              <w:rPr>
                <w:sz w:val="13"/>
                <w:szCs w:val="13"/>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gridSpan w:val="2"/>
          </w:tcPr>
          <w:p>
            <w:pPr>
              <w:jc w:val="center"/>
              <w:ind w:left="7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860" w:type="dxa"/>
            <w:vAlign w:val="bottom"/>
          </w:tcPr>
          <w:p>
            <w:pPr>
              <w:spacing w:after="0"/>
              <w:rPr>
                <w:sz w:val="12"/>
                <w:szCs w:val="12"/>
                <w:color w:val="auto"/>
              </w:rPr>
            </w:pPr>
          </w:p>
        </w:tc>
      </w:tr>
      <w:tr>
        <w:trPr>
          <w:trHeight w:val="173"/>
        </w:trPr>
        <w:tc>
          <w:tcPr>
            <w:tcW w:w="5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80" w:type="dxa"/>
            <w:vAlign w:val="bottom"/>
            <w:tcBorders>
              <w:bottom w:val="single" w:sz="8" w:color="auto"/>
            </w:tcBorders>
            <w:gridSpan w:val="2"/>
          </w:tcPr>
          <w:p>
            <w:pPr>
              <w:jc w:val="center"/>
              <w:ind w:left="760"/>
              <w:spacing w:after="0"/>
              <w:rPr>
                <w:sz w:val="20"/>
                <w:szCs w:val="20"/>
                <w:color w:val="auto"/>
              </w:rPr>
            </w:pPr>
            <w:r>
              <w:rPr>
                <w:rFonts w:ascii="Times New Roman" w:cs="Times New Roman" w:eastAsia="Times New Roman" w:hAnsi="Times New Roman"/>
                <w:sz w:val="14"/>
                <w:szCs w:val="14"/>
                <w:b w:val="1"/>
                <w:bCs w:val="1"/>
                <w:color w:val="auto"/>
              </w:rPr>
              <w:t>Versus 2007</w:t>
            </w:r>
          </w:p>
        </w:tc>
        <w:tc>
          <w:tcPr>
            <w:tcW w:w="860" w:type="dxa"/>
            <w:vAlign w:val="bottom"/>
            <w:tcBorders>
              <w:bottom w:val="single" w:sz="8" w:color="auto"/>
            </w:tcBorders>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96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60" w:type="dxa"/>
            <w:vAlign w:val="bottom"/>
          </w:tcPr>
          <w:p>
            <w:pPr>
              <w:spacing w:after="0"/>
              <w:rPr>
                <w:sz w:val="12"/>
                <w:szCs w:val="12"/>
                <w:color w:val="auto"/>
              </w:rPr>
            </w:pPr>
          </w:p>
        </w:tc>
        <w:tc>
          <w:tcPr>
            <w:tcW w:w="1340" w:type="dxa"/>
            <w:vAlign w:val="bottom"/>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6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March 31, 2008 and March 31, 2007:</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(7,291,366)</w:t>
            </w:r>
          </w:p>
        </w:tc>
        <w:tc>
          <w:tcPr>
            <w:tcW w:w="19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$(5,252,048)</w:t>
            </w:r>
          </w:p>
        </w:tc>
        <w:tc>
          <w:tcPr>
            <w:tcW w:w="460" w:type="dxa"/>
            <w:vAlign w:val="bottom"/>
          </w:tcPr>
          <w:p>
            <w:pPr>
              <w:spacing w:after="0"/>
              <w:rPr>
                <w:sz w:val="18"/>
                <w:szCs w:val="18"/>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$(2,039,318)</w:t>
            </w:r>
          </w:p>
        </w:tc>
        <w:tc>
          <w:tcPr>
            <w:tcW w:w="44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6"/>
              </w:rPr>
              <w:t>10,179,321</w:t>
            </w:r>
          </w:p>
        </w:tc>
        <w:tc>
          <w:tcPr>
            <w:tcW w:w="19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$ 2,951,785</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$ 7,227,536</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w:t>
            </w:r>
          </w:p>
        </w:tc>
        <w:tc>
          <w:tcPr>
            <w:tcW w:w="19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$ 1,426,345</w:t>
            </w:r>
          </w:p>
        </w:tc>
        <w:tc>
          <w:tcPr>
            <w:tcW w:w="460" w:type="dxa"/>
            <w:vAlign w:val="bottom"/>
          </w:tcPr>
          <w:p>
            <w:pPr>
              <w:spacing w:after="0"/>
              <w:rPr>
                <w:sz w:val="20"/>
                <w:szCs w:val="20"/>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$(1,463,118)</w:t>
            </w:r>
          </w:p>
        </w:tc>
        <w:tc>
          <w:tcPr>
            <w:tcW w:w="44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is not meaningful.</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April 2008, Progenitor Cell Therapy, LLC prepaid a $1.0 million loan that we had made to them in connection with a possible acquisition of PCT.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Subsequent Event.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is primarily driven by increases in our net loss. However, operating cash flows differ from net loss as a result of non-cash charges or differences in the timing of cash flows and expense recognition.</w:t>
      </w:r>
    </w:p>
    <w:p>
      <w:pPr>
        <w:spacing w:after="0" w:line="54"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In our operating activities we used approximately $7,291,000 in cash in the first three months of 2008, compared with $5,252,000 for the same period in 2007. The increase in cash used in operating activities in 2008 as compared to 2007 was primarily attributable to the expansion of our operations in cell processing and our product development programs, including increases in headcount and headcount related expenses and external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right="120" w:firstLine="447"/>
        <w:spacing w:after="0" w:line="282" w:lineRule="auto"/>
        <w:rPr>
          <w:sz w:val="20"/>
          <w:szCs w:val="20"/>
          <w:color w:val="auto"/>
        </w:rPr>
      </w:pPr>
      <w:r>
        <w:rPr>
          <w:rFonts w:ascii="Times New Roman" w:cs="Times New Roman" w:eastAsia="Times New Roman" w:hAnsi="Times New Roman"/>
          <w:sz w:val="18"/>
          <w:szCs w:val="18"/>
          <w:color w:val="auto"/>
        </w:rPr>
        <w:t>The increase from 2007 to 2008 of approximately $7,228,000 for net cash provided by investing activities was primarily attributable to the maturity of marketable debt securities held to maturity, which were used to fund operating activities for the first three months of 2008.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21" w:lineRule="exact"/>
        <w:rPr>
          <w:sz w:val="20"/>
          <w:szCs w:val="20"/>
          <w:color w:val="auto"/>
        </w:rPr>
      </w:pPr>
    </w:p>
    <w:p>
      <w:pPr>
        <w:ind w:right="20" w:firstLine="447"/>
        <w:spacing w:after="0" w:line="266" w:lineRule="auto"/>
        <w:rPr>
          <w:sz w:val="20"/>
          <w:szCs w:val="20"/>
          <w:color w:val="auto"/>
        </w:rPr>
      </w:pPr>
      <w:r>
        <w:rPr>
          <w:rFonts w:ascii="Times New Roman" w:cs="Times New Roman" w:eastAsia="Times New Roman" w:hAnsi="Times New Roman"/>
          <w:sz w:val="18"/>
          <w:szCs w:val="18"/>
          <w:color w:val="auto"/>
        </w:rPr>
        <w:t>The decrease from 2007 to 2008 of approximately $1,463,000 for net cash (used in) provided by financing activities was primarily attributable to the sale of approximately 397,000 shares of our common stock at an average price of $3.51 per share for net proceeds of approximately $1,325,000, in the quarter ended March 31, 2007. These shares were sold under a sales agreement with Cantor Fitzgerald &amp; Co. (Cantor).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key financing transactions entered into by us in the last three years:</w:t>
      </w:r>
    </w:p>
    <w:p>
      <w:pPr>
        <w:spacing w:after="0" w:line="117" w:lineRule="exact"/>
        <w:rPr>
          <w:sz w:val="20"/>
          <w:szCs w:val="20"/>
          <w:color w:val="auto"/>
        </w:rPr>
      </w:pPr>
    </w:p>
    <w:p>
      <w:pPr>
        <w:ind w:left="660" w:right="220" w:hanging="436"/>
        <w:spacing w:after="0" w:line="282"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67" w:lineRule="exact"/>
        <w:rPr>
          <w:rFonts w:ascii="Times New Roman" w:cs="Times New Roman" w:eastAsia="Times New Roman" w:hAnsi="Times New Roman"/>
          <w:sz w:val="18"/>
          <w:szCs w:val="18"/>
          <w:b w:val="1"/>
          <w:bCs w:val="1"/>
          <w:color w:val="auto"/>
        </w:rPr>
      </w:pPr>
    </w:p>
    <w:p>
      <w:pPr>
        <w:ind w:left="660" w:right="80" w:hanging="436"/>
        <w:spacing w:after="0" w:line="261"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29, 2006, we filed a Prospectus Supplement announcing the entry of a sales agreement with Cantor under which up to 10,000,000 shares may be sold from time to time under a shelf registration statement. In 2007, we sold a total of 1,807,000 shares of our common stock under this agreement at an average price per share of $2.84 for gross proceeds of approximately $5,133,000. Cantor is paid compensation equal to 5.0% of the gross proceeds pursuant to the terms of the agreement.</w:t>
      </w:r>
    </w:p>
    <w:p>
      <w:pPr>
        <w:spacing w:after="0" w:line="85" w:lineRule="exact"/>
        <w:rPr>
          <w:rFonts w:ascii="Times New Roman" w:cs="Times New Roman" w:eastAsia="Times New Roman" w:hAnsi="Times New Roman"/>
          <w:sz w:val="18"/>
          <w:szCs w:val="18"/>
          <w:b w:val="1"/>
          <w:bCs w:val="1"/>
          <w:color w:val="auto"/>
        </w:rPr>
      </w:pPr>
    </w:p>
    <w:p>
      <w:pPr>
        <w:ind w:left="660" w:right="160" w:hanging="436"/>
        <w:spacing w:after="0" w:line="261"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180" w:hanging="436"/>
        <w:spacing w:after="0" w:line="28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54" w:lineRule="exact"/>
        <w:rPr>
          <w:sz w:val="20"/>
          <w:szCs w:val="20"/>
          <w:color w:val="auto"/>
        </w:rPr>
      </w:pPr>
    </w:p>
    <w:p>
      <w:pPr>
        <w:ind w:firstLine="447"/>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pursue opportunities to obtain additional financing in the future through equity and debt financings, grants and collaborative research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We have a shelf registration statement which, as of March 31, 2008, covered shares of our common stock up to a value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million that could be available for financings. On December 29, 2006, we filed a Prospectus Supplement announcing the entry of a sales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under which up to 10,000,000 shares may be sold from time to time under the shelf registration statement, of which approximately 8.2 million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available at March 31, 2008. The source, timing and availability of any future financing will depend principally upon market conditions,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more specifically, on our progress in our exploratory, preclinical and future clinical development programs. Funding may not be available when needed</w:t>
      </w:r>
    </w:p>
    <w:p>
      <w:pPr>
        <w:spacing w:after="0" w:line="9"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420" w:firstLine="450"/>
        <w:spacing w:after="0" w:line="282" w:lineRule="auto"/>
        <w:rPr>
          <w:sz w:val="20"/>
          <w:szCs w:val="20"/>
          <w:color w:val="auto"/>
        </w:rPr>
      </w:pPr>
      <w:r>
        <w:rPr>
          <w:rFonts w:ascii="Times New Roman" w:cs="Times New Roman" w:eastAsia="Times New Roman" w:hAnsi="Times New Roman"/>
          <w:sz w:val="18"/>
          <w:szCs w:val="18"/>
          <w:color w:val="auto"/>
        </w:rPr>
        <w:t>See Note 5, “Commitments and Contingencies” in the notes to condensed consolidated financial statements of Part I, Item 1 of this Form 10-Q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right="580" w:firstLine="447"/>
        <w:spacing w:after="0" w:line="266" w:lineRule="auto"/>
        <w:rPr>
          <w:sz w:val="20"/>
          <w:szCs w:val="20"/>
          <w:color w:val="auto"/>
        </w:rPr>
      </w:pPr>
      <w:r>
        <w:rPr>
          <w:rFonts w:ascii="Times New Roman" w:cs="Times New Roman" w:eastAsia="Times New Roman" w:hAnsi="Times New Roman"/>
          <w:sz w:val="18"/>
          <w:szCs w:val="18"/>
          <w:color w:val="auto"/>
        </w:rPr>
        <w:t>We have certain contractual arrangements that create potential risk for us and are not recognized in our condensed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lease various real properties under operating leases that generally require us to pay taxes, insurance, maintenance, and minimum lease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leases have options to renew.</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entered into and amended a lease agreement for an approximately 68,000 square foot facility located at the Stanford Research Park in Palo Alto,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At March 31, 2008, we had a space-sharing agreement covering approximately 10,451 square feet of this facility. We receive base payments plus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proportionate share of the operating expenses based on square footage over the term of the agreement. We expect to receive, in aggregate,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$284,000 as part of the space-sharing agreement for the remainder of 2008. As a result of the above transactions, our estimated net cash outlay for rent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$1,452,000 for the remainder of 2008.</w:t>
      </w:r>
    </w:p>
    <w:p>
      <w:pPr>
        <w:spacing w:after="0" w:line="99" w:lineRule="exact"/>
        <w:rPr>
          <w:sz w:val="20"/>
          <w:szCs w:val="20"/>
          <w:color w:val="auto"/>
        </w:rPr>
      </w:pPr>
    </w:p>
    <w:p>
      <w:pPr>
        <w:ind w:firstLine="447"/>
        <w:spacing w:after="0" w:line="266" w:lineRule="auto"/>
        <w:rPr>
          <w:sz w:val="20"/>
          <w:szCs w:val="20"/>
          <w:color w:val="auto"/>
        </w:rPr>
      </w:pPr>
      <w:r>
        <w:rPr>
          <w:rFonts w:ascii="Times New Roman" w:cs="Times New Roman" w:eastAsia="Times New Roman" w:hAnsi="Times New Roman"/>
          <w:sz w:val="18"/>
          <w:szCs w:val="18"/>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We expect to pay approximately $879,000 in operating lease payments and estimated operating expenses of approximately $413,000, before receipt of sub-tenant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for the remainder of 2008. We expect to receive, in aggregate, approximately $206,000 in sub-tenant rent and operating expense for the remainder of 2008. As a result of the above transactions, our estimated cash outlay net of sub-tenant rent for the SAF will be approximately $1,086,000 for the remainder of 2008.</w:t>
      </w:r>
    </w:p>
    <w:p>
      <w:pPr>
        <w:spacing w:after="0" w:line="68" w:lineRule="exact"/>
        <w:rPr>
          <w:sz w:val="20"/>
          <w:szCs w:val="20"/>
          <w:color w:val="auto"/>
        </w:rPr>
      </w:pPr>
    </w:p>
    <w:p>
      <w:pPr>
        <w:ind w:right="460" w:firstLine="447"/>
        <w:spacing w:after="0" w:line="282" w:lineRule="auto"/>
        <w:rPr>
          <w:sz w:val="20"/>
          <w:szCs w:val="20"/>
          <w:color w:val="auto"/>
        </w:rPr>
      </w:pPr>
      <w:r>
        <w:rPr>
          <w:rFonts w:ascii="Times New Roman" w:cs="Times New Roman" w:eastAsia="Times New Roman" w:hAnsi="Times New Roman"/>
          <w:sz w:val="18"/>
          <w:szCs w:val="18"/>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2008, we believe that there have been no significant changes in our payments due under contractual obligations, as disclosed in our Annual Report on Form 10-K for the year ended December 31, 2007.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2006, the Financial Accounting Standards Board (FASB) issued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adopted the provisions of SFAS 157 that became effective in our first quarter of 2008. See Note 4 “Summary of Significant Accounting Policies-Fair Value,” in the Notes to condensed consolidated financial statements of Part I, Item 1 of this Form 10-Q for further information about the adoption of the required provisions of SFAS 157.</w:t>
      </w:r>
    </w:p>
    <w:p>
      <w:pPr>
        <w:spacing w:after="0" w:line="75"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February 2008, the FASB issued FASB Staff Position No. FAS 157-2, </w:t>
      </w:r>
      <w:r>
        <w:rPr>
          <w:rFonts w:ascii="Times New Roman" w:cs="Times New Roman" w:eastAsia="Times New Roman" w:hAnsi="Times New Roman"/>
          <w:sz w:val="18"/>
          <w:szCs w:val="18"/>
          <w:i w:val="1"/>
          <w:iCs w:val="1"/>
          <w:color w:val="auto"/>
        </w:rPr>
        <w:t>Effective Date of FASB Statement No. 157</w:t>
      </w:r>
      <w:r>
        <w:rPr>
          <w:rFonts w:ascii="Times New Roman" w:cs="Times New Roman" w:eastAsia="Times New Roman" w:hAnsi="Times New Roman"/>
          <w:sz w:val="18"/>
          <w:szCs w:val="18"/>
          <w:color w:val="auto"/>
        </w:rPr>
        <w:t xml:space="preserve"> (FSP 157-2). FSP 157-2 delays the effective date of SFAS 157 for nonfinancial assets and nonfinancial liabilities, except for certain items that are recognized or disclosed at fair value in the financial statements on a recurring basis (at least annually). We are currently evaluating the impact of SFAS 157 on our consolidated financial statements for items within the scope of FSP 157-2, which will become effective beginning with our first quarter of 2009.</w:t>
      </w:r>
    </w:p>
    <w:p>
      <w:pPr>
        <w:spacing w:after="0" w:line="72" w:lineRule="exact"/>
        <w:rPr>
          <w:sz w:val="20"/>
          <w:szCs w:val="20"/>
          <w:color w:val="auto"/>
        </w:rPr>
      </w:pPr>
    </w:p>
    <w:p>
      <w:pPr>
        <w:ind w:right="100" w:firstLine="450"/>
        <w:spacing w:after="0" w:line="277" w:lineRule="auto"/>
        <w:rPr>
          <w:sz w:val="20"/>
          <w:szCs w:val="20"/>
          <w:color w:val="auto"/>
        </w:rPr>
      </w:pPr>
      <w:r>
        <w:rPr>
          <w:rFonts w:ascii="Times New Roman" w:cs="Times New Roman" w:eastAsia="Times New Roman" w:hAnsi="Times New Roman"/>
          <w:sz w:val="17"/>
          <w:szCs w:val="17"/>
          <w:color w:val="auto"/>
        </w:rPr>
        <w:t xml:space="preserve">In February 2007, the FASB issued SFAS No. 159, </w:t>
      </w:r>
      <w:r>
        <w:rPr>
          <w:rFonts w:ascii="Times New Roman" w:cs="Times New Roman" w:eastAsia="Times New Roman" w:hAnsi="Times New Roman"/>
          <w:sz w:val="17"/>
          <w:szCs w:val="17"/>
          <w:i w:val="1"/>
          <w:iCs w:val="1"/>
          <w:color w:val="auto"/>
        </w:rPr>
        <w:t>The Fair Value Option for Financial Assets and Financial Liabilities—Including an amendment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FASB Statement No. 115 </w:t>
      </w:r>
      <w:r>
        <w:rPr>
          <w:rFonts w:ascii="Times New Roman" w:cs="Times New Roman" w:eastAsia="Times New Roman" w:hAnsi="Times New Roman"/>
          <w:sz w:val="17"/>
          <w:szCs w:val="17"/>
          <w:color w:val="auto"/>
        </w:rPr>
        <w:t>(SFAS 159). Under SFAS 159, a company may choose, at specified election dates, to measure eligible items at fair value and report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SFAS 159 became effective beginning with our first quarter of 2008. At this time, we have chosen not to adopt the provisions of SFAS 159 for our existing financial instruments.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market risks at March 31, 2008 have not changed materially from those discussed in Item 7A of our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2007 on file with the U.S. Securities and Exchange Commission.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also Note 2, “Financial Assets,” in the notes to condensed consolidated financial statements in Part I, Item 1 of this Form 10-Q.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7" w:lineRule="exact"/>
        <w:rPr>
          <w:sz w:val="20"/>
          <w:szCs w:val="20"/>
          <w:color w:val="auto"/>
        </w:rPr>
      </w:pPr>
    </w:p>
    <w:p>
      <w:pPr>
        <w:ind w:right="180" w:firstLine="450"/>
        <w:spacing w:after="0" w:line="255" w:lineRule="auto"/>
        <w:rPr>
          <w:sz w:val="20"/>
          <w:szCs w:val="20"/>
          <w:color w:val="auto"/>
        </w:rPr>
      </w:pPr>
      <w:r>
        <w:rPr>
          <w:rFonts w:ascii="Times New Roman" w:cs="Times New Roman" w:eastAsia="Times New Roman" w:hAnsi="Times New Roman"/>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 xml:space="preserve">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April 2008, the PTO upheld the ‘832 and ‘872 patents, as amended, and issued Notices of Intent to Issue an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Certificate for both. We expect the PTO to do the same for the remaining three patents under reexamination review later this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ind w:right="160" w:firstLine="447"/>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1, Item 1A, of our Annual Report on Form 10-K for the fiscal year ending December 31, 2007.</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SUBMISSION OF MATTERS TO A VOTE OF SECURITY HOLDERS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7" w:lineRule="exact"/>
        <w:rPr>
          <w:sz w:val="20"/>
          <w:szCs w:val="20"/>
          <w:color w:val="auto"/>
        </w:rPr>
      </w:pPr>
    </w:p>
    <w:p>
      <w:pPr>
        <w:ind w:right="600" w:firstLine="447"/>
        <w:spacing w:after="0" w:line="282" w:lineRule="auto"/>
        <w:rPr>
          <w:sz w:val="20"/>
          <w:szCs w:val="20"/>
          <w:color w:val="auto"/>
        </w:rPr>
      </w:pPr>
      <w:r>
        <w:rPr>
          <w:rFonts w:ascii="Times New Roman" w:cs="Times New Roman" w:eastAsia="Times New Roman" w:hAnsi="Times New Roman"/>
          <w:sz w:val="18"/>
          <w:szCs w:val="18"/>
          <w:color w:val="auto"/>
        </w:rPr>
        <w:t>There were no matters required to be disclosed in a current report on Form 8-K during the fiscal quarter covered by this report that were not so disclosed.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13" w:lineRule="exact"/>
        <w:rPr>
          <w:sz w:val="20"/>
          <w:szCs w:val="20"/>
          <w:color w:val="auto"/>
        </w:rPr>
      </w:pPr>
    </w:p>
    <w:p>
      <w:pPr>
        <w:ind w:right="3560"/>
        <w:spacing w:after="0" w:line="397" w:lineRule="auto"/>
        <w:rPr>
          <w:sz w:val="20"/>
          <w:szCs w:val="20"/>
          <w:color w:val="auto"/>
        </w:rPr>
      </w:pPr>
      <w:r>
        <w:rPr>
          <w:rFonts w:ascii="Times New Roman" w:cs="Times New Roman" w:eastAsia="Times New Roman" w:hAnsi="Times New Roman"/>
          <w:sz w:val="17"/>
          <w:szCs w:val="17"/>
          <w:b w:val="1"/>
          <w:bCs w:val="1"/>
          <w:color w:val="auto"/>
        </w:rPr>
        <w:t xml:space="preserve">Exhibit 31.1 — </w:t>
      </w:r>
      <w:r>
        <w:rPr>
          <w:rFonts w:ascii="Times New Roman" w:cs="Times New Roman" w:eastAsia="Times New Roman" w:hAnsi="Times New Roman"/>
          <w:sz w:val="17"/>
          <w:szCs w:val="17"/>
          <w:color w:val="auto"/>
        </w:rPr>
        <w:t>Certification of Martin McGlynn under Section 302 of the Sarbanes-Oxley Act of 2002</w:t>
      </w:r>
      <w:r>
        <w:rPr>
          <w:rFonts w:ascii="Times New Roman" w:cs="Times New Roman" w:eastAsia="Times New Roman" w:hAnsi="Times New Roman"/>
          <w:sz w:val="17"/>
          <w:szCs w:val="17"/>
          <w:b w:val="1"/>
          <w:bCs w:val="1"/>
          <w:color w:val="auto"/>
        </w:rPr>
        <w:t xml:space="preserve"> Exhibit 31.2 — </w:t>
      </w:r>
      <w:r>
        <w:rPr>
          <w:rFonts w:ascii="Times New Roman" w:cs="Times New Roman" w:eastAsia="Times New Roman" w:hAnsi="Times New Roman"/>
          <w:sz w:val="17"/>
          <w:szCs w:val="17"/>
          <w:color w:val="auto"/>
        </w:rPr>
        <w:t>Certification of Rodney K. B. Young under Section 302 of the Sarbanes-Oxley Act of 2002</w:t>
      </w:r>
    </w:p>
    <w:p>
      <w:pPr>
        <w:spacing w:after="0" w:line="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32.1 — </w:t>
      </w:r>
      <w:r>
        <w:rPr>
          <w:rFonts w:ascii="Times New Roman" w:cs="Times New Roman" w:eastAsia="Times New Roman" w:hAnsi="Times New Roman"/>
          <w:sz w:val="18"/>
          <w:szCs w:val="18"/>
          <w:color w:val="auto"/>
        </w:rPr>
        <w:t>Certification of Martin McGlynn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32.2 — </w:t>
      </w:r>
      <w:r>
        <w:rPr>
          <w:rFonts w:ascii="Times New Roman" w:cs="Times New Roman" w:eastAsia="Times New Roman" w:hAnsi="Times New Roman"/>
          <w:sz w:val="18"/>
          <w:szCs w:val="18"/>
          <w:color w:val="auto"/>
        </w:rPr>
        <w:t>Certification of Rodney K. B. Young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STEMCELLS, INC.</w:t>
            </w:r>
          </w:p>
        </w:tc>
        <w:tc>
          <w:tcPr>
            <w:tcW w:w="17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(name of 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May 5, 2008</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K. B. Young</w:t>
            </w:r>
          </w:p>
        </w:tc>
        <w:tc>
          <w:tcPr>
            <w:tcW w:w="1700" w:type="dxa"/>
            <w:vAlign w:val="bottom"/>
          </w:tcPr>
          <w:p>
            <w:pPr>
              <w:spacing w:after="0"/>
              <w:rPr>
                <w:sz w:val="24"/>
                <w:szCs w:val="24"/>
                <w:color w:val="auto"/>
              </w:rPr>
            </w:pP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K. B. Young</w:t>
            </w:r>
          </w:p>
        </w:tc>
        <w:tc>
          <w:tcPr>
            <w:tcW w:w="1700" w:type="dxa"/>
            <w:vAlign w:val="bottom"/>
          </w:tcPr>
          <w:p>
            <w:pPr>
              <w:spacing w:after="0"/>
              <w:rPr>
                <w:sz w:val="16"/>
                <w:szCs w:val="16"/>
                <w:color w:val="auto"/>
              </w:rPr>
            </w:pP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Exhibit Index</w:t>
      </w:r>
    </w:p>
    <w:p>
      <w:pPr>
        <w:spacing w:after="0" w:line="221" w:lineRule="exact"/>
        <w:rPr>
          <w:sz w:val="20"/>
          <w:szCs w:val="20"/>
          <w:color w:val="auto"/>
        </w:rPr>
      </w:pPr>
    </w:p>
    <w:p>
      <w:pPr>
        <w:ind w:right="3560"/>
        <w:spacing w:after="0" w:line="530" w:lineRule="auto"/>
        <w:rPr>
          <w:sz w:val="20"/>
          <w:szCs w:val="20"/>
          <w:color w:val="auto"/>
        </w:rPr>
      </w:pPr>
      <w:r>
        <w:rPr>
          <w:rFonts w:ascii="Times New Roman" w:cs="Times New Roman" w:eastAsia="Times New Roman" w:hAnsi="Times New Roman"/>
          <w:sz w:val="17"/>
          <w:szCs w:val="17"/>
          <w:b w:val="1"/>
          <w:bCs w:val="1"/>
          <w:color w:val="auto"/>
        </w:rPr>
        <w:t xml:space="preserve">Exhibit 31.1 — </w:t>
      </w:r>
      <w:r>
        <w:rPr>
          <w:rFonts w:ascii="Times New Roman" w:cs="Times New Roman" w:eastAsia="Times New Roman" w:hAnsi="Times New Roman"/>
          <w:sz w:val="17"/>
          <w:szCs w:val="17"/>
          <w:color w:val="auto"/>
        </w:rPr>
        <w:t>Certification of Martin McGlynn under Section 302 of the Sarbanes-Oxley Act of 2002</w:t>
      </w:r>
      <w:r>
        <w:rPr>
          <w:rFonts w:ascii="Times New Roman" w:cs="Times New Roman" w:eastAsia="Times New Roman" w:hAnsi="Times New Roman"/>
          <w:sz w:val="17"/>
          <w:szCs w:val="17"/>
          <w:b w:val="1"/>
          <w:bCs w:val="1"/>
          <w:color w:val="auto"/>
        </w:rPr>
        <w:t xml:space="preserve"> Exhibit 31.2 — </w:t>
      </w:r>
      <w:r>
        <w:rPr>
          <w:rFonts w:ascii="Times New Roman" w:cs="Times New Roman" w:eastAsia="Times New Roman" w:hAnsi="Times New Roman"/>
          <w:sz w:val="17"/>
          <w:szCs w:val="17"/>
          <w:color w:val="auto"/>
        </w:rPr>
        <w:t>Certification of Rodney K. B. Young under Section 302 of the Sarbanes-Oxley Act of 2002</w:t>
      </w:r>
    </w:p>
    <w:p>
      <w:pPr>
        <w:spacing w:after="0" w:line="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32.1 — </w:t>
      </w:r>
      <w:r>
        <w:rPr>
          <w:rFonts w:ascii="Times New Roman" w:cs="Times New Roman" w:eastAsia="Times New Roman" w:hAnsi="Times New Roman"/>
          <w:sz w:val="18"/>
          <w:szCs w:val="18"/>
          <w:color w:val="auto"/>
        </w:rPr>
        <w:t>Certification of Martin McGlynn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32.2 — </w:t>
      </w:r>
      <w:r>
        <w:rPr>
          <w:rFonts w:ascii="Times New Roman" w:cs="Times New Roman" w:eastAsia="Times New Roman" w:hAnsi="Times New Roman"/>
          <w:sz w:val="18"/>
          <w:szCs w:val="18"/>
          <w:color w:val="auto"/>
        </w:rPr>
        <w:t>Certification of Rodney K. B. Young Pursuant to 18 U.S.C. Section 1350, As Adopted Pursuant to Section 906 of the Sarbanes-Oxley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2002</w:t>
      </w:r>
    </w:p>
    <w:p>
      <w:pPr>
        <w:sectPr>
          <w:pgSz w:w="11900" w:h="16838" w:orient="portrait"/>
          <w:cols w:equalWidth="0" w:num="1">
            <w:col w:w="11340"/>
          </w:cols>
          <w:pgMar w:left="240" w:top="415" w:right="3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302 OF THE SARBANES-OXLEY 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McGlynn, certify that:</w:t>
      </w:r>
    </w:p>
    <w:p>
      <w:pPr>
        <w:spacing w:after="0" w:line="117" w:lineRule="exact"/>
        <w:rPr>
          <w:sz w:val="20"/>
          <w:szCs w:val="20"/>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StemCells, Inc.;</w:t>
      </w:r>
    </w:p>
    <w:p>
      <w:pPr>
        <w:spacing w:after="0" w:line="130"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67"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60" w:right="240" w:hanging="1"/>
        <w:spacing w:after="0" w:line="266" w:lineRule="auto"/>
        <w:tabs>
          <w:tab w:leader="none" w:pos="16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60" w:right="20" w:hanging="1"/>
        <w:spacing w:after="0" w:line="266" w:lineRule="auto"/>
        <w:tabs>
          <w:tab w:leader="none" w:pos="16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360" w:right="140" w:hanging="1"/>
        <w:spacing w:after="0" w:line="313" w:lineRule="auto"/>
        <w:tabs>
          <w:tab w:leader="none" w:pos="160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360" w:right="40" w:hanging="1"/>
        <w:spacing w:after="0" w:line="266" w:lineRule="auto"/>
        <w:tabs>
          <w:tab w:leader="none" w:pos="16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60" w:right="380" w:hanging="1"/>
        <w:spacing w:after="0" w:line="282" w:lineRule="auto"/>
        <w:tabs>
          <w:tab w:leader="none" w:pos="16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60" w:right="60" w:hanging="1"/>
        <w:spacing w:after="0" w:line="282" w:lineRule="auto"/>
        <w:tabs>
          <w:tab w:leader="none" w:pos="16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Martin McGlynn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302 OF THE SARBANES-OXLEY ACT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K. B. Young, certify that:</w:t>
      </w:r>
    </w:p>
    <w:p>
      <w:pPr>
        <w:spacing w:after="0" w:line="117" w:lineRule="exact"/>
        <w:rPr>
          <w:sz w:val="20"/>
          <w:szCs w:val="20"/>
          <w:color w:val="auto"/>
        </w:rPr>
      </w:pPr>
    </w:p>
    <w:p>
      <w:pPr>
        <w:ind w:left="660" w:hanging="43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StemCells, Inc.;</w:t>
      </w:r>
    </w:p>
    <w:p>
      <w:pPr>
        <w:spacing w:after="0" w:line="130"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67"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60" w:right="240" w:hanging="1"/>
        <w:spacing w:after="0" w:line="266" w:lineRule="auto"/>
        <w:tabs>
          <w:tab w:leader="none" w:pos="16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60" w:right="20" w:hanging="1"/>
        <w:spacing w:after="0" w:line="266" w:lineRule="auto"/>
        <w:tabs>
          <w:tab w:leader="none" w:pos="161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360" w:right="140" w:hanging="1"/>
        <w:spacing w:after="0" w:line="313" w:lineRule="auto"/>
        <w:tabs>
          <w:tab w:leader="none" w:pos="160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1360" w:right="40" w:hanging="1"/>
        <w:spacing w:after="0" w:line="266" w:lineRule="auto"/>
        <w:tabs>
          <w:tab w:leader="none" w:pos="161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60" w:right="380" w:hanging="1"/>
        <w:spacing w:after="0" w:line="282" w:lineRule="auto"/>
        <w:tabs>
          <w:tab w:leader="none" w:pos="16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60" w:right="60" w:hanging="1"/>
        <w:spacing w:after="0" w:line="282" w:lineRule="auto"/>
        <w:tabs>
          <w:tab w:leader="none" w:pos="161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Rodney K. B.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364"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StemCells, Inc. (the “Company”) quarterly report on Form 10-Q for the period ending March 31, 2008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Martin McGlynn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364"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StemCells, Inc. (the “Company”) quarterly report on Form 10-Q for the period ending March 31, 2008 as filed with the Securities and Exchange Commission on the date hereof (the “Report”), I, Rodney K. B. Young,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Rodney K. B. Young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K.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emdash "/>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2019-12-13T21:51:01Z</dcterms:created>
  <dcterms:modified xsi:type="dcterms:W3CDTF">2019-12-13T21:51:01Z</dcterms:modified>
</cp:coreProperties>
</file>