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678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374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 October 25, 2004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268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300" w:type="dxa"/>
            <w:vAlign w:val="bottom"/>
          </w:tcPr>
          <w:p>
            <w:pPr>
              <w:spacing w:after="0"/>
              <w:rPr>
                <w:sz w:val="20"/>
                <w:szCs w:val="20"/>
                <w:color w:val="auto"/>
              </w:rPr>
            </w:pPr>
            <w:r>
              <w:rPr>
                <w:rFonts w:ascii="Arial" w:cs="Arial" w:eastAsia="Arial" w:hAnsi="Arial"/>
                <w:sz w:val="14"/>
                <w:szCs w:val="14"/>
                <w:b w:val="1"/>
                <w:bCs w:val="1"/>
                <w:color w:val="auto"/>
              </w:rPr>
              <w:t>Delaware</w:t>
            </w:r>
          </w:p>
        </w:tc>
        <w:tc>
          <w:tcPr>
            <w:tcW w:w="3920" w:type="dxa"/>
            <w:vAlign w:val="bottom"/>
          </w:tcPr>
          <w:p>
            <w:pPr>
              <w:jc w:val="right"/>
              <w:ind w:right="1631"/>
              <w:spacing w:after="0"/>
              <w:rPr>
                <w:sz w:val="20"/>
                <w:szCs w:val="20"/>
                <w:color w:val="auto"/>
              </w:rPr>
            </w:pPr>
            <w:r>
              <w:rPr>
                <w:rFonts w:ascii="Arial" w:cs="Arial" w:eastAsia="Arial" w:hAnsi="Arial"/>
                <w:sz w:val="14"/>
                <w:szCs w:val="14"/>
                <w:b w:val="1"/>
                <w:bCs w:val="1"/>
                <w:color w:val="auto"/>
              </w:rPr>
              <w:t>0-19871</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94-3078125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52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jc w:val="center"/>
              <w:ind w:right="1117"/>
              <w:spacing w:after="0"/>
              <w:rPr>
                <w:sz w:val="20"/>
                <w:szCs w:val="20"/>
                <w:color w:val="auto"/>
              </w:rPr>
            </w:pPr>
            <w:r>
              <w:rPr>
                <w:rFonts w:ascii="Arial" w:cs="Arial" w:eastAsia="Arial" w:hAnsi="Arial"/>
                <w:sz w:val="17"/>
                <w:szCs w:val="17"/>
                <w:color w:val="auto"/>
                <w:w w:val="93"/>
              </w:rPr>
              <w:t>(State or other jurisdiction</w:t>
            </w:r>
          </w:p>
        </w:tc>
        <w:tc>
          <w:tcPr>
            <w:tcW w:w="3540" w:type="dxa"/>
            <w:vAlign w:val="bottom"/>
            <w:gridSpan w:val="3"/>
          </w:tcPr>
          <w:p>
            <w:pPr>
              <w:jc w:val="center"/>
              <w:ind w:right="1420"/>
              <w:spacing w:after="0"/>
              <w:rPr>
                <w:sz w:val="20"/>
                <w:szCs w:val="20"/>
                <w:color w:val="auto"/>
              </w:rPr>
            </w:pPr>
            <w:r>
              <w:rPr>
                <w:rFonts w:ascii="Arial" w:cs="Arial" w:eastAsia="Arial" w:hAnsi="Arial"/>
                <w:sz w:val="17"/>
                <w:szCs w:val="17"/>
                <w:color w:val="auto"/>
                <w:w w:val="92"/>
              </w:rPr>
              <w:t>(Commission</w:t>
            </w:r>
          </w:p>
        </w:tc>
        <w:tc>
          <w:tcPr>
            <w:tcW w:w="3220" w:type="dxa"/>
            <w:vAlign w:val="bottom"/>
          </w:tcPr>
          <w:p>
            <w:pPr>
              <w:jc w:val="center"/>
              <w:ind w:right="118"/>
              <w:spacing w:after="0"/>
              <w:rPr>
                <w:sz w:val="20"/>
                <w:szCs w:val="20"/>
                <w:color w:val="auto"/>
              </w:rPr>
            </w:pPr>
            <w:r>
              <w:rPr>
                <w:rFonts w:ascii="Arial" w:cs="Arial" w:eastAsia="Arial" w:hAnsi="Arial"/>
                <w:sz w:val="17"/>
                <w:szCs w:val="17"/>
                <w:color w:val="auto"/>
                <w:w w:val="95"/>
              </w:rPr>
              <w:t>(IRS Employer</w:t>
            </w:r>
          </w:p>
        </w:tc>
      </w:tr>
      <w:tr>
        <w:trPr>
          <w:trHeight w:val="220"/>
        </w:trPr>
        <w:tc>
          <w:tcPr>
            <w:tcW w:w="4660" w:type="dxa"/>
            <w:vAlign w:val="bottom"/>
          </w:tcPr>
          <w:p>
            <w:pPr>
              <w:jc w:val="center"/>
              <w:ind w:right="1137"/>
              <w:spacing w:after="0"/>
              <w:rPr>
                <w:sz w:val="20"/>
                <w:szCs w:val="20"/>
                <w:color w:val="auto"/>
              </w:rPr>
            </w:pPr>
            <w:r>
              <w:rPr>
                <w:rFonts w:ascii="Arial" w:cs="Arial" w:eastAsia="Arial" w:hAnsi="Arial"/>
                <w:sz w:val="17"/>
                <w:szCs w:val="17"/>
                <w:color w:val="auto"/>
                <w:w w:val="94"/>
              </w:rPr>
              <w:t>of incorporation)</w:t>
            </w:r>
          </w:p>
        </w:tc>
        <w:tc>
          <w:tcPr>
            <w:tcW w:w="3540" w:type="dxa"/>
            <w:vAlign w:val="bottom"/>
            <w:gridSpan w:val="3"/>
          </w:tcPr>
          <w:p>
            <w:pPr>
              <w:jc w:val="center"/>
              <w:ind w:right="1420"/>
              <w:spacing w:after="0"/>
              <w:rPr>
                <w:sz w:val="20"/>
                <w:szCs w:val="20"/>
                <w:color w:val="auto"/>
              </w:rPr>
            </w:pPr>
            <w:r>
              <w:rPr>
                <w:rFonts w:ascii="Arial" w:cs="Arial" w:eastAsia="Arial" w:hAnsi="Arial"/>
                <w:sz w:val="17"/>
                <w:szCs w:val="17"/>
                <w:color w:val="auto"/>
                <w:w w:val="93"/>
              </w:rPr>
              <w:t>File Number)</w:t>
            </w:r>
          </w:p>
        </w:tc>
        <w:tc>
          <w:tcPr>
            <w:tcW w:w="3220" w:type="dxa"/>
            <w:vAlign w:val="bottom"/>
          </w:tcPr>
          <w:p>
            <w:pPr>
              <w:jc w:val="center"/>
              <w:ind w:right="98"/>
              <w:spacing w:after="0"/>
              <w:rPr>
                <w:sz w:val="20"/>
                <w:szCs w:val="20"/>
                <w:color w:val="auto"/>
              </w:rPr>
            </w:pPr>
            <w:r>
              <w:rPr>
                <w:rFonts w:ascii="Arial" w:cs="Arial" w:eastAsia="Arial" w:hAnsi="Arial"/>
                <w:sz w:val="17"/>
                <w:szCs w:val="17"/>
                <w:color w:val="auto"/>
                <w:w w:val="96"/>
              </w:rPr>
              <w:t>Identification No.)</w:t>
            </w:r>
          </w:p>
        </w:tc>
      </w:tr>
      <w:tr>
        <w:trPr>
          <w:trHeight w:val="364"/>
        </w:trPr>
        <w:tc>
          <w:tcPr>
            <w:tcW w:w="4660" w:type="dxa"/>
            <w:vAlign w:val="bottom"/>
          </w:tcPr>
          <w:p>
            <w:pPr>
              <w:jc w:val="center"/>
              <w:ind w:left="677"/>
              <w:spacing w:after="0"/>
              <w:rPr>
                <w:sz w:val="20"/>
                <w:szCs w:val="20"/>
                <w:color w:val="auto"/>
              </w:rPr>
            </w:pPr>
            <w:r>
              <w:rPr>
                <w:rFonts w:ascii="Arial" w:cs="Arial" w:eastAsia="Arial" w:hAnsi="Arial"/>
                <w:sz w:val="14"/>
                <w:szCs w:val="14"/>
                <w:b w:val="1"/>
                <w:bCs w:val="1"/>
                <w:color w:val="auto"/>
                <w:w w:val="91"/>
              </w:rPr>
              <w:t>3155 Porter Drive, Palo Alto, California</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20" w:type="dxa"/>
            <w:vAlign w:val="bottom"/>
          </w:tcPr>
          <w:p>
            <w:pPr>
              <w:jc w:val="right"/>
              <w:ind w:right="2458"/>
              <w:spacing w:after="0"/>
              <w:rPr>
                <w:sz w:val="20"/>
                <w:szCs w:val="20"/>
                <w:color w:val="auto"/>
              </w:rPr>
            </w:pPr>
            <w:r>
              <w:rPr>
                <w:rFonts w:ascii="Arial" w:cs="Arial" w:eastAsia="Arial" w:hAnsi="Arial"/>
                <w:sz w:val="14"/>
                <w:szCs w:val="14"/>
                <w:b w:val="1"/>
                <w:bCs w:val="1"/>
                <w:color w:val="auto"/>
              </w:rPr>
              <w:t>94304</w:t>
            </w:r>
          </w:p>
        </w:tc>
      </w:tr>
      <w:tr>
        <w:trPr>
          <w:trHeight w:val="64"/>
        </w:trPr>
        <w:tc>
          <w:tcPr>
            <w:tcW w:w="466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2200" w:type="dxa"/>
            <w:vAlign w:val="bottom"/>
            <w:tcBorders>
              <w:bottom w:val="single" w:sz="8" w:color="808080"/>
            </w:tcBorders>
          </w:tcPr>
          <w:p>
            <w:pPr>
              <w:spacing w:after="0"/>
              <w:rPr>
                <w:sz w:val="5"/>
                <w:szCs w:val="5"/>
                <w:color w:val="auto"/>
              </w:rPr>
            </w:pPr>
          </w:p>
        </w:tc>
        <w:tc>
          <w:tcPr>
            <w:tcW w:w="3220" w:type="dxa"/>
            <w:vAlign w:val="bottom"/>
            <w:tcBorders>
              <w:bottom w:val="single" w:sz="8" w:color="808080"/>
            </w:tcBorders>
          </w:tcPr>
          <w:p>
            <w:pPr>
              <w:spacing w:after="0"/>
              <w:rPr>
                <w:sz w:val="5"/>
                <w:szCs w:val="5"/>
                <w:color w:val="auto"/>
              </w:rPr>
            </w:pPr>
          </w:p>
        </w:tc>
      </w:tr>
      <w:tr>
        <w:trPr>
          <w:trHeight w:val="265"/>
        </w:trPr>
        <w:tc>
          <w:tcPr>
            <w:tcW w:w="4660" w:type="dxa"/>
            <w:vAlign w:val="bottom"/>
          </w:tcPr>
          <w:p>
            <w:pPr>
              <w:jc w:val="center"/>
              <w:ind w:left="677"/>
              <w:spacing w:after="0"/>
              <w:rPr>
                <w:sz w:val="20"/>
                <w:szCs w:val="20"/>
                <w:color w:val="auto"/>
              </w:rPr>
            </w:pPr>
            <w:r>
              <w:rPr>
                <w:rFonts w:ascii="Arial" w:cs="Arial" w:eastAsia="Arial" w:hAnsi="Arial"/>
                <w:sz w:val="17"/>
                <w:szCs w:val="17"/>
                <w:color w:val="auto"/>
                <w:w w:val="94"/>
              </w:rPr>
              <w:t>(Address of principal executive offices)</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220" w:type="dxa"/>
            <w:vAlign w:val="bottom"/>
          </w:tcPr>
          <w:p>
            <w:pPr>
              <w:jc w:val="center"/>
              <w:ind w:right="2118"/>
              <w:spacing w:after="0"/>
              <w:rPr>
                <w:sz w:val="20"/>
                <w:szCs w:val="20"/>
                <w:color w:val="auto"/>
              </w:rPr>
            </w:pPr>
            <w:r>
              <w:rPr>
                <w:rFonts w:ascii="Arial" w:cs="Arial" w:eastAsia="Arial" w:hAnsi="Arial"/>
                <w:sz w:val="17"/>
                <w:szCs w:val="17"/>
                <w:color w:val="auto"/>
                <w:w w:val="97"/>
              </w:rPr>
              <w:t>(Zip Code)</w:t>
            </w:r>
          </w:p>
        </w:tc>
      </w:tr>
      <w:tr>
        <w:trPr>
          <w:trHeight w:val="389"/>
        </w:trPr>
        <w:tc>
          <w:tcPr>
            <w:tcW w:w="8200" w:type="dxa"/>
            <w:vAlign w:val="bottom"/>
            <w:gridSpan w:val="4"/>
          </w:tcPr>
          <w:p>
            <w:pPr>
              <w:jc w:val="center"/>
              <w:ind w:left="3157"/>
              <w:spacing w:after="0"/>
              <w:rPr>
                <w:sz w:val="20"/>
                <w:szCs w:val="20"/>
                <w:color w:val="auto"/>
              </w:rPr>
            </w:pPr>
            <w:r>
              <w:rPr>
                <w:rFonts w:ascii="Arial" w:cs="Arial" w:eastAsia="Arial" w:hAnsi="Arial"/>
                <w:sz w:val="17"/>
                <w:szCs w:val="17"/>
                <w:color w:val="auto"/>
                <w:w w:val="91"/>
              </w:rPr>
              <w:t xml:space="preserve">Registrant’s telephone number, including area code: </w:t>
            </w:r>
            <w:r>
              <w:rPr>
                <w:rFonts w:ascii="Arial" w:cs="Arial" w:eastAsia="Arial" w:hAnsi="Arial"/>
                <w:sz w:val="17"/>
                <w:szCs w:val="17"/>
                <w:b w:val="1"/>
                <w:bCs w:val="1"/>
                <w:color w:val="auto"/>
                <w:w w:val="91"/>
              </w:rPr>
              <w:t>(650) 475-3100</w:t>
            </w:r>
          </w:p>
        </w:tc>
        <w:tc>
          <w:tcPr>
            <w:tcW w:w="3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68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193"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37" w:lineRule="exact"/>
        <w:rPr>
          <w:sz w:val="20"/>
          <w:szCs w:val="20"/>
          <w:color w:val="auto"/>
        </w:rPr>
      </w:pPr>
    </w:p>
    <w:p>
      <w:pPr>
        <w:ind w:left="220" w:hanging="190"/>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23" w:lineRule="exact"/>
        <w:rPr>
          <w:rFonts w:ascii="Arial" w:cs="Arial" w:eastAsia="Arial" w:hAnsi="Arial"/>
          <w:sz w:val="17"/>
          <w:szCs w:val="17"/>
          <w:color w:val="auto"/>
        </w:rPr>
      </w:pPr>
    </w:p>
    <w:p>
      <w:pPr>
        <w:ind w:left="220" w:hanging="190"/>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323" w:lineRule="exact"/>
        <w:rPr>
          <w:rFonts w:ascii="Arial" w:cs="Arial" w:eastAsia="Arial" w:hAnsi="Arial"/>
          <w:sz w:val="17"/>
          <w:szCs w:val="17"/>
          <w:color w:val="auto"/>
        </w:rPr>
      </w:pPr>
    </w:p>
    <w:p>
      <w:pPr>
        <w:ind w:left="220" w:hanging="190"/>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323" w:lineRule="exact"/>
        <w:rPr>
          <w:rFonts w:ascii="Arial" w:cs="Arial" w:eastAsia="Arial" w:hAnsi="Arial"/>
          <w:sz w:val="17"/>
          <w:szCs w:val="17"/>
          <w:color w:val="auto"/>
        </w:rPr>
      </w:pPr>
    </w:p>
    <w:p>
      <w:pPr>
        <w:ind w:left="220" w:hanging="190"/>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780" cy="37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539750</wp:posOffset>
            </wp:positionV>
            <wp:extent cx="72567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402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4"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2.02. RESULTS OF OPERATIONS AND FINANCIAL CONDITIONS.</w:t>
        </w:r>
      </w:hyperlink>
    </w:p>
    <w:p>
      <w:pPr>
        <w:spacing w:after="0" w:line="25"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8.01 OTHER EVENTS.</w:t>
        </w:r>
      </w:hyperlink>
    </w:p>
    <w:p>
      <w:pPr>
        <w:ind w:left="320"/>
        <w:spacing w:after="0" w:line="231" w:lineRule="auto"/>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9.01 FINANCIAL STATEMENTS AND EXHIBITS.</w:t>
        </w:r>
      </w:hyperlink>
    </w:p>
    <w:p>
      <w:pPr>
        <w:spacing w:after="0" w:line="232"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SIGNATURES</w:t>
        </w:r>
      </w:hyperlink>
    </w:p>
    <w:p>
      <w:pPr>
        <w:spacing w:after="0" w:line="232" w:lineRule="auto"/>
        <w:rPr>
          <w:sz w:val="20"/>
          <w:szCs w:val="20"/>
          <w:color w:val="auto"/>
        </w:rPr>
      </w:pPr>
      <w:r>
        <w:rPr>
          <w:rFonts w:ascii="Arial" w:cs="Arial" w:eastAsia="Arial" w:hAnsi="Arial"/>
          <w:sz w:val="21"/>
          <w:szCs w:val="21"/>
          <w:u w:val="single" w:color="auto"/>
          <w:color w:val="0000EE"/>
        </w:rPr>
        <w:t>EXHIBIT 1.1</w:t>
      </w:r>
    </w:p>
    <w:p>
      <w:pPr>
        <w:spacing w:after="0" w:line="232" w:lineRule="auto"/>
        <w:rPr>
          <w:sz w:val="20"/>
          <w:szCs w:val="20"/>
          <w:color w:val="auto"/>
        </w:rPr>
      </w:pPr>
      <w:r>
        <w:rPr>
          <w:rFonts w:ascii="Arial" w:cs="Arial" w:eastAsia="Arial" w:hAnsi="Arial"/>
          <w:sz w:val="21"/>
          <w:szCs w:val="21"/>
          <w:u w:val="single" w:color="auto"/>
          <w:color w:val="0000EE"/>
        </w:rPr>
        <w:t>EXHIBIT 10.1</w:t>
      </w:r>
    </w:p>
    <w:p>
      <w:pPr>
        <w:spacing w:after="0" w:line="232" w:lineRule="auto"/>
        <w:rPr>
          <w:sz w:val="20"/>
          <w:szCs w:val="20"/>
          <w:color w:val="auto"/>
        </w:rPr>
      </w:pPr>
      <w:r>
        <w:rPr>
          <w:rFonts w:ascii="Arial" w:cs="Arial" w:eastAsia="Arial" w:hAnsi="Arial"/>
          <w:sz w:val="21"/>
          <w:szCs w:val="21"/>
          <w:u w:val="single" w:color="auto"/>
          <w:color w:val="0000EE"/>
        </w:rPr>
        <w:t>EXHIBIT 99.1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126365</wp:posOffset>
            </wp:positionV>
            <wp:extent cx="72567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ITEM 2.02. RESULTS OF OPERATIONS AND FINANCIAL CONDITIONS.</w:t>
      </w:r>
    </w:p>
    <w:p>
      <w:pPr>
        <w:spacing w:after="0" w:line="193" w:lineRule="exact"/>
        <w:rPr>
          <w:sz w:val="20"/>
          <w:szCs w:val="20"/>
          <w:color w:val="auto"/>
        </w:rPr>
      </w:pPr>
    </w:p>
    <w:p>
      <w:pPr>
        <w:ind w:right="80" w:firstLine="216"/>
        <w:spacing w:after="0" w:line="284" w:lineRule="auto"/>
        <w:rPr>
          <w:sz w:val="20"/>
          <w:szCs w:val="20"/>
          <w:color w:val="auto"/>
        </w:rPr>
      </w:pPr>
      <w:r>
        <w:rPr>
          <w:rFonts w:ascii="Arial" w:cs="Arial" w:eastAsia="Arial" w:hAnsi="Arial"/>
          <w:sz w:val="17"/>
          <w:szCs w:val="17"/>
          <w:color w:val="auto"/>
        </w:rPr>
        <w:t>On October 26, 2004, StemCells, Inc. (the “Company”) issued a press release announcing its financial results for the quarter ended September 30, 2004. The full text of the press release is attached hereto as Exhibit 99.1.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8.01 OTHER EVENTS.</w:t>
      </w:r>
    </w:p>
    <w:p>
      <w:pPr>
        <w:spacing w:after="0" w:line="180" w:lineRule="exact"/>
        <w:rPr>
          <w:sz w:val="20"/>
          <w:szCs w:val="20"/>
          <w:color w:val="auto"/>
        </w:rPr>
      </w:pPr>
    </w:p>
    <w:p>
      <w:pPr>
        <w:jc w:val="both"/>
        <w:ind w:right="120" w:firstLine="216"/>
        <w:spacing w:after="0" w:line="269" w:lineRule="auto"/>
        <w:rPr>
          <w:sz w:val="20"/>
          <w:szCs w:val="20"/>
          <w:color w:val="auto"/>
        </w:rPr>
      </w:pPr>
      <w:r>
        <w:rPr>
          <w:rFonts w:ascii="Arial" w:cs="Arial" w:eastAsia="Arial" w:hAnsi="Arial"/>
          <w:sz w:val="17"/>
          <w:szCs w:val="17"/>
          <w:color w:val="auto"/>
        </w:rPr>
        <w:t>In connection with filing this current report on Form 8-K, the Company is filing a prospectus supplement to its existing shelf registration statement on Form S-3 (File No. 333-83992) in connection with an offering by the Company of shares of its common stock. The Company has executed an agency agreement, dated as of October 25, 2004, with C.E. Unterberg, Towbin, LLC and Shoreline Pacific, LLC, its agents for this offering.</w:t>
      </w:r>
    </w:p>
    <w:p>
      <w:pPr>
        <w:spacing w:after="0" w:line="146" w:lineRule="exact"/>
        <w:rPr>
          <w:sz w:val="20"/>
          <w:szCs w:val="20"/>
          <w:color w:val="auto"/>
        </w:rPr>
      </w:pPr>
    </w:p>
    <w:p>
      <w:pPr>
        <w:ind w:right="580" w:firstLine="213"/>
        <w:spacing w:after="0" w:line="284" w:lineRule="auto"/>
        <w:rPr>
          <w:sz w:val="20"/>
          <w:szCs w:val="20"/>
          <w:color w:val="auto"/>
        </w:rPr>
      </w:pPr>
      <w:r>
        <w:rPr>
          <w:rFonts w:ascii="Arial" w:cs="Arial" w:eastAsia="Arial" w:hAnsi="Arial"/>
          <w:sz w:val="17"/>
          <w:szCs w:val="17"/>
          <w:color w:val="auto"/>
        </w:rPr>
        <w:t>The purpose of this report is to file as exhibits, in connection with this offering, the agency agreement by and between the Company and its agents for the offering and the form of investor purchase agreement.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copy of the press release issued by the Company in connection with the above described offering is attached hereto as Exhibit 99.2.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ITEM 9.01 FINANCIAL STATEMENTS AND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80" w:type="dxa"/>
            <w:vAlign w:val="bottom"/>
          </w:tcPr>
          <w:p>
            <w:pPr>
              <w:ind w:left="1440"/>
              <w:spacing w:after="0"/>
              <w:rPr>
                <w:sz w:val="20"/>
                <w:szCs w:val="20"/>
                <w:color w:val="auto"/>
              </w:rPr>
            </w:pPr>
            <w:r>
              <w:rPr>
                <w:rFonts w:ascii="Arial" w:cs="Arial" w:eastAsia="Arial" w:hAnsi="Arial"/>
                <w:sz w:val="17"/>
                <w:szCs w:val="17"/>
                <w:color w:val="auto"/>
              </w:rPr>
              <w:t>(c)</w:t>
            </w:r>
          </w:p>
        </w:tc>
        <w:tc>
          <w:tcPr>
            <w:tcW w:w="1620" w:type="dxa"/>
            <w:vAlign w:val="bottom"/>
          </w:tcPr>
          <w:p>
            <w:pPr>
              <w:ind w:left="480"/>
              <w:spacing w:after="0"/>
              <w:rPr>
                <w:sz w:val="20"/>
                <w:szCs w:val="20"/>
                <w:color w:val="auto"/>
              </w:rPr>
            </w:pPr>
            <w:r>
              <w:rPr>
                <w:rFonts w:ascii="Arial" w:cs="Arial" w:eastAsia="Arial" w:hAnsi="Arial"/>
                <w:sz w:val="17"/>
                <w:szCs w:val="17"/>
                <w:color w:val="auto"/>
              </w:rPr>
              <w:t>Exhibits.</w:t>
            </w:r>
          </w:p>
        </w:tc>
        <w:tc>
          <w:tcPr>
            <w:tcW w:w="7720" w:type="dxa"/>
            <w:vAlign w:val="bottom"/>
          </w:tcPr>
          <w:p>
            <w:pPr>
              <w:spacing w:after="0"/>
              <w:rPr>
                <w:sz w:val="19"/>
                <w:szCs w:val="19"/>
                <w:color w:val="auto"/>
              </w:rPr>
            </w:pPr>
          </w:p>
        </w:tc>
      </w:tr>
      <w:tr>
        <w:trPr>
          <w:trHeight w:val="610"/>
        </w:trPr>
        <w:tc>
          <w:tcPr>
            <w:tcW w:w="2080" w:type="dxa"/>
            <w:vAlign w:val="bottom"/>
          </w:tcPr>
          <w:p>
            <w:pPr>
              <w:spacing w:after="0"/>
              <w:rPr>
                <w:sz w:val="24"/>
                <w:szCs w:val="24"/>
                <w:color w:val="auto"/>
              </w:rPr>
            </w:pPr>
          </w:p>
        </w:tc>
        <w:tc>
          <w:tcPr>
            <w:tcW w:w="1620" w:type="dxa"/>
            <w:vAlign w:val="bottom"/>
          </w:tcPr>
          <w:p>
            <w:pPr>
              <w:ind w:left="480"/>
              <w:spacing w:after="0"/>
              <w:rPr>
                <w:sz w:val="20"/>
                <w:szCs w:val="20"/>
                <w:color w:val="auto"/>
              </w:rPr>
            </w:pPr>
            <w:r>
              <w:rPr>
                <w:rFonts w:ascii="Arial" w:cs="Arial" w:eastAsia="Arial" w:hAnsi="Arial"/>
                <w:sz w:val="17"/>
                <w:szCs w:val="17"/>
                <w:color w:val="auto"/>
              </w:rPr>
              <w:t>Exhibit 1.1</w:t>
            </w:r>
          </w:p>
        </w:tc>
        <w:tc>
          <w:tcPr>
            <w:tcW w:w="7720" w:type="dxa"/>
            <w:vAlign w:val="bottom"/>
          </w:tcPr>
          <w:p>
            <w:pPr>
              <w:ind w:left="300"/>
              <w:spacing w:after="0"/>
              <w:rPr>
                <w:sz w:val="20"/>
                <w:szCs w:val="20"/>
                <w:color w:val="auto"/>
              </w:rPr>
            </w:pPr>
            <w:r>
              <w:rPr>
                <w:rFonts w:ascii="Arial" w:cs="Arial" w:eastAsia="Arial" w:hAnsi="Arial"/>
                <w:sz w:val="17"/>
                <w:szCs w:val="17"/>
                <w:color w:val="auto"/>
              </w:rPr>
              <w:t>Agency Agreement dated October 25, 2004 by and among StemCells, Inc., C.E.</w:t>
            </w:r>
          </w:p>
        </w:tc>
      </w:tr>
      <w:tr>
        <w:trPr>
          <w:trHeight w:val="207"/>
        </w:trPr>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720" w:type="dxa"/>
            <w:vAlign w:val="bottom"/>
          </w:tcPr>
          <w:p>
            <w:pPr>
              <w:ind w:left="300"/>
              <w:spacing w:after="0"/>
              <w:rPr>
                <w:sz w:val="20"/>
                <w:szCs w:val="20"/>
                <w:color w:val="auto"/>
              </w:rPr>
            </w:pPr>
            <w:r>
              <w:rPr>
                <w:rFonts w:ascii="Arial" w:cs="Arial" w:eastAsia="Arial" w:hAnsi="Arial"/>
                <w:sz w:val="17"/>
                <w:szCs w:val="17"/>
                <w:color w:val="auto"/>
              </w:rPr>
              <w:t>Unterberg, Towbin, LLC and Shoreline Pacific, LLC</w:t>
            </w:r>
          </w:p>
        </w:tc>
      </w:tr>
      <w:tr>
        <w:trPr>
          <w:trHeight w:val="207"/>
        </w:trPr>
        <w:tc>
          <w:tcPr>
            <w:tcW w:w="2080" w:type="dxa"/>
            <w:vAlign w:val="bottom"/>
          </w:tcPr>
          <w:p>
            <w:pPr>
              <w:spacing w:after="0"/>
              <w:rPr>
                <w:sz w:val="18"/>
                <w:szCs w:val="18"/>
                <w:color w:val="auto"/>
              </w:rPr>
            </w:pPr>
          </w:p>
        </w:tc>
        <w:tc>
          <w:tcPr>
            <w:tcW w:w="1620" w:type="dxa"/>
            <w:vAlign w:val="bottom"/>
          </w:tcPr>
          <w:p>
            <w:pPr>
              <w:ind w:left="480"/>
              <w:spacing w:after="0"/>
              <w:rPr>
                <w:sz w:val="20"/>
                <w:szCs w:val="20"/>
                <w:color w:val="auto"/>
              </w:rPr>
            </w:pPr>
            <w:r>
              <w:rPr>
                <w:rFonts w:ascii="Arial" w:cs="Arial" w:eastAsia="Arial" w:hAnsi="Arial"/>
                <w:sz w:val="17"/>
                <w:szCs w:val="17"/>
                <w:color w:val="auto"/>
              </w:rPr>
              <w:t>Exhibit 10.1</w:t>
            </w:r>
          </w:p>
        </w:tc>
        <w:tc>
          <w:tcPr>
            <w:tcW w:w="7720" w:type="dxa"/>
            <w:vAlign w:val="bottom"/>
          </w:tcPr>
          <w:p>
            <w:pPr>
              <w:ind w:left="300"/>
              <w:spacing w:after="0"/>
              <w:rPr>
                <w:sz w:val="20"/>
                <w:szCs w:val="20"/>
                <w:color w:val="auto"/>
              </w:rPr>
            </w:pPr>
            <w:r>
              <w:rPr>
                <w:rFonts w:ascii="Arial" w:cs="Arial" w:eastAsia="Arial" w:hAnsi="Arial"/>
                <w:sz w:val="17"/>
                <w:szCs w:val="17"/>
                <w:color w:val="auto"/>
              </w:rPr>
              <w:t>Form of Investor Purchase Agreement</w:t>
            </w:r>
          </w:p>
        </w:tc>
      </w:tr>
      <w:tr>
        <w:trPr>
          <w:trHeight w:val="207"/>
        </w:trPr>
        <w:tc>
          <w:tcPr>
            <w:tcW w:w="2080" w:type="dxa"/>
            <w:vAlign w:val="bottom"/>
          </w:tcPr>
          <w:p>
            <w:pPr>
              <w:spacing w:after="0"/>
              <w:rPr>
                <w:sz w:val="18"/>
                <w:szCs w:val="18"/>
                <w:color w:val="auto"/>
              </w:rPr>
            </w:pPr>
          </w:p>
        </w:tc>
        <w:tc>
          <w:tcPr>
            <w:tcW w:w="1620" w:type="dxa"/>
            <w:vAlign w:val="bottom"/>
          </w:tcPr>
          <w:p>
            <w:pPr>
              <w:ind w:left="480"/>
              <w:spacing w:after="0"/>
              <w:rPr>
                <w:sz w:val="20"/>
                <w:szCs w:val="20"/>
                <w:color w:val="auto"/>
              </w:rPr>
            </w:pPr>
            <w:r>
              <w:rPr>
                <w:rFonts w:ascii="Arial" w:cs="Arial" w:eastAsia="Arial" w:hAnsi="Arial"/>
                <w:sz w:val="17"/>
                <w:szCs w:val="17"/>
                <w:color w:val="auto"/>
              </w:rPr>
              <w:t>Exhibit 99.1</w:t>
            </w:r>
          </w:p>
        </w:tc>
        <w:tc>
          <w:tcPr>
            <w:tcW w:w="7720" w:type="dxa"/>
            <w:vAlign w:val="bottom"/>
          </w:tcPr>
          <w:p>
            <w:pPr>
              <w:ind w:left="300"/>
              <w:spacing w:after="0"/>
              <w:rPr>
                <w:sz w:val="20"/>
                <w:szCs w:val="20"/>
                <w:color w:val="auto"/>
              </w:rPr>
            </w:pPr>
            <w:r>
              <w:rPr>
                <w:rFonts w:ascii="Arial" w:cs="Arial" w:eastAsia="Arial" w:hAnsi="Arial"/>
                <w:sz w:val="17"/>
                <w:szCs w:val="17"/>
                <w:color w:val="auto"/>
              </w:rPr>
              <w:t>Press release</w:t>
            </w:r>
          </w:p>
        </w:tc>
      </w:tr>
      <w:tr>
        <w:trPr>
          <w:trHeight w:val="220"/>
        </w:trPr>
        <w:tc>
          <w:tcPr>
            <w:tcW w:w="2080" w:type="dxa"/>
            <w:vAlign w:val="bottom"/>
          </w:tcPr>
          <w:p>
            <w:pPr>
              <w:spacing w:after="0"/>
              <w:rPr>
                <w:sz w:val="19"/>
                <w:szCs w:val="19"/>
                <w:color w:val="auto"/>
              </w:rPr>
            </w:pPr>
          </w:p>
        </w:tc>
        <w:tc>
          <w:tcPr>
            <w:tcW w:w="1620" w:type="dxa"/>
            <w:vAlign w:val="bottom"/>
          </w:tcPr>
          <w:p>
            <w:pPr>
              <w:ind w:left="480"/>
              <w:spacing w:after="0"/>
              <w:rPr>
                <w:sz w:val="20"/>
                <w:szCs w:val="20"/>
                <w:color w:val="auto"/>
              </w:rPr>
            </w:pPr>
            <w:r>
              <w:rPr>
                <w:rFonts w:ascii="Arial" w:cs="Arial" w:eastAsia="Arial" w:hAnsi="Arial"/>
                <w:sz w:val="17"/>
                <w:szCs w:val="17"/>
                <w:color w:val="auto"/>
              </w:rPr>
              <w:t>Exhibit 99.2</w:t>
            </w:r>
          </w:p>
        </w:tc>
        <w:tc>
          <w:tcPr>
            <w:tcW w:w="7720" w:type="dxa"/>
            <w:vAlign w:val="bottom"/>
          </w:tcPr>
          <w:p>
            <w:pPr>
              <w:ind w:left="300"/>
              <w:spacing w:after="0"/>
              <w:rPr>
                <w:sz w:val="20"/>
                <w:szCs w:val="20"/>
                <w:color w:val="auto"/>
              </w:rPr>
            </w:pPr>
            <w:r>
              <w:rPr>
                <w:rFonts w:ascii="Arial" w:cs="Arial" w:eastAsia="Arial" w:hAnsi="Arial"/>
                <w:sz w:val="17"/>
                <w:szCs w:val="17"/>
                <w:color w:val="auto"/>
              </w:rPr>
              <w:t>Press release</w:t>
            </w:r>
          </w:p>
        </w:tc>
      </w:tr>
      <w:tr>
        <w:trPr>
          <w:trHeight w:val="593"/>
        </w:trPr>
        <w:tc>
          <w:tcPr>
            <w:tcW w:w="20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7"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SIGNATURES</w:t>
      </w:r>
    </w:p>
    <w:p>
      <w:pPr>
        <w:spacing w:after="0" w:line="193" w:lineRule="exact"/>
        <w:rPr>
          <w:sz w:val="20"/>
          <w:szCs w:val="20"/>
          <w:color w:val="auto"/>
        </w:rPr>
      </w:pPr>
    </w:p>
    <w:p>
      <w:pPr>
        <w:ind w:firstLine="216"/>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STEMCELLS, INC.</w:t>
      </w:r>
    </w:p>
    <w:p>
      <w:pPr>
        <w:spacing w:after="0" w:line="21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15240</wp:posOffset>
            </wp:positionV>
            <wp:extent cx="2568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Martin McGlynn</w:t>
      </w:r>
    </w:p>
    <w:p>
      <w:pPr>
        <w:spacing w:after="0" w:line="2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President and Chief Executive Officer</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Date: October 26,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80"/>
          </w:cols>
          <w:pgMar w:left="240" w:top="407"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5740" w:type="dxa"/>
            <w:vAlign w:val="bottom"/>
          </w:tcPr>
          <w:p>
            <w:pPr>
              <w:spacing w:after="0"/>
              <w:rPr>
                <w:sz w:val="16"/>
                <w:szCs w:val="16"/>
                <w:color w:val="auto"/>
              </w:rPr>
            </w:pPr>
          </w:p>
        </w:tc>
      </w:tr>
      <w:tr>
        <w:trPr>
          <w:trHeight w:val="512"/>
        </w:trPr>
        <w:tc>
          <w:tcPr>
            <w:tcW w:w="13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tcPr>
          <w:p>
            <w:pPr>
              <w:ind w:left="3540"/>
              <w:spacing w:after="0"/>
              <w:rPr>
                <w:sz w:val="20"/>
                <w:szCs w:val="20"/>
                <w:color w:val="auto"/>
              </w:rPr>
            </w:pPr>
            <w:r>
              <w:rPr>
                <w:rFonts w:ascii="Arial" w:cs="Arial" w:eastAsia="Arial" w:hAnsi="Arial"/>
                <w:sz w:val="17"/>
                <w:szCs w:val="17"/>
                <w:b w:val="1"/>
                <w:bCs w:val="1"/>
                <w:color w:val="auto"/>
              </w:rPr>
              <w:t>EXHIBIT INDEX</w:t>
            </w:r>
          </w:p>
        </w:tc>
      </w:tr>
      <w:tr>
        <w:trPr>
          <w:trHeight w:val="584"/>
        </w:trPr>
        <w:tc>
          <w:tcPr>
            <w:tcW w:w="1500" w:type="dxa"/>
            <w:vAlign w:val="bottom"/>
            <w:gridSpan w:val="2"/>
          </w:tcPr>
          <w:p>
            <w:pPr>
              <w:spacing w:after="0"/>
              <w:rPr>
                <w:sz w:val="20"/>
                <w:szCs w:val="20"/>
                <w:color w:val="auto"/>
              </w:rPr>
            </w:pPr>
            <w:r>
              <w:rPr>
                <w:rFonts w:ascii="Arial" w:cs="Arial" w:eastAsia="Arial" w:hAnsi="Arial"/>
                <w:sz w:val="17"/>
                <w:szCs w:val="17"/>
                <w:color w:val="auto"/>
              </w:rPr>
              <w:t>Exhibit 1.1</w:t>
            </w:r>
          </w:p>
        </w:tc>
        <w:tc>
          <w:tcPr>
            <w:tcW w:w="5740" w:type="dxa"/>
            <w:vAlign w:val="bottom"/>
          </w:tcPr>
          <w:p>
            <w:pPr>
              <w:ind w:left="220"/>
              <w:spacing w:after="0"/>
              <w:rPr>
                <w:sz w:val="20"/>
                <w:szCs w:val="20"/>
                <w:color w:val="auto"/>
              </w:rPr>
            </w:pPr>
            <w:r>
              <w:rPr>
                <w:rFonts w:ascii="Arial" w:cs="Arial" w:eastAsia="Arial" w:hAnsi="Arial"/>
                <w:sz w:val="17"/>
                <w:szCs w:val="17"/>
                <w:color w:val="auto"/>
                <w:w w:val="91"/>
              </w:rPr>
              <w:t>Agency Agreement dated October 25, 2004 by and among StemCells, Inc., C.E.</w:t>
            </w:r>
          </w:p>
        </w:tc>
      </w:tr>
      <w:tr>
        <w:trPr>
          <w:trHeight w:val="207"/>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7"/>
                <w:szCs w:val="17"/>
                <w:color w:val="auto"/>
              </w:rPr>
              <w:t>Unterberg, Towbin, LLC and Shoreline Pacific, LLC</w:t>
            </w:r>
          </w:p>
        </w:tc>
      </w:tr>
      <w:tr>
        <w:trPr>
          <w:trHeight w:val="207"/>
        </w:trPr>
        <w:tc>
          <w:tcPr>
            <w:tcW w:w="1500" w:type="dxa"/>
            <w:vAlign w:val="bottom"/>
            <w:gridSpan w:val="2"/>
          </w:tcPr>
          <w:p>
            <w:pPr>
              <w:spacing w:after="0"/>
              <w:rPr>
                <w:sz w:val="20"/>
                <w:szCs w:val="20"/>
                <w:color w:val="auto"/>
              </w:rPr>
            </w:pPr>
            <w:r>
              <w:rPr>
                <w:rFonts w:ascii="Arial" w:cs="Arial" w:eastAsia="Arial" w:hAnsi="Arial"/>
                <w:sz w:val="17"/>
                <w:szCs w:val="17"/>
                <w:color w:val="auto"/>
              </w:rPr>
              <w:t>Exhibit 10.1</w:t>
            </w:r>
          </w:p>
        </w:tc>
        <w:tc>
          <w:tcPr>
            <w:tcW w:w="5740" w:type="dxa"/>
            <w:vAlign w:val="bottom"/>
          </w:tcPr>
          <w:p>
            <w:pPr>
              <w:ind w:left="220"/>
              <w:spacing w:after="0"/>
              <w:rPr>
                <w:sz w:val="20"/>
                <w:szCs w:val="20"/>
                <w:color w:val="auto"/>
              </w:rPr>
            </w:pPr>
            <w:r>
              <w:rPr>
                <w:rFonts w:ascii="Arial" w:cs="Arial" w:eastAsia="Arial" w:hAnsi="Arial"/>
                <w:sz w:val="17"/>
                <w:szCs w:val="17"/>
                <w:color w:val="auto"/>
              </w:rPr>
              <w:t>Form of Investor Purchase Agreement</w:t>
            </w:r>
          </w:p>
        </w:tc>
      </w:tr>
      <w:tr>
        <w:trPr>
          <w:trHeight w:val="207"/>
        </w:trPr>
        <w:tc>
          <w:tcPr>
            <w:tcW w:w="1500" w:type="dxa"/>
            <w:vAlign w:val="bottom"/>
            <w:gridSpan w:val="2"/>
          </w:tcPr>
          <w:p>
            <w:pPr>
              <w:spacing w:after="0"/>
              <w:rPr>
                <w:sz w:val="20"/>
                <w:szCs w:val="20"/>
                <w:color w:val="auto"/>
              </w:rPr>
            </w:pPr>
            <w:r>
              <w:rPr>
                <w:rFonts w:ascii="Arial" w:cs="Arial" w:eastAsia="Arial" w:hAnsi="Arial"/>
                <w:sz w:val="17"/>
                <w:szCs w:val="17"/>
                <w:color w:val="auto"/>
              </w:rPr>
              <w:t>Exhibit 99.1</w:t>
            </w:r>
          </w:p>
        </w:tc>
        <w:tc>
          <w:tcPr>
            <w:tcW w:w="5740" w:type="dxa"/>
            <w:vAlign w:val="bottom"/>
          </w:tcPr>
          <w:p>
            <w:pPr>
              <w:ind w:left="220"/>
              <w:spacing w:after="0"/>
              <w:rPr>
                <w:sz w:val="20"/>
                <w:szCs w:val="20"/>
                <w:color w:val="auto"/>
              </w:rPr>
            </w:pPr>
            <w:r>
              <w:rPr>
                <w:rFonts w:ascii="Arial" w:cs="Arial" w:eastAsia="Arial" w:hAnsi="Arial"/>
                <w:sz w:val="17"/>
                <w:szCs w:val="17"/>
                <w:color w:val="auto"/>
              </w:rPr>
              <w:t>Press release</w:t>
            </w:r>
          </w:p>
        </w:tc>
      </w:tr>
      <w:tr>
        <w:trPr>
          <w:trHeight w:val="220"/>
        </w:trPr>
        <w:tc>
          <w:tcPr>
            <w:tcW w:w="1500" w:type="dxa"/>
            <w:vAlign w:val="bottom"/>
            <w:gridSpan w:val="2"/>
          </w:tcPr>
          <w:p>
            <w:pPr>
              <w:spacing w:after="0"/>
              <w:rPr>
                <w:sz w:val="20"/>
                <w:szCs w:val="20"/>
                <w:color w:val="auto"/>
              </w:rPr>
            </w:pPr>
            <w:r>
              <w:rPr>
                <w:rFonts w:ascii="Arial" w:cs="Arial" w:eastAsia="Arial" w:hAnsi="Arial"/>
                <w:sz w:val="17"/>
                <w:szCs w:val="17"/>
                <w:color w:val="auto"/>
              </w:rPr>
              <w:t>Exhibit 99.2</w:t>
            </w:r>
          </w:p>
        </w:tc>
        <w:tc>
          <w:tcPr>
            <w:tcW w:w="5740" w:type="dxa"/>
            <w:vAlign w:val="bottom"/>
          </w:tcPr>
          <w:p>
            <w:pPr>
              <w:ind w:left="220"/>
              <w:spacing w:after="0"/>
              <w:rPr>
                <w:sz w:val="20"/>
                <w:szCs w:val="20"/>
                <w:color w:val="auto"/>
              </w:rPr>
            </w:pPr>
            <w:r>
              <w:rPr>
                <w:rFonts w:ascii="Arial" w:cs="Arial" w:eastAsia="Arial" w:hAnsi="Arial"/>
                <w:sz w:val="17"/>
                <w:szCs w:val="17"/>
                <w:color w:val="auto"/>
              </w:rPr>
              <w:t>Press release</w:t>
            </w:r>
          </w:p>
        </w:tc>
      </w:tr>
    </w:tbl>
    <w:p>
      <w:pPr>
        <w:sectPr>
          <w:pgSz w:w="11900" w:h="16838" w:orient="portrait"/>
          <w:cols w:equalWidth="0" w:num="1">
            <w:col w:w="10219"/>
          </w:cols>
          <w:pgMar w:left="240" w:top="398" w:right="1440" w:bottom="1440" w:gutter="0" w:footer="0" w:header="0"/>
        </w:sectPr>
      </w:pPr>
    </w:p>
    <w:bookmarkStart w:id="6" w:name="page7"/>
    <w:bookmarkEnd w:id="6"/>
    <w:p>
      <w:pPr>
        <w:jc w:val="right"/>
        <w:ind w:right="2119"/>
        <w:spacing w:after="0"/>
        <w:rPr>
          <w:sz w:val="20"/>
          <w:szCs w:val="20"/>
          <w:color w:val="auto"/>
        </w:rPr>
      </w:pPr>
      <w:r>
        <w:rPr>
          <w:rFonts w:ascii="Courier New" w:cs="Courier New" w:eastAsia="Courier New" w:hAnsi="Courier New"/>
          <w:sz w:val="17"/>
          <w:szCs w:val="17"/>
          <w:color w:val="auto"/>
        </w:rPr>
        <w:t>EXHIBIT 1.1</w:t>
      </w:r>
    </w:p>
    <w:p>
      <w:pPr>
        <w:spacing w:after="0" w:line="391"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STEMCELLS, INC.</w:t>
      </w:r>
    </w:p>
    <w:p>
      <w:pPr>
        <w:spacing w:after="0" w:line="196"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Up to 7,500,000 Shares</w:t>
      </w:r>
    </w:p>
    <w:p>
      <w:pPr>
        <w:spacing w:after="0" w:line="391"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Common Stock</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($0.01 Par Value)</w:t>
      </w:r>
    </w:p>
    <w:p>
      <w:pPr>
        <w:spacing w:after="0" w:line="196"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AGENCY AGREEMENT</w:t>
      </w:r>
    </w:p>
    <w:p>
      <w:pPr>
        <w:spacing w:after="0" w:line="200" w:lineRule="exact"/>
        <w:rPr>
          <w:sz w:val="20"/>
          <w:szCs w:val="20"/>
          <w:color w:val="auto"/>
        </w:rPr>
      </w:pPr>
    </w:p>
    <w:p>
      <w:pPr>
        <w:spacing w:after="0" w:line="385"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October 25, 2004</w:t>
      </w:r>
    </w:p>
    <w:p>
      <w:pPr>
        <w:sectPr>
          <w:pgSz w:w="11900" w:h="16838" w:orient="portrait"/>
          <w:cols w:equalWidth="0" w:num="1">
            <w:col w:w="9019"/>
          </w:cols>
          <w:pgMar w:left="1440" w:top="334" w:right="1440" w:bottom="1440" w:gutter="0" w:footer="0" w:header="0"/>
        </w:sectPr>
      </w:pPr>
    </w:p>
    <w:bookmarkStart w:id="7" w:name="page8"/>
    <w:bookmarkEnd w:id="7"/>
    <w:p>
      <w:pPr>
        <w:ind w:left="3240"/>
        <w:spacing w:after="0"/>
        <w:rPr>
          <w:sz w:val="20"/>
          <w:szCs w:val="20"/>
          <w:color w:val="auto"/>
        </w:rPr>
      </w:pPr>
      <w:r>
        <w:rPr>
          <w:rFonts w:ascii="Courier New" w:cs="Courier New" w:eastAsia="Courier New" w:hAnsi="Courier New"/>
          <w:sz w:val="17"/>
          <w:szCs w:val="17"/>
          <w:color w:val="auto"/>
        </w:rPr>
        <w:t>AGENCY AGREEMENT</w:t>
      </w:r>
    </w:p>
    <w:p>
      <w:pPr>
        <w:spacing w:after="0" w:line="39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October 25, 2004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 Unterberg, Towbin,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350 Madison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NY 10017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Shoreline Pacific,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655 Montgomery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 Francisco, CA 94111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Agents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119" w:firstLine="910"/>
        <w:spacing w:after="0" w:line="258" w:lineRule="auto"/>
        <w:rPr>
          <w:sz w:val="20"/>
          <w:szCs w:val="20"/>
          <w:color w:val="auto"/>
        </w:rPr>
      </w:pPr>
      <w:r>
        <w:rPr>
          <w:rFonts w:ascii="Courier New" w:cs="Courier New" w:eastAsia="Courier New" w:hAnsi="Courier New"/>
          <w:sz w:val="16"/>
          <w:szCs w:val="16"/>
          <w:color w:val="auto"/>
        </w:rPr>
        <w:t>StemCells, Inc., a Delaware corporation (the "Company"), proposes, upon the terms and subject to the conditions set forth in this Agreement (together with the exhibits attached hereto (the "Agreement")) to offer for sale (the "Offering") up to 7,500,000 shares (the "Shares") of Common Stock, $.01 par value per share (the "Common Stock"), of the Company. In connection with the Offering, the Company desires to engage C.E. Unterberg, Towbin, LLC ("CEUT") and Shoreline Pacific, LLC ("SP") as its exclusive agents (the "Agents"), upon the terms and subject to the conditions set forth in this Agreement. The Shares and the Offering are described in the Prospectus that is referred to below.</w:t>
      </w:r>
    </w:p>
    <w:p>
      <w:pPr>
        <w:spacing w:after="0" w:line="191"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The Company has prepared and filed, in accordance with the provisions of the Securities Act of 1933, as amended, and the rules and regulations thereunder (collectively, the "Act"), with the Securities and Exchange Commission (the "Commission") a registration statement under the Act on Form S-3 (File No. 333-83992) filed with the Commission on March 8, 2002 (such registration statement as amended (including Amendment No. 1 thereto filed with the Commission on July 2, 2002) or supplemented (other than supplements relating to offerings of securities other than the Offering) from time to time, the "registration statement"). The registration statement has been declared by the Commission to be effective under the Act. The Company will file with the Commission pursuant to Rule 424(b) under the Act a final prospectus supplement to the Basic Prospectus (as defined below), describing the Shares and the offering thereof, in such form as has been provided to or discussed with, and approved, by the Agents.</w:t>
      </w:r>
    </w:p>
    <w:p>
      <w:pPr>
        <w:spacing w:after="0" w:line="198"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The term "Registration Statement" as used in this Agreement means the registration statement, at the time it became effective and as supplemented (other than supplements relating to offerings of securities other than the Offering) or amended, including (i) all financial schedules and exhibits thereto, and (ii) all documents incorporated by reference or deemed to be incorporated by reference therein, which schedules, exhibits and documents have been filed with the Commission pursuant to its Electronic Data Gathering Analysis and Retrieval System ("EDGAR"). The term "Basic Prospectus" as used in this Agreement means the basic prospectus dated July 3, 2002 filed with the Commission under Rule 424(b)(2) on August 28, 2002 for use in connection with the offer and/or sale of the Shares pursuant to this Agreement. "Preliminary Prospectus Supplement" shall mean any preliminary prospectus supplement to the Basic Prospectus that describes the Shares and the Offering and is used prior to filing of the Prospectus Supplement, together with the Basic Prospectus. The term "Prospectus Supplement" as used in this Agreement means any final prospectus supplement specifically relating to the Shares, in the form filed with, or transmitted for filing to, the Commission pursuant to Rule 424 under the Act. The term "Prospectus" as used in this Agreement means the Basic Prospectus as supplemented by the</w:t>
      </w:r>
    </w:p>
    <w:p>
      <w:pPr>
        <w:sectPr>
          <w:pgSz w:w="11900" w:h="16838" w:orient="portrait"/>
          <w:cols w:equalWidth="0" w:num="1">
            <w:col w:w="10219"/>
          </w:cols>
          <w:pgMar w:left="240" w:top="697" w:right="1440" w:bottom="1440" w:gutter="0" w:footer="0" w:header="0"/>
        </w:sectPr>
      </w:pPr>
    </w:p>
    <w:bookmarkStart w:id="8" w:name="page9"/>
    <w:bookmarkEnd w:id="8"/>
    <w:p>
      <w:pPr>
        <w:ind w:right="2119"/>
        <w:spacing w:after="0" w:line="242" w:lineRule="auto"/>
        <w:rPr>
          <w:sz w:val="20"/>
          <w:szCs w:val="20"/>
          <w:color w:val="auto"/>
        </w:rPr>
      </w:pPr>
      <w:r>
        <w:rPr>
          <w:rFonts w:ascii="Courier New" w:cs="Courier New" w:eastAsia="Courier New" w:hAnsi="Courier New"/>
          <w:sz w:val="17"/>
          <w:szCs w:val="17"/>
          <w:color w:val="auto"/>
        </w:rPr>
        <w:t>Prospectus Supplement except that if such Basic Prospectus is amended or supplemented (other than supplements relating to offerings of securities other than the Offering) on or prior to the date on which the Prospectus Supplement was first filed pursuant to Rule 424, the term "Prospectus" shall refer to the Basic Prospectus as so amended or supplemented and as supplemented by the Prospectus Supplement. Any reference herein to the registration statement, the Registration Statement, the Basic Prospectus, any Preliminary Prospectus Supplement, any Prospectus Supplement or the Prospectus shall be deemed to refer to and include (i) the documents incorporated by reference therein pursuant to Form S-3 (the "Incorporated Documents") and (ii) the copy of the Registration Statement, the Basic Prospectus, the Prospectus Supplement, the Prospectus or the Incorporated Documents filed with the Commission pursuant to EDGAR. Any reference herein to the terms "amend," "amendment" or "supplement" with respect to the Registration Statement, the Basic Prospectus, the Preliminary Prospectus Supplement, the Prospectus Supplement or the Prospectus shall be deemed to refer to and include the filing of any document under the Securities Exchange Act of 1934, as amended, and the rules and regulations thereunder (collectively, the "Exchange Act") after the effective date of the Registration Statement, or the date of the Basic Prospectus, the Preliminary Prospectus Supplement or the Prospectus Supplement, as the case may be, deemed to be incorporated therein by reference. As used herein, "business day" shall mean a day on which the New York Stock Exchange is open for trading.</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The Company hereby confirms its agreement with the Agents as follows:</w:t>
      </w:r>
    </w:p>
    <w:p>
      <w:pPr>
        <w:spacing w:after="0" w:line="199" w:lineRule="exact"/>
        <w:rPr>
          <w:sz w:val="20"/>
          <w:szCs w:val="20"/>
          <w:color w:val="auto"/>
        </w:rPr>
      </w:pPr>
    </w:p>
    <w:p>
      <w:pPr>
        <w:ind w:right="2119" w:firstLine="914"/>
        <w:spacing w:after="0" w:line="242" w:lineRule="auto"/>
        <w:tabs>
          <w:tab w:leader="none" w:pos="121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to Act as Agents. Upon the basis of the representations and warranties of the Company and subject to the terms and conditions set forth in this Agreement and in the letter agreement dated October 25, 2004 between the Company and the Agents (the "Engagement Letter"), the Company engages the Agents, severally and not jointly, to act as its exclusive agents, on a reasonable "best efforts" basis, in connection with the offer and sale by the Company of the Shares. As compensation for services rendered, at the time of purchase (as defined below), the Company shall pay to the Agents a fee (to be divided equally between the Agents and paid in the manner described below) equal to 6.0% of the gross proceeds received by the Company from the sale of the Shares in the Offering. The Shares are being offered and sold at a price of $3.00 per Share.</w:t>
      </w:r>
    </w:p>
    <w:p>
      <w:pPr>
        <w:spacing w:after="0" w:line="198"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This Agreement shall not give rise to any commitment by the Agents or any of their affiliates to underwrite or purchase any of the Shares or otherwise provide any financing. Subscription for Shares shall be evidenced by, and the sale of such Shares shall be made pursuant to, purchase agreements in substantially the form included as Exhibit A hereto duly executed by each purchaser of the Shares and the Company (the "Purchase Agreements"). Persons who agree to purchase Shares pursuant to the Purchase Agreements that are accepted by the Company are hereinafter referred to as the "Purchasers."</w:t>
      </w:r>
    </w:p>
    <w:p>
      <w:pPr>
        <w:spacing w:after="0" w:line="203" w:lineRule="exact"/>
        <w:rPr>
          <w:sz w:val="20"/>
          <w:szCs w:val="20"/>
          <w:color w:val="auto"/>
        </w:rPr>
      </w:pPr>
    </w:p>
    <w:p>
      <w:pPr>
        <w:ind w:right="2119" w:firstLine="914"/>
        <w:spacing w:after="0" w:line="242" w:lineRule="auto"/>
        <w:tabs>
          <w:tab w:leader="none" w:pos="12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and Delivery. Subject to the terms and conditions hereof and of the Purchase Agreements, payment of the purchase price for, and delivery of certificates for, the Shares for which the Company has received Purchase Agreements acceptable to the Company shall be made at the office of CEUT in New York City (or at such other place as shall be agreed upon by the Agents and the Company), at 10:00 A.M., New York City time, on or about October 28, 2004 (unless another time shall be agreed to by the Agents and the Company). The time at which such payment and delivery are made is hereinafter sometimes called "the time of purchase" and the date upon which the time of purchase occurs is hereinafter sometimes called the "Closing Date." Subject to the terms and conditions hereof and of the Purchase Agreements, payment of the purchase price for the Shares purchased by a Purchaser shall be made to the Company in the manner described below against delivery of certificates for the Shares, through the facilities of The Depository Trust Company ("DTC") for subsequent delivery to such Purchaser, and such Shares shall be registered in such name or names and shall be in such denominations, as the Purchaser thereof may request at least one business day before the time of purchase.</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9" w:right="1440" w:bottom="1440" w:gutter="0" w:footer="0" w:header="0"/>
        </w:sectPr>
      </w:pPr>
    </w:p>
    <w:bookmarkStart w:id="9" w:name="page10"/>
    <w:bookmarkEnd w:id="9"/>
    <w:p>
      <w:pPr>
        <w:ind w:right="2119" w:firstLine="910"/>
        <w:spacing w:after="0" w:line="242" w:lineRule="auto"/>
        <w:rPr>
          <w:sz w:val="20"/>
          <w:szCs w:val="20"/>
          <w:color w:val="auto"/>
        </w:rPr>
      </w:pPr>
      <w:r>
        <w:rPr>
          <w:rFonts w:ascii="Courier New" w:cs="Courier New" w:eastAsia="Courier New" w:hAnsi="Courier New"/>
          <w:sz w:val="17"/>
          <w:szCs w:val="17"/>
          <w:color w:val="auto"/>
        </w:rPr>
        <w:t>CEUT agrees to hold the purchase price delivered to it by persons who agree to purchase Shares in escrow as contemplated by the form of Purchase Agreement included as Exhibit A hereto. CEUT will, from time to time upon request of the Company, confirm to the Company the aggregate amount of funds delivered to it in escrow by persons who have executed and delivered a Purchase Agreement. Subject to the terms and conditions hereof and of the Purchase Agreements, at the time of purchase CEUT shall deliver to the Company by Federal Funds wire transfer of same day funds the purchase price for any such Shares payable to the Company that has been deposited in the escrow account by the Purchasers, reduced by the amount of the fee payable to the Agents hereunder and the Agents' bona fide estimate of the amount of expense reimbursement to which they are entitled hereunder, against delivery of such Shares to the Purchasers through DTC as described above. CEUT shall concurrently deliver to SP by Federal Funds wire transfer of same day funds the fee payable to SP hereunder and SP's bona fide estimate of the amount of expense reimbursement to which SP is entitled hereunder. As soon as practicable after the Closing Date, the Agents will submit to the Company their final expense reimbursement invoices and the Company and/or CEUT, as appropriate, will make the necessary reconciling payment(s).</w:t>
      </w:r>
    </w:p>
    <w:p>
      <w:pPr>
        <w:spacing w:after="0" w:line="200" w:lineRule="exact"/>
        <w:rPr>
          <w:sz w:val="20"/>
          <w:szCs w:val="20"/>
          <w:color w:val="auto"/>
        </w:rPr>
      </w:pPr>
    </w:p>
    <w:p>
      <w:pPr>
        <w:jc w:val="both"/>
        <w:ind w:right="2219" w:firstLine="910"/>
        <w:spacing w:after="0"/>
        <w:rPr>
          <w:sz w:val="20"/>
          <w:szCs w:val="20"/>
          <w:color w:val="auto"/>
        </w:rPr>
      </w:pPr>
      <w:r>
        <w:rPr>
          <w:rFonts w:ascii="Courier New" w:cs="Courier New" w:eastAsia="Courier New" w:hAnsi="Courier New"/>
          <w:sz w:val="17"/>
          <w:szCs w:val="17"/>
          <w:color w:val="auto"/>
        </w:rPr>
        <w:t>Deliveries of the documents described in Section 5 hereof with respect to the purchase of the Shares shall be made at the offices of CEUT in New York City at 10:00 A.M., New York City time, on the Closing Date.</w:t>
      </w:r>
    </w:p>
    <w:p>
      <w:pPr>
        <w:spacing w:after="0" w:line="200" w:lineRule="exact"/>
        <w:rPr>
          <w:sz w:val="20"/>
          <w:szCs w:val="20"/>
          <w:color w:val="auto"/>
        </w:rPr>
      </w:pPr>
    </w:p>
    <w:p>
      <w:pPr>
        <w:jc w:val="both"/>
        <w:ind w:right="3139" w:firstLine="914"/>
        <w:spacing w:after="0" w:line="269" w:lineRule="auto"/>
        <w:tabs>
          <w:tab w:leader="none" w:pos="12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represents, warrants and covenants to and agrees with the Agents that:</w:t>
      </w:r>
    </w:p>
    <w:p>
      <w:pPr>
        <w:spacing w:after="0" w:line="177" w:lineRule="exact"/>
        <w:rPr>
          <w:rFonts w:ascii="Courier New" w:cs="Courier New" w:eastAsia="Courier New" w:hAnsi="Courier New"/>
          <w:sz w:val="16"/>
          <w:szCs w:val="16"/>
          <w:color w:val="auto"/>
        </w:rPr>
      </w:pPr>
    </w:p>
    <w:p>
      <w:pPr>
        <w:ind w:left="920" w:right="2119" w:firstLine="904"/>
        <w:spacing w:after="0" w:line="257" w:lineRule="auto"/>
        <w:tabs>
          <w:tab w:leader="none" w:pos="223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was declared effective under the Act on July 2, 2002; no stop order of the Commission preventing or suspending the use of the Basic Prospectus, the Preliminary Prospectus Supplement, the Prospectus Supplement or the Prospectus or the effectiveness of the Registration Statement has been issued and no proceedings for such purpose have been instituted or, to the Company's knowledge, are threatened by the Commission; the Company is eligible to use Form S-3 for the Offering; such Registration Statement at the date of this Agreement meets, and the Offering complies with, the requirements of Rule 415 under the Act. The Registration Statement complied when it became effective, complies, and will comply at the time of purchase, and the Prospectus conformed as of its date, conforms, and will conform at the time of purchase, in each case in all material respects with the requirements of the Act; any statutes, regulations, contracts or other documents that are required to be described in the Registration Statement or the Prospectus or to be filed as exhibits to the Registration Statement have been and will be so described or filed; there are no documents required to be filed with the Commission in connection with the transaction contemplated hereby that have not been filed as required pursuant to the Act or will not be filed within the requisite time period; and the Registration Statement did not at the time of effectiveness, does not and will not at the time of purchase contain an untrue statement of a material fact or omit to state a material fact required to be stated therein or necessary to make the statements therein not misleading, and the Prospectus did not as of its date, does not and will not at the time of purchase contain an untrue statement of a material fact or omit to state a material fact required to be stated therein or necessary to make the statements therein, in light of the circumstances under which they were made, not misleading; provided, however, that the Company makes no warranty or representation with respect to any statement contained in the Registration Statement or the Prospectus in reliance upon and in conformity with information concerning an Agent and furnished in writing by or on behalf of such Agent to the Company expressly</w:t>
      </w:r>
    </w:p>
    <w:p>
      <w:pPr>
        <w:spacing w:after="0" w:line="206" w:lineRule="exact"/>
        <w:rPr>
          <w:rFonts w:ascii="Courier New" w:cs="Courier New" w:eastAsia="Courier New" w:hAnsi="Courier New"/>
          <w:sz w:val="16"/>
          <w:szCs w:val="16"/>
          <w:color w:val="auto"/>
        </w:rPr>
      </w:pPr>
    </w:p>
    <w:p>
      <w:pPr>
        <w:ind w:left="920" w:right="21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for use in the Registration Statement or the Prospectus; the Company has not distributed and will not distribute any offering material in connection with the offering or sale of the Shares other than the Registration Statement, the then most recent Preliminary Prospectus Supplement or Prospectus Supplement, as applicable, the Basic Prospectus and the Prospectus; the Company has timely filed all reports required of it to be filed</w:t>
      </w:r>
    </w:p>
    <w:p>
      <w:pPr>
        <w:spacing w:after="0" w:line="39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9" w:right="1440" w:bottom="1440" w:gutter="0" w:footer="0" w:header="0"/>
        </w:sectPr>
      </w:pPr>
    </w:p>
    <w:bookmarkStart w:id="10" w:name="page11"/>
    <w:bookmarkEnd w:id="10"/>
    <w:p>
      <w:pPr>
        <w:ind w:right="2119"/>
        <w:spacing w:after="0" w:line="242" w:lineRule="auto"/>
        <w:rPr>
          <w:sz w:val="20"/>
          <w:szCs w:val="20"/>
          <w:color w:val="auto"/>
        </w:rPr>
      </w:pPr>
      <w:r>
        <w:rPr>
          <w:rFonts w:ascii="Courier New" w:cs="Courier New" w:eastAsia="Courier New" w:hAnsi="Courier New"/>
          <w:sz w:val="17"/>
          <w:szCs w:val="17"/>
          <w:color w:val="auto"/>
        </w:rPr>
        <w:t>pursuant to the Act and the Exchange Act and has filed all such reports in the manner prescribed thereby; the Incorporated Documents, when they were filed with the Commission (or, to the extent such documents were amended, as amended), conformed in all material respects to the requirements of the Exchange Act and the applicable rules and regulations of the Commission thereunder, and none of such documents, when they were filed with the Commission(or, to the extent such documents were amended, as amended), contained any untrue statement of a material fact or omitted to state a material fact necessary to make the statements, in light of the circumstances under which they were made, therein not misleading; and any further documents so filed and incorporated by reference in the Basic Prospectus or Prospectus Supplement, when such documents are filed with the Commission, will comply in all material respects with the requirements of the Exchange Act and the applicable rules and regulations of the Commission thereunder, as applicable, and will not contain any untrue statement of a material fact or omit to state a material fact necessary to make the statements therein, in light of the circumstances under which they were made, not misleading;</w:t>
      </w:r>
    </w:p>
    <w:p>
      <w:pPr>
        <w:spacing w:after="0" w:line="200" w:lineRule="exact"/>
        <w:rPr>
          <w:sz w:val="20"/>
          <w:szCs w:val="20"/>
          <w:color w:val="auto"/>
        </w:rPr>
      </w:pPr>
    </w:p>
    <w:p>
      <w:pPr>
        <w:ind w:right="2119" w:firstLine="904"/>
        <w:spacing w:after="0" w:line="242" w:lineRule="auto"/>
        <w:tabs>
          <w:tab w:leader="none" w:pos="131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of the Prospectus Supplement the Company has, and as of the time of purchase the Company shall have, an authorized capitalization as set forth in the Prospectus Supplement under the caption "Description of Capital Stock";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resale right, right of first refusal or similar right;</w:t>
      </w:r>
    </w:p>
    <w:p>
      <w:pPr>
        <w:spacing w:after="0" w:line="197" w:lineRule="exact"/>
        <w:rPr>
          <w:rFonts w:ascii="Courier New" w:cs="Courier New" w:eastAsia="Courier New" w:hAnsi="Courier New"/>
          <w:sz w:val="17"/>
          <w:szCs w:val="17"/>
          <w:color w:val="auto"/>
        </w:rPr>
      </w:pPr>
    </w:p>
    <w:p>
      <w:pPr>
        <w:ind w:right="2119" w:firstLine="904"/>
        <w:spacing w:after="0" w:line="257" w:lineRule="auto"/>
        <w:tabs>
          <w:tab w:leader="none" w:pos="131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October 22, 2004 there were 54,256,938 shares of Common Stock outstanding and the Company had reserved an aggregate of 12,255,819 shares of Common Stock for issuance upon exercise of outstanding stock options and warrants, in each case as described in the Prospectus; since October 22, 2004, the Company has not issued any securities other than Common Stock of the Company pursuant to the exercise of previously outstanding options in connection with the Company's employee stock purchase and option plans (the "Plans"), options granted pursuant to the Plans in the ordinary course of business consistent with past practice and Common Stock issued pursuant to the exercise of previously outstanding warrants, in each case as disclosed in the Prospectus; there are no authorized or outstanding options, warrants, preemptive rights, resale rights, rights of first refusal or other rights to purchase, or equity or debt securities convertible into or exchangeable or exercisable for, any capital stock or other securities of the Company other than pursuant to the Purchase Agreements and this Agreement and those described in the Prospectus; the description of the Company's stock option, stock bonus and other stock plans or arrangements, and the options, warrants or other rights granted thereunder, set forth in the Registration Statement and the Prospectus accurately and fairly presents the information required by the Act to be disclosed therein with respect to such plans, arrangements, options and rights; the Rights are not now and never have been transferable separately from the shares of Common Stock or exercisable; no person, including any of the Company's stockholders at the time of the issuance of the Rights, has to the knowledge of the Company at any time been an Acquiring Person and no Distribution Date or Shares Acquisition Date has occurred or been proposed;</w:t>
      </w:r>
    </w:p>
    <w:p>
      <w:pPr>
        <w:spacing w:after="0" w:line="398" w:lineRule="exact"/>
        <w:rPr>
          <w:rFonts w:ascii="Courier New" w:cs="Courier New" w:eastAsia="Courier New" w:hAnsi="Courier New"/>
          <w:sz w:val="16"/>
          <w:szCs w:val="16"/>
          <w:color w:val="auto"/>
        </w:rPr>
      </w:pPr>
    </w:p>
    <w:p>
      <w:pPr>
        <w:ind w:right="2219" w:firstLine="904"/>
        <w:spacing w:after="0" w:line="259" w:lineRule="auto"/>
        <w:tabs>
          <w:tab w:leader="none" w:pos="131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and the Prospectus, to execute and deliver this Agreement and to issue, sell and deliver the Shares as contemplated herein; no governmental proceeding has been instituted in the State of</w:t>
      </w:r>
    </w:p>
    <w:p>
      <w:pPr>
        <w:spacing w:after="0" w:line="200" w:lineRule="exact"/>
        <w:rPr>
          <w:sz w:val="20"/>
          <w:szCs w:val="20"/>
          <w:color w:val="auto"/>
        </w:rPr>
      </w:pPr>
    </w:p>
    <w:p>
      <w:pPr>
        <w:spacing w:after="0" w:line="373"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299"/>
          </w:cols>
          <w:pgMar w:left="1160" w:top="699" w:right="1440" w:bottom="1440" w:gutter="0" w:footer="0" w:header="0"/>
        </w:sectPr>
      </w:pPr>
    </w:p>
    <w:bookmarkStart w:id="11" w:name="page12"/>
    <w:bookmarkEnd w:id="11"/>
    <w:p>
      <w:pPr>
        <w:ind w:right="2219"/>
        <w:spacing w:after="0" w:line="239" w:lineRule="auto"/>
        <w:rPr>
          <w:sz w:val="20"/>
          <w:szCs w:val="20"/>
          <w:color w:val="auto"/>
        </w:rPr>
      </w:pPr>
      <w:r>
        <w:rPr>
          <w:rFonts w:ascii="Courier New" w:cs="Courier New" w:eastAsia="Courier New" w:hAnsi="Courier New"/>
          <w:sz w:val="17"/>
          <w:szCs w:val="17"/>
          <w:color w:val="auto"/>
        </w:rPr>
        <w:t>Delaware revoking, limiting or curtailing, or seeking to revoke, limit or curtail, such power and authority.</w:t>
      </w:r>
    </w:p>
    <w:p>
      <w:pPr>
        <w:spacing w:after="0" w:line="200" w:lineRule="exact"/>
        <w:rPr>
          <w:sz w:val="20"/>
          <w:szCs w:val="20"/>
          <w:color w:val="auto"/>
        </w:rPr>
      </w:pPr>
    </w:p>
    <w:p>
      <w:pPr>
        <w:ind w:right="2119" w:firstLine="904"/>
        <w:spacing w:after="0" w:line="258" w:lineRule="auto"/>
        <w:tabs>
          <w:tab w:leader="none" w:pos="131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properties, management, condition, financial or otherwise, operations, prospects or results of operation of the Company and the Subsidiaries (as hereinafter defined) taken as a whole (a "Material Adverse Effect"); no governmental proceeding has been instituted in any such jurisdiction, revoking, limiting or curtailing, or seeking to revoke, limit or curtail, such qualification, except for such proceedings as would not, individually or in the aggregate, have a Material Adverse Effect.</w:t>
      </w:r>
    </w:p>
    <w:p>
      <w:pPr>
        <w:spacing w:after="0" w:line="189" w:lineRule="exact"/>
        <w:rPr>
          <w:rFonts w:ascii="Courier New" w:cs="Courier New" w:eastAsia="Courier New" w:hAnsi="Courier New"/>
          <w:sz w:val="16"/>
          <w:szCs w:val="16"/>
          <w:color w:val="auto"/>
        </w:rPr>
      </w:pPr>
    </w:p>
    <w:p>
      <w:pPr>
        <w:ind w:right="2119" w:firstLine="904"/>
        <w:spacing w:after="0" w:line="242" w:lineRule="auto"/>
        <w:tabs>
          <w:tab w:leader="none" w:pos="131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no subsidiaries (as defined in the Act) other than StemCells California, Inc., a California corporation (collectively, the "Subsidiaries"); except as disclosed in the Registration Statement or the Prospectus, the Company owns all of the issued and outstanding capital stock of each of the Subsidiaries; none of the subsidiaries is a "significant subsidiary" within the meaning of rule 1-02(w) of Regulation S-X or is otherwise material to the business or operations of the Company; other than the capital stock of the Subsidiaries and except as disclosed in the Registration Statement or the Prospectus, the Company does not own, directly or indirectly, any shares of stock or any other equity or long-term debt securities of any corporation or have any equity interest in any firm, partnership, joint venture, association or other entity; complete and correct copies of the certificate of incorporation and the bylaws of the Company and the Subsidiaries and all amendments thereto have been delivered to the Agents, and no changes therein will be made subsequent to the date hereof and prior to the time of purchase; each Subsidiary has been duly incorporated and is validly existing as a corporation in good standing under the laws of the jurisdiction of its incorporation, with full corporate power and authority to own, lease and operate its properties and to conduct its business as described in the Registration Statement or the Prospectus; each Subsidiary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no proceeding has been instituted in any such jurisdiction, revoking, limiting or curtailing, or seeking to revoke, limit or curtail, such power and authority or qualification, except for any such proceedings as would not, individually or in the aggregate, have a Material Adverse Effect; all of the outstanding shares of capital stock of each of the Subsidiaries held by the Company have been duly authorized and validly issued, are fully paid and non-assessable and are owned by the Company subject to no security interest, other encumbrance or adverse claims except as disclosed in the Registration Statement or the Prospectus, and no options, warrants or other rights to purchase, agreements or other obligations to issue or other rights to convert any obligation into shares of capital stock or ownership interests in the Subsidiaries are outstanding except as disclosed in the Registration Statement or the Prospectus;</w:t>
      </w:r>
    </w:p>
    <w:p>
      <w:pPr>
        <w:spacing w:after="0" w:line="205" w:lineRule="exact"/>
        <w:rPr>
          <w:rFonts w:ascii="Courier New" w:cs="Courier New" w:eastAsia="Courier New" w:hAnsi="Courier New"/>
          <w:sz w:val="17"/>
          <w:szCs w:val="17"/>
          <w:color w:val="auto"/>
        </w:rPr>
      </w:pPr>
    </w:p>
    <w:p>
      <w:pPr>
        <w:ind w:right="2319" w:firstLine="904"/>
        <w:spacing w:after="0" w:line="241" w:lineRule="auto"/>
        <w:tabs>
          <w:tab w:leader="none" w:pos="131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have been duly and validly authorized by the Company and, when the Shares are issued and delivered against payment therefor as provided herein, the Shares will be duly and validly issued, fully paid and non-assessable and will not be issued in violation of statutory and contractual preemptive rights, resale rights, rights of first refusal and similar rights;</w:t>
      </w:r>
    </w:p>
    <w:p>
      <w:pPr>
        <w:spacing w:after="0" w:line="200" w:lineRule="exact"/>
        <w:rPr>
          <w:rFonts w:ascii="Courier New" w:cs="Courier New" w:eastAsia="Courier New" w:hAnsi="Courier New"/>
          <w:sz w:val="17"/>
          <w:szCs w:val="17"/>
          <w:color w:val="auto"/>
        </w:rPr>
      </w:pPr>
    </w:p>
    <w:p>
      <w:pPr>
        <w:ind w:right="2439" w:firstLine="904"/>
        <w:spacing w:after="0"/>
        <w:tabs>
          <w:tab w:leader="none" w:pos="131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Common Stock (including the Shares) conforms in all material respects to the description thereof contained in the Registration Statement or the Prospectus, the certificates for</w:t>
      </w:r>
    </w:p>
    <w:p>
      <w:pPr>
        <w:spacing w:after="0" w:line="392"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299"/>
          </w:cols>
          <w:pgMar w:left="1160" w:top="699" w:right="1440" w:bottom="1440" w:gutter="0" w:footer="0" w:header="0"/>
        </w:sectPr>
      </w:pPr>
    </w:p>
    <w:bookmarkStart w:id="12" w:name="page13"/>
    <w:bookmarkEnd w:id="12"/>
    <w:p>
      <w:pPr>
        <w:ind w:left="6" w:right="2219"/>
        <w:spacing w:after="0"/>
        <w:rPr>
          <w:sz w:val="20"/>
          <w:szCs w:val="20"/>
          <w:color w:val="auto"/>
        </w:rPr>
      </w:pPr>
      <w:r>
        <w:rPr>
          <w:rFonts w:ascii="Courier New" w:cs="Courier New" w:eastAsia="Courier New" w:hAnsi="Courier New"/>
          <w:sz w:val="17"/>
          <w:szCs w:val="17"/>
          <w:color w:val="auto"/>
        </w:rPr>
        <w:t>the Shares are in due and proper form and the holders of the Shares will not be subject to personal liability under Delaware corporate law by reason of being such holders;</w:t>
      </w:r>
    </w:p>
    <w:p>
      <w:pPr>
        <w:spacing w:after="0" w:line="200" w:lineRule="exact"/>
        <w:rPr>
          <w:sz w:val="20"/>
          <w:szCs w:val="20"/>
          <w:color w:val="auto"/>
        </w:rPr>
      </w:pPr>
    </w:p>
    <w:p>
      <w:pPr>
        <w:ind w:left="6" w:right="2639" w:firstLine="904"/>
        <w:spacing w:after="0" w:line="239" w:lineRule="auto"/>
        <w:tabs>
          <w:tab w:leader="none" w:pos="1321"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the Company;</w:t>
      </w:r>
    </w:p>
    <w:p>
      <w:pPr>
        <w:spacing w:after="0" w:line="199" w:lineRule="exact"/>
        <w:rPr>
          <w:rFonts w:ascii="Courier New" w:cs="Courier New" w:eastAsia="Courier New" w:hAnsi="Courier New"/>
          <w:sz w:val="17"/>
          <w:szCs w:val="17"/>
          <w:color w:val="auto"/>
        </w:rPr>
      </w:pPr>
    </w:p>
    <w:p>
      <w:pPr>
        <w:ind w:left="6" w:right="2119" w:firstLine="904"/>
        <w:spacing w:after="0" w:line="257" w:lineRule="auto"/>
        <w:tabs>
          <w:tab w:leader="none" w:pos="132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or the Prospectus, neither the Company nor any of the Subsidiaries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(i) its respective certificate of incorporation or bylaws, (ii) any law, order, rule, regulation, writ, injunction, judgment or decree of any court, government or governmental agency or body, domestic or foreign, having jurisdiction over the Company or any of its Subsidiaries or over their respective properties, or (iii) any indenture, mortgage, deed of trust, bank loan or credit agreement or other evidence of indebtedness, or any license, lease, contract or other agreement or instrument to which the Company or any of the Subsidiaries is a party or by which any of them or any of their properties is bound, except in the case of clause (ii) and (iii) above where such breach, violation or default would not, individually or in the aggregate, have a Material Adverse Effect and in the case of clause</w:t>
      </w:r>
    </w:p>
    <w:p>
      <w:pPr>
        <w:spacing w:after="0" w:line="6" w:lineRule="exact"/>
        <w:rPr>
          <w:rFonts w:ascii="Courier New" w:cs="Courier New" w:eastAsia="Courier New" w:hAnsi="Courier New"/>
          <w:sz w:val="16"/>
          <w:szCs w:val="16"/>
          <w:color w:val="auto"/>
        </w:rPr>
      </w:pPr>
    </w:p>
    <w:p>
      <w:pPr>
        <w:ind w:left="6" w:right="2119" w:hanging="6"/>
        <w:spacing w:after="0" w:line="241" w:lineRule="auto"/>
        <w:tabs>
          <w:tab w:leader="none" w:pos="41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for such breaches, violations or defaults with respect to the certificate of incorporation or bylaws of Subsidiaries of the Company as would not, individually or in the aggregate, have a Material Adverse Effect;</w:t>
      </w:r>
    </w:p>
    <w:p>
      <w:pPr>
        <w:spacing w:after="0" w:line="198" w:lineRule="exact"/>
        <w:rPr>
          <w:rFonts w:ascii="Courier New" w:cs="Courier New" w:eastAsia="Courier New" w:hAnsi="Courier New"/>
          <w:sz w:val="17"/>
          <w:szCs w:val="17"/>
          <w:color w:val="auto"/>
        </w:rPr>
      </w:pPr>
    </w:p>
    <w:p>
      <w:pPr>
        <w:ind w:left="6" w:right="2119" w:firstLine="904"/>
        <w:spacing w:after="0" w:line="241" w:lineRule="auto"/>
        <w:tabs>
          <w:tab w:leader="none" w:pos="1321"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this Agreement and the consummation of the transactions contemplated hereby and thereby, including the issuance and sale of the Shares, will not conflict with, result in any breach or violation of or constitute a default under (nor constitute any event which with notice, lapse of time or both would result in any breach or violation of or constitute a default under or give the holder of any indebtedness (or a person acting on such holder's behalf) the right to require the repurchase, redemption or repayment of all or a part of such indebtedness under)</w:t>
      </w:r>
    </w:p>
    <w:p>
      <w:pPr>
        <w:spacing w:after="0" w:line="9" w:lineRule="exact"/>
        <w:rPr>
          <w:rFonts w:ascii="Courier New" w:cs="Courier New" w:eastAsia="Courier New" w:hAnsi="Courier New"/>
          <w:sz w:val="17"/>
          <w:szCs w:val="17"/>
          <w:color w:val="auto"/>
        </w:rPr>
      </w:pPr>
    </w:p>
    <w:p>
      <w:pPr>
        <w:ind w:left="6" w:right="2119" w:hanging="6"/>
        <w:spacing w:after="0" w:line="242" w:lineRule="auto"/>
        <w:tabs>
          <w:tab w:leader="none" w:pos="41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or bylaws of the Company or any of the Subsidiaries, (ii)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bound, or (iii) any federal, state, local or foreign statute, law, regulation or rule or any decree, judgment or order applicable to the Company or any of the Subsidiaries or any of their respect properties, except where such breach, violation or default would not, individually or in the aggregate, have a Material Adverse Effect;</w:t>
      </w:r>
    </w:p>
    <w:p>
      <w:pPr>
        <w:spacing w:after="0" w:line="197" w:lineRule="exact"/>
        <w:rPr>
          <w:rFonts w:ascii="Courier New" w:cs="Courier New" w:eastAsia="Courier New" w:hAnsi="Courier New"/>
          <w:sz w:val="17"/>
          <w:szCs w:val="17"/>
          <w:color w:val="auto"/>
        </w:rPr>
      </w:pPr>
    </w:p>
    <w:p>
      <w:pPr>
        <w:ind w:left="6" w:right="2119" w:firstLine="904"/>
        <w:spacing w:after="0" w:line="258" w:lineRule="auto"/>
        <w:tabs>
          <w:tab w:leader="none" w:pos="132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(including the Shares) is registered under the Exchange Act and the outstanding shares of Common Stock of the Company are quoted on The Nasdaq SmallCap Market ("Nasdaq") and the Company has taken no action designed to, or likely to have the effect of terminating the registration of the Common Stock under the Exchange Act or delisting or suspending from trading the Shares from Nasdaq, nor has the Company received any information suggesting that the Commission or (except as disclosed in the Prospectus) Nasdaq is contemplating terminating or suspending such registration or listing. All of the shares of Common Stock included in, or issuable upon exercise or conversion of, the Shares were described in a "Notification Form for Listing of Additional Shares" filed with Nasdaq. The Company has complied with the requirements of Rule 4350(i)(2) of the Nasdaq Marketplace Rules in connection with the Offering;</w:t>
      </w:r>
    </w:p>
    <w:p>
      <w:pPr>
        <w:spacing w:after="0" w:line="381"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305"/>
          </w:cols>
          <w:pgMar w:left="1154" w:top="699" w:right="1440" w:bottom="1440" w:gutter="0" w:footer="0" w:header="0"/>
        </w:sectPr>
      </w:pPr>
    </w:p>
    <w:bookmarkStart w:id="13" w:name="page14"/>
    <w:bookmarkEnd w:id="13"/>
    <w:p>
      <w:pPr>
        <w:ind w:left="6" w:right="2119" w:firstLine="904"/>
        <w:spacing w:after="0" w:line="258" w:lineRule="auto"/>
        <w:tabs>
          <w:tab w:leader="none" w:pos="132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approval, authorization, consent or order of or filing with any federal, state, local or foreign governmental or regulatory commission, board, body, authority or agency or of or with Nasdaq, or approval of the shareholders of the Company, is required in connection with the issuance and sale of the Shares or the consummation by the Company of the transactions contemplated hereby other than registration under the Act of the offer and sale of the Shares and filings with Nasdaq, each of which has been effected, and any necessary qualification under the securities or blue sky laws of the various jurisdictions in which Shares are being offered or under the rules and regulations of the National Association of Securities Dealers, Inc.;</w:t>
      </w:r>
    </w:p>
    <w:p>
      <w:pPr>
        <w:spacing w:after="0" w:line="190" w:lineRule="exact"/>
        <w:rPr>
          <w:rFonts w:ascii="Courier New" w:cs="Courier New" w:eastAsia="Courier New" w:hAnsi="Courier New"/>
          <w:sz w:val="16"/>
          <w:szCs w:val="16"/>
          <w:color w:val="auto"/>
        </w:rPr>
      </w:pPr>
    </w:p>
    <w:p>
      <w:pPr>
        <w:ind w:left="6" w:right="2219" w:firstLine="904"/>
        <w:spacing w:after="0" w:line="257" w:lineRule="auto"/>
        <w:tabs>
          <w:tab w:leader="none" w:pos="132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or the Prospectus, (i) no person has the right, contractual or otherwise, to cause the Company to issue or sell to it any shares of Common Stock or shares of any other capital stock or other equity interests of the Company, and (ii) except as provided herein or in the Engagement Letter, no person has the right to act as an underwriter, placement agent or financial advisor to the Company in connection with the offer and sale of the Shares, in the case of each of the foregoing clauses</w:t>
      </w:r>
    </w:p>
    <w:p>
      <w:pPr>
        <w:spacing w:after="0" w:line="2" w:lineRule="exact"/>
        <w:rPr>
          <w:rFonts w:ascii="Courier New" w:cs="Courier New" w:eastAsia="Courier New" w:hAnsi="Courier New"/>
          <w:sz w:val="16"/>
          <w:szCs w:val="16"/>
          <w:color w:val="auto"/>
        </w:rPr>
      </w:pPr>
    </w:p>
    <w:p>
      <w:pPr>
        <w:ind w:left="6" w:right="2119" w:hanging="6"/>
        <w:spacing w:after="0" w:line="242" w:lineRule="auto"/>
        <w:tabs>
          <w:tab w:leader="none" w:pos="411"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 whether as a result of the filing or effectiveness of the Registration Statement or the sale of the Shares as contemplated thereby or otherwise; except as disclosed in the Registration Statement or the Prospectus, no person has the right, contractual or otherwise, to cause the Company to register under the Act any shares of Common Stock or shares of any other capital stock or other securities of the Company, or to include any such shares or interests in the Registration Statement or the Offering, whether as a result of the filing or effectiveness of the Registration Statement or the sale of the Shares as contemplated thereby or otherwise;</w:t>
      </w:r>
    </w:p>
    <w:p>
      <w:pPr>
        <w:spacing w:after="0" w:line="197" w:lineRule="exact"/>
        <w:rPr>
          <w:rFonts w:ascii="Courier New" w:cs="Courier New" w:eastAsia="Courier New" w:hAnsi="Courier New"/>
          <w:sz w:val="17"/>
          <w:szCs w:val="17"/>
          <w:color w:val="auto"/>
        </w:rPr>
      </w:pPr>
    </w:p>
    <w:p>
      <w:pPr>
        <w:ind w:left="6" w:right="2119" w:firstLine="904"/>
        <w:spacing w:after="0" w:line="242" w:lineRule="auto"/>
        <w:tabs>
          <w:tab w:leader="none" w:pos="1321"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the Subsidiaries has all necessary licenses, authorizations, consents and approvals and has made all necessary filings required under any federal, state, local or foreign law, regulation or rule, in order to conduct its respective business as currently conducted and has conducted such business in accordance with such laws, regulations and rules, except where the failure to have such licenses, authorizations, consents and approvals or the failure to conduct business in accordance with such laws, rules and regulations would not, individually or in the aggregate, have a Material Adverse Effect; neither the Company nor any of the Subsidiaries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of such Subsidiaries, except where such violation, default, revocation or modification would not, individually or in the aggregate, have a Material Adverse Effect;</w:t>
      </w:r>
    </w:p>
    <w:p>
      <w:pPr>
        <w:spacing w:after="0" w:line="198" w:lineRule="exact"/>
        <w:rPr>
          <w:rFonts w:ascii="Courier New" w:cs="Courier New" w:eastAsia="Courier New" w:hAnsi="Courier New"/>
          <w:sz w:val="17"/>
          <w:szCs w:val="17"/>
          <w:color w:val="auto"/>
        </w:rPr>
      </w:pPr>
    </w:p>
    <w:p>
      <w:pPr>
        <w:ind w:left="6" w:right="2119" w:firstLine="904"/>
        <w:spacing w:after="0" w:line="241" w:lineRule="auto"/>
        <w:tabs>
          <w:tab w:leader="none" w:pos="1321"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legal or governmental proceedings, affiliate transactions, contracts, licenses, agreements, leases or documents of a character required to be described in the Registration Statement or the Prospectus or to be filed as an exhibit to the Registration Statement have been so described or filed as required;</w:t>
      </w:r>
    </w:p>
    <w:p>
      <w:pPr>
        <w:spacing w:after="0" w:line="199" w:lineRule="exact"/>
        <w:rPr>
          <w:rFonts w:ascii="Courier New" w:cs="Courier New" w:eastAsia="Courier New" w:hAnsi="Courier New"/>
          <w:sz w:val="17"/>
          <w:szCs w:val="17"/>
          <w:color w:val="auto"/>
        </w:rPr>
      </w:pPr>
    </w:p>
    <w:p>
      <w:pPr>
        <w:ind w:left="6" w:right="2119" w:firstLine="904"/>
        <w:spacing w:after="0" w:line="242" w:lineRule="auto"/>
        <w:tabs>
          <w:tab w:leader="none" w:pos="1321"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Registration Statement or the Prospectus, there are no actions, suits, claims, investigations or proceedings pending or, to the Company's knowledge, threatened to which the Company or any of the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result in a judgment, decree or order having, individually or in the aggregate, a Material Adverse Effect or prevent consummation of the transactions contemplated hereby;</w:t>
      </w:r>
    </w:p>
    <w:p>
      <w:pPr>
        <w:spacing w:after="0" w:line="390"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305"/>
          </w:cols>
          <w:pgMar w:left="1154" w:top="699" w:right="1440" w:bottom="1440" w:gutter="0" w:footer="0" w:header="0"/>
        </w:sectPr>
      </w:pPr>
    </w:p>
    <w:bookmarkStart w:id="14" w:name="page15"/>
    <w:bookmarkEnd w:id="14"/>
    <w:p>
      <w:pPr>
        <w:ind w:left="6" w:right="2119" w:firstLine="904"/>
        <w:spacing w:after="0" w:line="241" w:lineRule="auto"/>
        <w:tabs>
          <w:tab w:leader="none" w:pos="1321"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Thornton LLP and Ernst &amp; Young LLP, whose reports on the consolidated financial statements of the Company and the Subsidiaries are filed with the Commission as part of the Registration Statement and the Prospectus, are independent public accountants as required by the Act and the Exchange Act;</w:t>
      </w:r>
    </w:p>
    <w:p>
      <w:pPr>
        <w:spacing w:after="0" w:line="199" w:lineRule="exact"/>
        <w:rPr>
          <w:rFonts w:ascii="Courier New" w:cs="Courier New" w:eastAsia="Courier New" w:hAnsi="Courier New"/>
          <w:sz w:val="17"/>
          <w:szCs w:val="17"/>
          <w:color w:val="auto"/>
        </w:rPr>
      </w:pPr>
    </w:p>
    <w:p>
      <w:pPr>
        <w:ind w:left="6" w:right="2119" w:firstLine="904"/>
        <w:spacing w:after="0" w:line="257" w:lineRule="auto"/>
        <w:tabs>
          <w:tab w:leader="none" w:pos="132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included in the Registration Statement or the Prospectus, together with the related notes and schedules, present fairly in all material respects the consolidated financial position of the Company and the consolidated Subsidiaries as of the dates indicated and the consolidated results of operations and cash flows of the Company and the consolidated Subsidiaries for the periods specified and comply in all material respects with the requirements of the Act and have been prepared in conformity with generally accepted accounting principles applied on a consistent basis during the periods involved except as set forth in the notes thereto and subject, in the case of unaudited financial statements, to normal year-end adjustments, which are not expected to be material in amount; any pro forma financial statements or data included in the Registration Statement or the Prospectus comply with the requirements of Regulation S-X of the Act,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supporting exhibits and schedules in the Registration Statement, if any, present fairly in all material respects the information required to be stated therein; the other financial and statistical data set forth in the Registration Statement or the Prospectus are accurately presented and prepared on a basis consistent with the financial statements and books and records of the Company; there are no financial statements (historical or pro forma) or supporting schedules or exhibits that are required to be included in the Registration Statement or the Prospectus that are not included as required; and the Company and the consolidated Subsidiaries do not have any material liabilities or obligations, direct or contingent (including any off-balance sheet obligations), not disclosed in the Registration Statement or the Prospectus;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ind w:left="6" w:right="2119" w:firstLine="904"/>
        <w:spacing w:after="0" w:line="257" w:lineRule="auto"/>
        <w:tabs>
          <w:tab w:leader="none" w:pos="132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Registration Statement or the Prospectus, subsequent to the respective dates as of which information is given in the Registration Statement and the Prospectus, there has not been (i) any material adverse change, or any development involving a prospective material adverse change, in the business, properties, management, condition, financial or otherwise, operations, prospects or results of operation of the Company and the Subsidiaries taken as a whole, (ii) any transaction which is material to the Company and the Subsidiaries taken as a whole, (iii) any obligation, direct or contingent (including any off-balance sheet obligations), incurred by the Company or the Subsidiaries, which is material to the Company and the Subsidiaries taken as a whole, (iv) any change in the capital stock (other than pursuant to the exercise or conversion of outstanding stock options or warrants described in the Prospectus) or any material change in the outstanding indebtedness of the Company or the Subsidiaries or</w:t>
      </w:r>
    </w:p>
    <w:p>
      <w:pPr>
        <w:spacing w:after="0" w:line="5" w:lineRule="exact"/>
        <w:rPr>
          <w:rFonts w:ascii="Courier New" w:cs="Courier New" w:eastAsia="Courier New" w:hAnsi="Courier New"/>
          <w:sz w:val="16"/>
          <w:szCs w:val="16"/>
          <w:color w:val="auto"/>
        </w:rPr>
      </w:pPr>
    </w:p>
    <w:p>
      <w:pPr>
        <w:ind w:left="6" w:right="2219" w:hanging="6"/>
        <w:spacing w:after="0" w:line="239" w:lineRule="auto"/>
        <w:tabs>
          <w:tab w:leader="none" w:pos="41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dividend or distribution of any kind declared, paid or made on any class of capital stock of the Company;</w:t>
      </w:r>
    </w:p>
    <w:p>
      <w:pPr>
        <w:spacing w:after="0" w:line="199" w:lineRule="exact"/>
        <w:rPr>
          <w:rFonts w:ascii="Courier New" w:cs="Courier New" w:eastAsia="Courier New" w:hAnsi="Courier New"/>
          <w:sz w:val="17"/>
          <w:szCs w:val="17"/>
          <w:color w:val="auto"/>
        </w:rPr>
      </w:pPr>
    </w:p>
    <w:p>
      <w:pPr>
        <w:ind w:left="6" w:right="2119" w:firstLine="904"/>
        <w:spacing w:after="0" w:line="260" w:lineRule="auto"/>
        <w:tabs>
          <w:tab w:leader="none" w:pos="132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the Subsidiaries is nor, after giving effect to the Offering as described in the Prospectus, will any of them be an "investment company" or an entity "controlled" by an "investment company," as such terms are defined in the Investment Company Act of 1940, as amended (the "Investment Company Act");</w:t>
      </w:r>
    </w:p>
    <w:p>
      <w:pPr>
        <w:spacing w:after="0" w:line="184" w:lineRule="exact"/>
        <w:rPr>
          <w:rFonts w:ascii="Courier New" w:cs="Courier New" w:eastAsia="Courier New" w:hAnsi="Courier New"/>
          <w:sz w:val="16"/>
          <w:szCs w:val="16"/>
          <w:color w:val="auto"/>
        </w:rPr>
      </w:pPr>
    </w:p>
    <w:p>
      <w:pPr>
        <w:ind w:left="6" w:right="2219" w:firstLine="904"/>
        <w:spacing w:after="0" w:line="241" w:lineRule="auto"/>
        <w:tabs>
          <w:tab w:leader="none" w:pos="1321"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any "employee benefit plan" (as defined under the Employee Retirement Income Security Act of 1974, as amended, and the regulations and published interpretations thereunder (collectively, "ERISA")) established or maintained by the Company or</w:t>
      </w:r>
    </w:p>
    <w:p>
      <w:pPr>
        <w:spacing w:after="0" w:line="391"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305"/>
          </w:cols>
          <w:pgMar w:left="1154" w:top="699" w:right="1440" w:bottom="1440" w:gutter="0" w:footer="0" w:header="0"/>
        </w:sectPr>
      </w:pPr>
    </w:p>
    <w:bookmarkStart w:id="15" w:name="page16"/>
    <w:bookmarkEnd w:id="15"/>
    <w:p>
      <w:pPr>
        <w:ind w:right="2119"/>
        <w:spacing w:after="0" w:line="242" w:lineRule="auto"/>
        <w:rPr>
          <w:sz w:val="20"/>
          <w:szCs w:val="20"/>
          <w:color w:val="auto"/>
        </w:rPr>
      </w:pPr>
      <w:r>
        <w:rPr>
          <w:rFonts w:ascii="Courier New" w:cs="Courier New" w:eastAsia="Courier New" w:hAnsi="Courier New"/>
          <w:sz w:val="17"/>
          <w:szCs w:val="17"/>
          <w:color w:val="auto"/>
        </w:rPr>
        <w:t>its "ERISA Affiliates" (as defined below) are in compliance in all material respects with ERISA; "ERISA Affiliate" means, with respect to the Company, any member of any group of organizations described in Sections 414(b), (c), (m) or (o) of the Internal Revenue Code of 1986, as amended, and the regulations and published interpretations thereunder (the "Code")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reasonably be expected to cause the loss of such qualification;</w:t>
      </w:r>
    </w:p>
    <w:p>
      <w:pPr>
        <w:spacing w:after="0" w:line="200" w:lineRule="exact"/>
        <w:rPr>
          <w:sz w:val="20"/>
          <w:szCs w:val="20"/>
          <w:color w:val="auto"/>
        </w:rPr>
      </w:pPr>
    </w:p>
    <w:p>
      <w:pPr>
        <w:ind w:right="2119" w:firstLine="904"/>
        <w:spacing w:after="0" w:line="242" w:lineRule="auto"/>
        <w:tabs>
          <w:tab w:leader="none" w:pos="131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Registration Statement or the Prospectus, the Company and each of the Subsidiaries has good and marketable title to all property (real and personal) described in the Registration Statement or in the Prospectus as being owned by each of them, free and clear of all liens, claims, security interests or other encumbrances, except where the failure to do so would not, individually or in the aggregate, have a Material Adverse Effect; all the property (real and personal) described in the Registration Statement or the Prospectus as being held under lease by the Company or a Subsidiary is held thereby under valid, subsisting and enforceable leases, except where the failure to do so would not, individually or in the aggregate, have a Material Adverse Effect;</w:t>
      </w:r>
    </w:p>
    <w:p>
      <w:pPr>
        <w:spacing w:after="0" w:line="197" w:lineRule="exact"/>
        <w:rPr>
          <w:rFonts w:ascii="Courier New" w:cs="Courier New" w:eastAsia="Courier New" w:hAnsi="Courier New"/>
          <w:sz w:val="17"/>
          <w:szCs w:val="17"/>
          <w:color w:val="auto"/>
        </w:rPr>
      </w:pPr>
    </w:p>
    <w:p>
      <w:pPr>
        <w:ind w:right="2119" w:firstLine="904"/>
        <w:spacing w:after="0" w:line="242" w:lineRule="auto"/>
        <w:tabs>
          <w:tab w:leader="none" w:pos="131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Registration Statement or the Prospectus, the Company and the Subsidiaries own, or have obtained licenses for, or have other rights to use, the inventions, patent applications, patents, trademarks (both registered and unregistered), trade names, copyrights, trade secrets and other proprietary information described in the Registration Statement or the Prospectus as being owned or licensed by them, except where the failure to own, license or have such rights would not, individually or in the aggregate, have a Material Adverse Effect; the expiration of any registered patents, trademarks, service marks or copyrights owned by the Company or any of its Subsidiaries would not result in a Material Adverse Effect that is not otherwise specifically disclosed in the Basic Prospectus and Prospectus Supplement; except as disclosed in the Registration Statement or the Prospectus, there are no third parties who have or, to the Company's knowledge, will be able to establish rights to any material intellectual property owned by the Company; to the knowledge of the Company, there is no infringement by third parties of any material intellectual property owned by the Company; there is no pending or, to the knowledge of the Company, threatened action, suit, proceeding or claim by others challenging the Company's rights in or to any material intellectual property or challenging the validity or scope of any material intellectual property owned by the Company; except as disclosed in the Registration Statement or the Prospectus, there is no pending or, to the knowledge of the Company, threatened action, suit, proceeding or claim by others that the Company infringes or otherwise violates any patent, trademark, copyright, trade secret or other proprietary rights of others; except as disclosed in the Registration Statement or the Prospectus, there is no patent or patent application that contains claims that interfere with the issued or pending claims of any patent or patent application owned by the Company; and to the knowledge of the Company, there is no prior art that could reasonably be expected to render any patent application owned by the Company unpatentable that has not been disclosed to the U.S. Patent and Trademark Office.</w:t>
      </w:r>
    </w:p>
    <w:p>
      <w:pPr>
        <w:spacing w:after="0" w:line="396"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299"/>
          </w:cols>
          <w:pgMar w:left="1160" w:top="699" w:right="1440" w:bottom="1440" w:gutter="0" w:footer="0" w:header="0"/>
        </w:sectPr>
      </w:pPr>
    </w:p>
    <w:bookmarkStart w:id="16" w:name="page17"/>
    <w:bookmarkEnd w:id="16"/>
    <w:p>
      <w:pPr>
        <w:ind w:left="6" w:right="2219" w:firstLine="904"/>
        <w:spacing w:after="0" w:line="257" w:lineRule="auto"/>
        <w:tabs>
          <w:tab w:leader="none" w:pos="132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or the Prospectus, neither the Company nor any of the Subsidiaries is engaged in any unfair labor practice; except for matters which would not, individually or in the aggregate, have a Material Adverse Effect and except as disclosed in the Registration Statement or the Prospectus,</w:t>
      </w:r>
    </w:p>
    <w:p>
      <w:pPr>
        <w:spacing w:after="0" w:line="1" w:lineRule="exact"/>
        <w:rPr>
          <w:rFonts w:ascii="Courier New" w:cs="Courier New" w:eastAsia="Courier New" w:hAnsi="Courier New"/>
          <w:sz w:val="16"/>
          <w:szCs w:val="16"/>
          <w:color w:val="auto"/>
        </w:rPr>
      </w:pPr>
    </w:p>
    <w:p>
      <w:pPr>
        <w:ind w:left="6" w:right="2119" w:hanging="6"/>
        <w:spacing w:after="0" w:line="242" w:lineRule="auto"/>
        <w:tabs>
          <w:tab w:leader="none" w:pos="41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threatened, (B) no strike, labor dispute, slowdown or stoppage pending or, to the Company's knowledge, threatened against the Company or any of the Subsidiaries and (C) no union representation dispute currently existing concerning the employees of the Company or any of the Subsidiaries, and (ii) to the Company's knowledge, (A) no union organizing activities are currently taking place concerning the employees of the Company or any of the Subsidiaries and (B) there has been no violation of any federal, state, local or foreign law relating to discrimination in the hiring, promotion or pay of employees, any applicable wage or hour laws or any provision of the Employee Retirement Income Security Act of 1974, as amended, or the rules and regulations promulgated thereunder concerning the employees of the Company or any of the Subsidiaries;</w:t>
      </w:r>
    </w:p>
    <w:p>
      <w:pPr>
        <w:spacing w:after="0" w:line="198" w:lineRule="exact"/>
        <w:rPr>
          <w:rFonts w:ascii="Courier New" w:cs="Courier New" w:eastAsia="Courier New" w:hAnsi="Courier New"/>
          <w:sz w:val="17"/>
          <w:szCs w:val="17"/>
          <w:color w:val="auto"/>
        </w:rPr>
      </w:pPr>
    </w:p>
    <w:p>
      <w:pPr>
        <w:ind w:left="6" w:right="2119" w:firstLine="904"/>
        <w:spacing w:after="0" w:line="242" w:lineRule="auto"/>
        <w:tabs>
          <w:tab w:leader="none" w:pos="1321"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Registration Statement or the Prospectus, the Company and the Subsidiaries and their properties, assets and operations are in compliance with, and hold all permits, authorizations and approvals required under, Environmental Laws (as defined below), except to the extent that failure to so comply or to hold such permits, authorizations or approvals would not, individually or in the aggregate, have a Material Adverse Effect; except as disclosed in the Registration Statement or the Prospectus, there are no past or present conditions, circumstances, activities, practices, actions, omissions or plans that would reasonably be expected to give rise to any material costs or liabilities to the Company or the Subsidiaries under, or to interfere with or prevent compliance by the Company or the Subsidiaries with, Environmental Laws; except as would not, individually or in the aggregate, have a Material Adverse Effect and except as disclosed in the Registration Statement or the Prospectus, neither the Company nor any of the Subsidiaries (i) is the subject of any investigation, (ii) has received any notice or claim,</w:t>
      </w:r>
    </w:p>
    <w:p>
      <w:pPr>
        <w:spacing w:after="0" w:line="4" w:lineRule="exact"/>
        <w:rPr>
          <w:rFonts w:ascii="Courier New" w:cs="Courier New" w:eastAsia="Courier New" w:hAnsi="Courier New"/>
          <w:sz w:val="17"/>
          <w:szCs w:val="17"/>
          <w:color w:val="auto"/>
        </w:rPr>
      </w:pPr>
    </w:p>
    <w:p>
      <w:pPr>
        <w:ind w:left="6" w:right="2319" w:hanging="6"/>
        <w:spacing w:after="0" w:line="257" w:lineRule="auto"/>
        <w:tabs>
          <w:tab w:leader="none" w:pos="61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party to or affected by any pending or threatened action, suit or proceeding, (iv) is bound by any judgment, decree or order or</w:t>
      </w:r>
    </w:p>
    <w:p>
      <w:pPr>
        <w:ind w:left="6" w:right="2119" w:hanging="6"/>
        <w:spacing w:after="0" w:line="242" w:lineRule="auto"/>
        <w:tabs>
          <w:tab w:leader="none" w:pos="411"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entered into any agreement, in each case relating to any alleged violation of any Environmental Law or any actual or alleged release or threatened release or cleanup at any location of any Hazardous Materials (as defined below); no property which is owned, leased or occupied by the Company or any Subsidiary has been designated as a Superfund site pursuant to the U.S. Comprehensive Response, Compensation, and Liability Act of 1980, as amended (42 U.S.C. ss. 9601, et seq.), or otherwise designated as a contaminated site under applicable federal, state or local law;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whether or not arising from transactions in the ordinary course of business (as used herein, "Environmental Law"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"Hazardous Materials" means any material (including,</w:t>
      </w:r>
    </w:p>
    <w:p>
      <w:pPr>
        <w:spacing w:after="0" w:line="395"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305"/>
          </w:cols>
          <w:pgMar w:left="1154" w:top="699" w:right="1440" w:bottom="995" w:gutter="0" w:footer="0" w:header="0"/>
        </w:sectPr>
      </w:pPr>
    </w:p>
    <w:bookmarkStart w:id="17" w:name="page18"/>
    <w:bookmarkEnd w:id="17"/>
    <w:p>
      <w:pPr>
        <w:ind w:left="6" w:right="2839"/>
        <w:spacing w:after="0"/>
        <w:rPr>
          <w:sz w:val="20"/>
          <w:szCs w:val="20"/>
          <w:color w:val="auto"/>
        </w:rPr>
      </w:pPr>
      <w:r>
        <w:rPr>
          <w:rFonts w:ascii="Courier New" w:cs="Courier New" w:eastAsia="Courier New" w:hAnsi="Courier New"/>
          <w:sz w:val="17"/>
          <w:szCs w:val="17"/>
          <w:color w:val="auto"/>
        </w:rPr>
        <w:t>without limitation, pollutants, contaminants, hazardous or toxic substances or wastes) that is regulated by or may give rise to liability under any Environmental Law);</w:t>
      </w:r>
    </w:p>
    <w:p>
      <w:pPr>
        <w:spacing w:after="0" w:line="200" w:lineRule="exact"/>
        <w:rPr>
          <w:sz w:val="20"/>
          <w:szCs w:val="20"/>
          <w:color w:val="auto"/>
        </w:rPr>
      </w:pPr>
    </w:p>
    <w:p>
      <w:pPr>
        <w:ind w:left="6" w:right="2319" w:firstLine="904"/>
        <w:spacing w:after="0" w:line="241" w:lineRule="auto"/>
        <w:tabs>
          <w:tab w:leader="none" w:pos="1422"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tax returns required to be filed by the Company and each of the Subsidiaries have been filed, and all taxes and other assessments of a similar nature (whether imposed directly or through withholding) including any interest, additions to tax or penalties shown as due thereon from such entities have been paid, other than those being contested in good faith and for which adequate reserves have been provided, except as would not, individually or in the aggregate, have a Material Adverse Effect;</w:t>
      </w:r>
    </w:p>
    <w:p>
      <w:pPr>
        <w:spacing w:after="0" w:line="203" w:lineRule="exact"/>
        <w:rPr>
          <w:rFonts w:ascii="Courier New" w:cs="Courier New" w:eastAsia="Courier New" w:hAnsi="Courier New"/>
          <w:sz w:val="17"/>
          <w:szCs w:val="17"/>
          <w:color w:val="auto"/>
        </w:rPr>
      </w:pPr>
    </w:p>
    <w:p>
      <w:pPr>
        <w:ind w:left="6" w:right="2119" w:firstLine="904"/>
        <w:spacing w:after="0" w:line="257" w:lineRule="auto"/>
        <w:tabs>
          <w:tab w:leader="none" w:pos="142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Subsidiaries maintains insurance policies covering its properties, operations, personnel and businesses with recognized, financially sound and reputable institutions in such amounts and with such deductibles and covering such risks as are prudent and customary in the business in which it is engaged; all such insurance is fully in force on the date hereof and will be fully in force at the time of purchase except as would not, individually or in the aggregate, have a Material Adverse Effect; the Company has no reason to believe that it will not be able: (i) to renew its existing insurance coverage as and when such policies expire to the extent such coverage is available on commercially reasonable terms; or</w:t>
      </w:r>
    </w:p>
    <w:p>
      <w:pPr>
        <w:spacing w:after="0" w:line="3" w:lineRule="exact"/>
        <w:rPr>
          <w:rFonts w:ascii="Courier New" w:cs="Courier New" w:eastAsia="Courier New" w:hAnsi="Courier New"/>
          <w:sz w:val="16"/>
          <w:szCs w:val="16"/>
          <w:color w:val="auto"/>
        </w:rPr>
      </w:pPr>
    </w:p>
    <w:p>
      <w:pPr>
        <w:ind w:left="6" w:right="2119" w:hanging="6"/>
        <w:spacing w:after="0" w:line="241" w:lineRule="auto"/>
        <w:tabs>
          <w:tab w:leader="none" w:pos="5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obtain comparable coverage from similar institutions as may be necessary or appropriate to conduct its business as now conducted and at a cost that would not reasonably be expected to result in a Material Adverse Effect; the Company has not been denied any insurance coverage that it has sought or for which it has applied;</w:t>
      </w:r>
    </w:p>
    <w:p>
      <w:pPr>
        <w:spacing w:after="0" w:line="199" w:lineRule="exact"/>
        <w:rPr>
          <w:rFonts w:ascii="Courier New" w:cs="Courier New" w:eastAsia="Courier New" w:hAnsi="Courier New"/>
          <w:sz w:val="17"/>
          <w:szCs w:val="17"/>
          <w:color w:val="auto"/>
        </w:rPr>
      </w:pPr>
    </w:p>
    <w:p>
      <w:pPr>
        <w:ind w:left="6" w:right="2219" w:firstLine="904"/>
        <w:spacing w:after="0" w:line="259" w:lineRule="auto"/>
        <w:tabs>
          <w:tab w:leader="none" w:pos="142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the Subsidiaries has sustained since the date of the last audited financial statements in the Registration Statement or the Prospectus any loss or interference with its respective business from fire, explosion, flood or other calamity, whether or not covered by insurance, or from any labor dispute or court or governmental action, order or decree except as disclosed in the Registration Statement or the Prospectus or as would not, individually or in the aggregate, have a Material Adverse Effect;</w:t>
      </w:r>
    </w:p>
    <w:p>
      <w:pPr>
        <w:spacing w:after="0" w:line="185" w:lineRule="exact"/>
        <w:rPr>
          <w:rFonts w:ascii="Courier New" w:cs="Courier New" w:eastAsia="Courier New" w:hAnsi="Courier New"/>
          <w:sz w:val="16"/>
          <w:szCs w:val="16"/>
          <w:color w:val="auto"/>
        </w:rPr>
      </w:pPr>
    </w:p>
    <w:p>
      <w:pPr>
        <w:ind w:left="6" w:right="2119" w:firstLine="904"/>
        <w:spacing w:after="0" w:line="258" w:lineRule="auto"/>
        <w:tabs>
          <w:tab w:leader="none" w:pos="142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described in or filed as an exhibit to the Registration Statement or the Prospectus is in full force and effect and is valid and enforceable by the Company in accordance with its terms, except for such as would not, individually or in the aggregate, have a Material Adverse Effect; neither the Company nor, to the Company's knowledge, any other party is in default in the observance or performance of any term or obligation to be performed by it under any such agreement, and no event has occurred that with notice or lapse of time or both would constitute such a default, in any such case where such default or event would have a Material Adverse Effect; except as disclosed in the Registration Statement or the Prospectus and except as would not, individually or in the aggregate, have a Material Adverse Effect, the Company has not sent or received any written communication regarding termination of any of the contracts or agreements referred to or described in, or filed as an exhibit to, the Registration Statement, and no such termination has been threatened by the Company or, to the Company's knowledge, any other party to any such contract or agreement;</w:t>
      </w:r>
    </w:p>
    <w:p>
      <w:pPr>
        <w:spacing w:after="0" w:line="187" w:lineRule="exact"/>
        <w:rPr>
          <w:rFonts w:ascii="Courier New" w:cs="Courier New" w:eastAsia="Courier New" w:hAnsi="Courier New"/>
          <w:sz w:val="16"/>
          <w:szCs w:val="16"/>
          <w:color w:val="auto"/>
        </w:rPr>
      </w:pPr>
    </w:p>
    <w:p>
      <w:pPr>
        <w:ind w:left="6" w:right="2119" w:firstLine="904"/>
        <w:spacing w:after="0" w:line="241" w:lineRule="auto"/>
        <w:tabs>
          <w:tab w:leader="none" w:pos="1422"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each of the Subsidiaries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w:t>
      </w:r>
    </w:p>
    <w:p>
      <w:pPr>
        <w:spacing w:after="0" w:line="396"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305"/>
          </w:cols>
          <w:pgMar w:left="1154" w:top="699" w:right="1440" w:bottom="1440" w:gutter="0" w:footer="0" w:header="0"/>
        </w:sectPr>
      </w:pPr>
    </w:p>
    <w:bookmarkStart w:id="18" w:name="page19"/>
    <w:bookmarkEnd w:id="18"/>
    <w:p>
      <w:pPr>
        <w:ind w:right="2439"/>
        <w:spacing w:after="0"/>
        <w:rPr>
          <w:sz w:val="20"/>
          <w:szCs w:val="20"/>
          <w:color w:val="auto"/>
        </w:rPr>
      </w:pPr>
      <w:r>
        <w:rPr>
          <w:rFonts w:ascii="Courier New" w:cs="Courier New" w:eastAsia="Courier New" w:hAnsi="Courier New"/>
          <w:sz w:val="17"/>
          <w:szCs w:val="17"/>
          <w:color w:val="auto"/>
        </w:rPr>
        <w:t>accountability for assets is compared with existing assets at reasonable intervals and appropriate action is taken with respect to any differences;</w:t>
      </w:r>
    </w:p>
    <w:p>
      <w:pPr>
        <w:spacing w:after="0" w:line="200" w:lineRule="exact"/>
        <w:rPr>
          <w:sz w:val="20"/>
          <w:szCs w:val="20"/>
          <w:color w:val="auto"/>
        </w:rPr>
      </w:pPr>
    </w:p>
    <w:p>
      <w:pPr>
        <w:ind w:right="2119" w:firstLine="904"/>
        <w:spacing w:after="0" w:line="242" w:lineRule="auto"/>
        <w:tabs>
          <w:tab w:leader="none" w:pos="14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established and maintains disclosure controls and procedures (as such term is defined in Rule 13a-15(e) and 15d-15(e) under the Exchange Act) as required by and in compliance in all material respects with the Exchange Act; the principal executive officers (or their equivalents) and principal financial officers (or their equivalents) of the Company have made all certifications required by the Sarbanes-Oxley Act of 2002 and any related rules and regulations promulgated by the Commission as currently in effect (the "Sarbanes-Oxley Act"), and the statements contained in any such certification are complete and correct in all material respects; there is and has been no failure on the part of the Company and any of the Company's directors or officers, in their capacities as such, to comply with any provision of the Sarbanes-Oxley Act of 2002, including Section 402 related to loans and Sections 302 and 906 related to certifications;</w:t>
      </w:r>
    </w:p>
    <w:p>
      <w:pPr>
        <w:spacing w:after="0" w:line="198" w:lineRule="exact"/>
        <w:rPr>
          <w:rFonts w:ascii="Courier New" w:cs="Courier New" w:eastAsia="Courier New" w:hAnsi="Courier New"/>
          <w:sz w:val="17"/>
          <w:szCs w:val="17"/>
          <w:color w:val="auto"/>
        </w:rPr>
      </w:pPr>
    </w:p>
    <w:p>
      <w:pPr>
        <w:ind w:right="2119" w:firstLine="904"/>
        <w:spacing w:after="0" w:line="242" w:lineRule="auto"/>
        <w:tabs>
          <w:tab w:leader="none" w:pos="14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made available to the Agents (including through the public availability of documents filed on EDGAR) true, correct, and complete copies of all documentation pertaining to any extension of credit in the form of a personal loan made, directly or indirectly, by the Company to any director or executive officer of the Company, or, to the knowledge of the Company, any family member or affiliate of any director or executive officer of the Company; and since January 1, 2004, the Company has not, directly or indirectly, including through any Subsidiary: (i) extended credit, arranged to extend credit, or renewed any extension of credit, in the form of a personal loan, to or for any director or executive officer of the Company, or, to the knowledge of the Company, to or for any family member or affiliate of any director or executive officer of the Company; or, (ii) made any material modification, including any renewal thereof, to any term of any personal loan to any director or executive officer of the Company, or, to the knowledge of the Company, any family member or affiliate of any director or executive officer, which loan was outstanding on the date of this Agreement;</w:t>
      </w:r>
    </w:p>
    <w:p>
      <w:pPr>
        <w:spacing w:after="0" w:line="199" w:lineRule="exact"/>
        <w:rPr>
          <w:rFonts w:ascii="Courier New" w:cs="Courier New" w:eastAsia="Courier New" w:hAnsi="Courier New"/>
          <w:sz w:val="17"/>
          <w:szCs w:val="17"/>
          <w:color w:val="auto"/>
        </w:rPr>
      </w:pPr>
    </w:p>
    <w:p>
      <w:pPr>
        <w:ind w:right="2119" w:firstLine="904"/>
        <w:spacing w:after="0" w:line="242" w:lineRule="auto"/>
        <w:tabs>
          <w:tab w:leader="none" w:pos="14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Foreign Corrupt Practice Act of 1977, as amended and the rules and regulations thereunder (the "FCPA") and the Company and its Subsidiaries have conducted their business in compliance with the FCPA and have instituted and maintain policies and procedures designed to ensure, and which are reasonably expected to continue to ensure, continued compliance therewith;</w:t>
      </w:r>
    </w:p>
    <w:p>
      <w:pPr>
        <w:spacing w:after="0" w:line="197" w:lineRule="exact"/>
        <w:rPr>
          <w:rFonts w:ascii="Courier New" w:cs="Courier New" w:eastAsia="Courier New" w:hAnsi="Courier New"/>
          <w:sz w:val="17"/>
          <w:szCs w:val="17"/>
          <w:color w:val="auto"/>
        </w:rPr>
      </w:pPr>
    </w:p>
    <w:p>
      <w:pPr>
        <w:ind w:right="2219" w:firstLine="904"/>
        <w:spacing w:after="0" w:line="241" w:lineRule="auto"/>
        <w:tabs>
          <w:tab w:leader="none" w:pos="14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statistical and market-related data included in the Registration Statement or the Prospectus are based on or derived from sources that the Company believes to be reliable and accurate, and the Company has obtained the written consent to the use of such data from such sources to the extent required;</w:t>
      </w:r>
    </w:p>
    <w:p>
      <w:pPr>
        <w:spacing w:after="0" w:line="199" w:lineRule="exact"/>
        <w:rPr>
          <w:rFonts w:ascii="Courier New" w:cs="Courier New" w:eastAsia="Courier New" w:hAnsi="Courier New"/>
          <w:sz w:val="17"/>
          <w:szCs w:val="17"/>
          <w:color w:val="auto"/>
        </w:rPr>
      </w:pPr>
    </w:p>
    <w:p>
      <w:pPr>
        <w:ind w:right="2119" w:firstLine="904"/>
        <w:spacing w:after="0" w:line="241" w:lineRule="auto"/>
        <w:tabs>
          <w:tab w:leader="none" w:pos="14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the Subsidiaries nor, to the Company's knowledge, any employee or agent of the Company or the Subsidiaries (acting on behalf of the Company or the Subsidiary) has made any payment of funds of the Company or the Subsidiaries or received or retained any funds in violation of any law, rule or regulation, which payment, receipt or retention of funds is of a character required to be disclosed in the Registration Statement or the Prospectus; and</w:t>
      </w:r>
    </w:p>
    <w:p>
      <w:pPr>
        <w:spacing w:after="0" w:line="395"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299"/>
          </w:cols>
          <w:pgMar w:left="1160" w:top="699" w:right="1440" w:bottom="1440" w:gutter="0" w:footer="0" w:header="0"/>
        </w:sectPr>
      </w:pPr>
    </w:p>
    <w:bookmarkStart w:id="19" w:name="page20"/>
    <w:bookmarkEnd w:id="19"/>
    <w:p>
      <w:pPr>
        <w:ind w:left="920" w:right="2219" w:firstLine="904"/>
        <w:spacing w:after="0" w:line="241" w:lineRule="auto"/>
        <w:tabs>
          <w:tab w:leader="none" w:pos="233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the Subsidiaries nor, to the Company's knowledge, any of their respective directors, officers, affiliates or controlling persons has taken, directly or indirectly, any action designed, or which has constituted or would reasonably be expected to cause or result in, under the Exchange Act or otherwise, the stabilization or manipulation of the price of any security of the Company to facilitate the sale or resale of the Shares in violation of applicable law.</w:t>
      </w:r>
    </w:p>
    <w:p>
      <w:pPr>
        <w:spacing w:after="0" w:line="203"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In addition, any certificate signed by any officer of the Company and delivered to the Agents or counsel for the Agents in connection with the Closing shall be deemed to be a representation and warranty by the Company as to matters covered thereby, to the Agents.</w:t>
      </w:r>
    </w:p>
    <w:p>
      <w:pPr>
        <w:spacing w:after="0" w:line="197" w:lineRule="exact"/>
        <w:rPr>
          <w:sz w:val="20"/>
          <w:szCs w:val="20"/>
          <w:color w:val="auto"/>
        </w:rPr>
      </w:pPr>
    </w:p>
    <w:p>
      <w:pPr>
        <w:ind w:left="1220" w:hanging="306"/>
        <w:spacing w:after="0"/>
        <w:tabs>
          <w:tab w:leader="none" w:pos="1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Covenants of the Company. The Company hereby agrees:</w:t>
      </w:r>
    </w:p>
    <w:p>
      <w:pPr>
        <w:spacing w:after="0" w:line="198" w:lineRule="exact"/>
        <w:rPr>
          <w:rFonts w:ascii="Courier New" w:cs="Courier New" w:eastAsia="Courier New" w:hAnsi="Courier New"/>
          <w:sz w:val="17"/>
          <w:szCs w:val="17"/>
          <w:color w:val="auto"/>
        </w:rPr>
      </w:pPr>
    </w:p>
    <w:p>
      <w:pPr>
        <w:ind w:left="920" w:right="2119" w:firstLine="904"/>
        <w:spacing w:after="0" w:line="242" w:lineRule="auto"/>
        <w:tabs>
          <w:tab w:leader="none" w:pos="2234"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furnish such information as may be required and otherwise to cooperate in qualifying the Shares for offering and sale by the Company under the securities or blue sky laws of such states or other jurisdictions as the Agents may designate and to maintain such qualifications in effect so long as the Agents may request for the distribution of the Shares; provided that the Company shall not be required to qualify as a foreign corporation, to consent to the service of process under the laws of any such jurisdiction (except service of process with respect to the offering and sale of the Shares by the Company) or to subject itself to taxation in respect of doing business in any jurisdiction in which it is not otherwise subject; and to promptly advise the Agents of the receipt by the Company of any notification with respect to the suspension of the qualification of the Shares for sale in any jurisdiction or the initiation or threatening of any proceeding for such purpose;</w:t>
      </w:r>
    </w:p>
    <w:p>
      <w:pPr>
        <w:spacing w:after="0" w:line="198" w:lineRule="exact"/>
        <w:rPr>
          <w:rFonts w:ascii="Courier New" w:cs="Courier New" w:eastAsia="Courier New" w:hAnsi="Courier New"/>
          <w:sz w:val="17"/>
          <w:szCs w:val="17"/>
          <w:color w:val="auto"/>
        </w:rPr>
      </w:pPr>
    </w:p>
    <w:p>
      <w:pPr>
        <w:ind w:left="920" w:right="2119" w:firstLine="904"/>
        <w:spacing w:after="0" w:line="242" w:lineRule="auto"/>
        <w:tabs>
          <w:tab w:leader="none" w:pos="2234"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available to the Agents electronic copies of the Basic Prospectus, any Preliminary Prospectus Supplement and the Prospectus (in each case as amended or supplemented if the Company shall have made any amendments or supplements thereto after the respective dates of such documents); to furnish the Agents, without charge, during the period beginning on the date hereof and ending on the later of the time of purchase or such date, as in the opinion of counsel for the Agents, the Prospectus Supplement is no longer required by law to be delivered in connection with sales by the Agents, as many copies of the Prospectus and any amendments and supplements thereto (including any Incorporated Documents) as the Agents may reasonably request.</w:t>
      </w:r>
    </w:p>
    <w:p>
      <w:pPr>
        <w:spacing w:after="0" w:line="197" w:lineRule="exact"/>
        <w:rPr>
          <w:rFonts w:ascii="Courier New" w:cs="Courier New" w:eastAsia="Courier New" w:hAnsi="Courier New"/>
          <w:sz w:val="17"/>
          <w:szCs w:val="17"/>
          <w:color w:val="auto"/>
        </w:rPr>
      </w:pPr>
    </w:p>
    <w:p>
      <w:pPr>
        <w:ind w:left="920" w:right="2219" w:firstLine="904"/>
        <w:spacing w:after="0" w:line="241" w:lineRule="auto"/>
        <w:tabs>
          <w:tab w:leader="none" w:pos="2234"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the time this Agreement is executed and delivered, it is necessary for the Registration Statement or any post-effective amendment thereto to be declared effective before the Shares may be sold in the Offering, the Company will endeavor to cause the Registration Statement or such post-effective amendment to become effective as soon as possible and the Company will advise the Agents promptly and, if requested by the Agents, will confirm such advice in writing when the Registration Statement and any such post-effective amendment thereto has become effective;</w:t>
      </w:r>
    </w:p>
    <w:p>
      <w:pPr>
        <w:spacing w:after="0" w:line="204" w:lineRule="exact"/>
        <w:rPr>
          <w:rFonts w:ascii="Courier New" w:cs="Courier New" w:eastAsia="Courier New" w:hAnsi="Courier New"/>
          <w:sz w:val="17"/>
          <w:szCs w:val="17"/>
          <w:color w:val="auto"/>
        </w:rPr>
      </w:pPr>
    </w:p>
    <w:p>
      <w:pPr>
        <w:ind w:left="920" w:right="2119" w:firstLine="904"/>
        <w:spacing w:after="0" w:line="242" w:lineRule="auto"/>
        <w:tabs>
          <w:tab w:leader="none" w:pos="2234"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advise the Agents promptly, confirming such advice in writing, of any request by the Commission, made prior to the time of purchase, for amendments or supplements to the Registration Statement or the Prospectus or for additional information with respect thereto, or of notice of institution of proceedings for, or the entry of a stop order, made prior to the time of purchase, suspending the effectiveness of the Registration Statement and, if the Commission should enter a stop order prior to the time of purchase suspending the effectiveness of the Registration Statement, to use its best efforts to obtain the lifting or removal of such order as soon as possible; to advise the Agents promptly of any proposal to amend or supplement the</w:t>
      </w:r>
    </w:p>
    <w:p>
      <w:pPr>
        <w:spacing w:after="0" w:line="39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9" w:right="1440" w:bottom="1440" w:gutter="0" w:footer="0" w:header="0"/>
        </w:sectPr>
      </w:pPr>
    </w:p>
    <w:bookmarkStart w:id="20" w:name="page21"/>
    <w:bookmarkEnd w:id="20"/>
    <w:p>
      <w:pPr>
        <w:ind w:right="2119"/>
        <w:spacing w:after="0" w:line="241" w:lineRule="auto"/>
        <w:rPr>
          <w:sz w:val="20"/>
          <w:szCs w:val="20"/>
          <w:color w:val="auto"/>
        </w:rPr>
      </w:pPr>
      <w:r>
        <w:rPr>
          <w:rFonts w:ascii="Courier New" w:cs="Courier New" w:eastAsia="Courier New" w:hAnsi="Courier New"/>
          <w:sz w:val="17"/>
          <w:szCs w:val="17"/>
          <w:color w:val="auto"/>
        </w:rPr>
        <w:t>Registration Statement or the Prospectus, made prior to the time of purchase, including by filing any documents that would be incorporated therein by reference, to provide the Agents and their counsel copies of any such documents for review and comment a reasonable amount of time prior to any proposed filing;</w:t>
      </w:r>
    </w:p>
    <w:p>
      <w:pPr>
        <w:spacing w:after="0" w:line="200" w:lineRule="exact"/>
        <w:rPr>
          <w:sz w:val="20"/>
          <w:szCs w:val="20"/>
          <w:color w:val="auto"/>
        </w:rPr>
      </w:pPr>
    </w:p>
    <w:p>
      <w:pPr>
        <w:ind w:right="2119" w:firstLine="904"/>
        <w:spacing w:after="0" w:line="241" w:lineRule="auto"/>
        <w:tabs>
          <w:tab w:leader="none" w:pos="131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4(d) hereof, to file promptly all reports and any definitive proxy or information statement required to be filed by the Company with the Commission in order to comply with the Exchange Act subsequent to the date of the Prospectus and for so long as the delivery of a prospectus is required to be delivered in connection with the Offering;</w:t>
      </w:r>
    </w:p>
    <w:p>
      <w:pPr>
        <w:spacing w:after="0" w:line="200" w:lineRule="exact"/>
        <w:rPr>
          <w:rFonts w:ascii="Courier New" w:cs="Courier New" w:eastAsia="Courier New" w:hAnsi="Courier New"/>
          <w:sz w:val="17"/>
          <w:szCs w:val="17"/>
          <w:color w:val="auto"/>
        </w:rPr>
      </w:pPr>
    </w:p>
    <w:p>
      <w:pPr>
        <w:ind w:right="2119" w:firstLine="904"/>
        <w:spacing w:after="0" w:line="242" w:lineRule="auto"/>
        <w:tabs>
          <w:tab w:leader="none" w:pos="131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advise the Agents promptly of the happening of any event within the time during which a prospectus for the Offering is required to be delivered under the Act, which requires the making of any change in the Prospectus then being used so that the Prospectus would not include an untrue statement of material fact or omit to state a material fact necessary to make the statements therein, in the light of the circumstances under which they are made, not misleading, and, during such time, subject to Section 4(d) hereof, to prepare and furnish, at the Company's expense, to the Agents promptly such amendments or supplements to such Prospectus as may be necessary to reflect any such change; before amending the Registration Statement or supplementing any Preliminary Prospectus Supplement or the Prospectus in connection with the Offering, the Company will furnish you with a copy of such proposed amendment or supplement and will not file such amendment or supplement to which you reasonably object;</w:t>
      </w:r>
    </w:p>
    <w:p>
      <w:pPr>
        <w:spacing w:after="0" w:line="198" w:lineRule="exact"/>
        <w:rPr>
          <w:rFonts w:ascii="Courier New" w:cs="Courier New" w:eastAsia="Courier New" w:hAnsi="Courier New"/>
          <w:sz w:val="17"/>
          <w:szCs w:val="17"/>
          <w:color w:val="auto"/>
        </w:rPr>
      </w:pPr>
    </w:p>
    <w:p>
      <w:pPr>
        <w:ind w:right="2319" w:firstLine="904"/>
        <w:spacing w:after="0" w:line="241" w:lineRule="auto"/>
        <w:tabs>
          <w:tab w:leader="none" w:pos="131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generally available to its security holders, and to deliver to the Agents,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w:t>
      </w:r>
    </w:p>
    <w:p>
      <w:pPr>
        <w:spacing w:after="0" w:line="201" w:lineRule="exact"/>
        <w:rPr>
          <w:rFonts w:ascii="Courier New" w:cs="Courier New" w:eastAsia="Courier New" w:hAnsi="Courier New"/>
          <w:sz w:val="17"/>
          <w:szCs w:val="17"/>
          <w:color w:val="auto"/>
        </w:rPr>
      </w:pPr>
    </w:p>
    <w:p>
      <w:pPr>
        <w:ind w:right="2319" w:firstLine="904"/>
        <w:spacing w:after="0"/>
        <w:tabs>
          <w:tab w:leader="none" w:pos="131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so long as a prospectus is required to be delivered under the Act in connection with the Offering, to comply with all the undertakings contained in the Registration Statement;</w:t>
      </w:r>
    </w:p>
    <w:p>
      <w:pPr>
        <w:spacing w:after="0" w:line="200" w:lineRule="exact"/>
        <w:rPr>
          <w:rFonts w:ascii="Courier New" w:cs="Courier New" w:eastAsia="Courier New" w:hAnsi="Courier New"/>
          <w:sz w:val="17"/>
          <w:szCs w:val="17"/>
          <w:color w:val="auto"/>
        </w:rPr>
      </w:pPr>
    </w:p>
    <w:p>
      <w:pPr>
        <w:ind w:right="2319" w:firstLine="904"/>
        <w:spacing w:after="0"/>
        <w:tabs>
          <w:tab w:leader="none" w:pos="131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apply the net proceeds from the sale of the Shares in the manner set forth under the caption "Use of Proceeds" in the Prospectus;</w:t>
      </w:r>
    </w:p>
    <w:p>
      <w:pPr>
        <w:spacing w:after="0" w:line="200" w:lineRule="exact"/>
        <w:rPr>
          <w:rFonts w:ascii="Courier New" w:cs="Courier New" w:eastAsia="Courier New" w:hAnsi="Courier New"/>
          <w:sz w:val="17"/>
          <w:szCs w:val="17"/>
          <w:color w:val="auto"/>
        </w:rPr>
      </w:pPr>
    </w:p>
    <w:p>
      <w:pPr>
        <w:ind w:right="2119" w:firstLine="904"/>
        <w:spacing w:after="0" w:line="258" w:lineRule="auto"/>
        <w:tabs>
          <w:tab w:leader="none" w:pos="131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to reimburse the Agents for expenses in accordance with Section 4 of the Engagement Letter and to pay all of the Company's costs, expenses, fees and taxes in connection with (i) the preparation and filing of the Registration Statement, the Basic Prospectus, each Preliminary Prospectus Supplement and Prospectus Supplement, and any amendments or supplements thereto, and the printing and furnishing of copies of each thereof to the Agents (including costs of mailing and shipment), (ii) the registration, issue, sale and delivery of the Shares including any stock or transfer taxes and stamp or similar duties payable by the Company upon the sale, issuance or delivery of the Shares sold by the Company in the Offering, (iii) the producing, word processing and/or printing of this Agreement, any Purchase Agreements, any Powers of Attorney and any closing documents (including compilations thereof) and the reproduction and/or printing and furnishing of copies of each thereof to the Agents and the Purchasers, (iv) the qualification of the Shares for offering and sale under state or foreign laws and the determination of their eligibility for investment under state or foreign law as aforesaid (including the legal fees and filing fees and other disbursements of counsel for the Agents) and the printing and furnishing of copies of any blue sky surveys or legal investment surveys to the Agents and to dealers, (v) any qualification of the Shares for quotation on Nasdaq and any</w:t>
      </w:r>
    </w:p>
    <w:p>
      <w:pPr>
        <w:spacing w:after="0" w:line="378"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299"/>
          </w:cols>
          <w:pgMar w:left="1160" w:top="699" w:right="1440" w:bottom="1440" w:gutter="0" w:footer="0" w:header="0"/>
        </w:sectPr>
      </w:pPr>
    </w:p>
    <w:bookmarkStart w:id="21" w:name="page22"/>
    <w:bookmarkEnd w:id="21"/>
    <w:p>
      <w:pPr>
        <w:ind w:left="6" w:right="2219"/>
        <w:spacing w:after="0" w:line="241" w:lineRule="auto"/>
        <w:rPr>
          <w:sz w:val="20"/>
          <w:szCs w:val="20"/>
          <w:color w:val="auto"/>
        </w:rPr>
      </w:pPr>
      <w:r>
        <w:rPr>
          <w:rFonts w:ascii="Courier New" w:cs="Courier New" w:eastAsia="Courier New" w:hAnsi="Courier New"/>
          <w:sz w:val="17"/>
          <w:szCs w:val="17"/>
          <w:color w:val="auto"/>
        </w:rPr>
        <w:t>registration thereof under the Exchange Act, (vi) the fees and disbursements of any transfer agent or registrar for the Shares, (vii) the costs and expenses of the Company relating to any presentations or meetings undertaken in connection with the marketing of the offering and sale of the Shares, and (viii) the performance of the Company's other obligations hereunder;</w:t>
      </w:r>
    </w:p>
    <w:p>
      <w:pPr>
        <w:spacing w:after="0" w:line="201" w:lineRule="exact"/>
        <w:rPr>
          <w:sz w:val="20"/>
          <w:szCs w:val="20"/>
          <w:color w:val="auto"/>
        </w:rPr>
      </w:pPr>
    </w:p>
    <w:p>
      <w:pPr>
        <w:ind w:left="6" w:right="2219" w:firstLine="904"/>
        <w:spacing w:after="0" w:line="241" w:lineRule="auto"/>
        <w:tabs>
          <w:tab w:leader="none" w:pos="1321"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the completion of the distribution of the Shares in the Offering, not to take, directly or indirectly, any action designed to or that would constitute or that would reasonably be expected to cause or result in, under the Exchange Act or otherwise, stabilization or manipulation of the price of any security of the Company to facilitate the sale or resale of the Shares; and</w:t>
      </w:r>
    </w:p>
    <w:p>
      <w:pPr>
        <w:spacing w:after="0" w:line="200" w:lineRule="exact"/>
        <w:rPr>
          <w:rFonts w:ascii="Courier New" w:cs="Courier New" w:eastAsia="Courier New" w:hAnsi="Courier New"/>
          <w:sz w:val="17"/>
          <w:szCs w:val="17"/>
          <w:color w:val="auto"/>
        </w:rPr>
      </w:pPr>
    </w:p>
    <w:p>
      <w:pPr>
        <w:ind w:left="6" w:right="2539" w:firstLine="904"/>
        <w:spacing w:after="0"/>
        <w:tabs>
          <w:tab w:leader="none" w:pos="1321"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timely, and in any event prior to the time of purchase, file this Agreement with the Commission on an appropriate form.</w:t>
      </w:r>
    </w:p>
    <w:p>
      <w:pPr>
        <w:spacing w:after="0" w:line="200" w:lineRule="exact"/>
        <w:rPr>
          <w:rFonts w:ascii="Courier New" w:cs="Courier New" w:eastAsia="Courier New" w:hAnsi="Courier New"/>
          <w:sz w:val="17"/>
          <w:szCs w:val="17"/>
          <w:color w:val="auto"/>
        </w:rPr>
      </w:pPr>
    </w:p>
    <w:p>
      <w:pPr>
        <w:ind w:left="-914" w:right="2119" w:firstLine="914"/>
        <w:spacing w:after="0" w:line="241" w:lineRule="auto"/>
        <w:tabs>
          <w:tab w:leader="none" w:pos="299"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of Agents' Obligations. The obligations of the Agents hereunder are subject to the accuracy of the representations and warranties of the Company contained herein on the date hereof and at the time of purchase and the performance by the Company of its obligations hereunder and to the following additional conditions precedent:</w:t>
      </w:r>
    </w:p>
    <w:p>
      <w:pPr>
        <w:spacing w:after="0" w:line="199" w:lineRule="exact"/>
        <w:rPr>
          <w:rFonts w:ascii="Courier New" w:cs="Courier New" w:eastAsia="Courier New" w:hAnsi="Courier New"/>
          <w:sz w:val="17"/>
          <w:szCs w:val="17"/>
          <w:color w:val="auto"/>
        </w:rPr>
      </w:pPr>
    </w:p>
    <w:p>
      <w:pPr>
        <w:ind w:left="6" w:right="2439" w:firstLine="904"/>
        <w:spacing w:after="0" w:line="241" w:lineRule="auto"/>
        <w:tabs>
          <w:tab w:leader="none" w:pos="132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furnish to the Agents at the time of purchase an opinion of Ropes &amp; Gray LLP, special counsel for the Company, addressed to the Agents, and dated the time of purchase, in form and substance as set forth on Exhibit B hereto. ---------</w:t>
      </w:r>
    </w:p>
    <w:p>
      <w:pPr>
        <w:spacing w:after="0" w:line="198" w:lineRule="exact"/>
        <w:rPr>
          <w:rFonts w:ascii="Courier New" w:cs="Courier New" w:eastAsia="Courier New" w:hAnsi="Courier New"/>
          <w:sz w:val="17"/>
          <w:szCs w:val="17"/>
          <w:color w:val="auto"/>
        </w:rPr>
      </w:pPr>
    </w:p>
    <w:p>
      <w:pPr>
        <w:ind w:left="6" w:right="2119" w:firstLine="904"/>
        <w:spacing w:after="0" w:line="241" w:lineRule="auto"/>
        <w:tabs>
          <w:tab w:leader="none" w:pos="132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Agents shall have received from Grant Thornton LLP letters dated, respectively, the date of this Agreement and the time of purchase, and addressed to the Agents in the form and substance heretofore approved by, or otherwise satisfactory to, the Agents.</w:t>
      </w:r>
    </w:p>
    <w:p>
      <w:pPr>
        <w:spacing w:after="0" w:line="198" w:lineRule="exact"/>
        <w:rPr>
          <w:rFonts w:ascii="Courier New" w:cs="Courier New" w:eastAsia="Courier New" w:hAnsi="Courier New"/>
          <w:sz w:val="17"/>
          <w:szCs w:val="17"/>
          <w:color w:val="auto"/>
        </w:rPr>
      </w:pPr>
    </w:p>
    <w:p>
      <w:pPr>
        <w:ind w:left="6" w:right="2119" w:firstLine="904"/>
        <w:spacing w:after="0" w:line="241" w:lineRule="auto"/>
        <w:tabs>
          <w:tab w:leader="none" w:pos="132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Agents shall have received from Cooley Godward LLP, counsel for the Agents, such opinion or opinions dated the time of purchase and addressed to the Agents, with respect to the issuance and sale of the Shares, the Registration Statement, the Prospectus and other related matters as the Agents may reasonably require, and the Company shall have furnished to such counsel such documents as they may reasonably request for the purpose of enabling them to pass upon such matters.</w:t>
      </w:r>
    </w:p>
    <w:p>
      <w:pPr>
        <w:spacing w:after="0" w:line="203" w:lineRule="exact"/>
        <w:rPr>
          <w:rFonts w:ascii="Courier New" w:cs="Courier New" w:eastAsia="Courier New" w:hAnsi="Courier New"/>
          <w:sz w:val="17"/>
          <w:szCs w:val="17"/>
          <w:color w:val="auto"/>
        </w:rPr>
      </w:pPr>
    </w:p>
    <w:p>
      <w:pPr>
        <w:ind w:left="6" w:right="2119" w:firstLine="904"/>
        <w:spacing w:after="0" w:line="241" w:lineRule="auto"/>
        <w:tabs>
          <w:tab w:leader="none" w:pos="132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Prospectus or amendment or supplement to the Registration Statement or the Prospectus, including documents deemed to be incorporated by reference therein, shall have been filed to which you reasonably object in writing.</w:t>
      </w:r>
    </w:p>
    <w:p>
      <w:pPr>
        <w:spacing w:after="0" w:line="198" w:lineRule="exact"/>
        <w:rPr>
          <w:rFonts w:ascii="Courier New" w:cs="Courier New" w:eastAsia="Courier New" w:hAnsi="Courier New"/>
          <w:sz w:val="17"/>
          <w:szCs w:val="17"/>
          <w:color w:val="auto"/>
        </w:rPr>
      </w:pPr>
    </w:p>
    <w:p>
      <w:pPr>
        <w:ind w:left="6" w:right="2119" w:firstLine="904"/>
        <w:spacing w:after="0" w:line="258" w:lineRule="auto"/>
        <w:tabs>
          <w:tab w:leader="none" w:pos="132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time of purchase, (i) the Prospectus Supplement shall have been duly filed with the Commission in accordance with Rule 424(b); (ii) no stop order with respect to the effectiveness of the Registration Statement shall have been issued under the Act or proceedings initiated under Section 8(d) or 8(e) of the Act; (iii) no order preventing or suspending the use of the Prospectus Supplement shall have been issued and no proceeding for that purpose shall have been initiated or threatened by the Commission; (iv) no order having the effect of ceasing or suspending the distribution of the Shares or any other securities of the Company shall have been issued by the Commission or Nasdaq and no proceedings for that purpose shall have been instituted or shall be pending or, to the knowledge of the Company, contemplated by the Commission or Nasdaq; (v) the Registration Statement and all amendments thereto shall not contain an untrue statement of a material fact or omit to state a material fact required to be stated therein or necessary to make the statements therein not misleading; and (vi) the Prospectus and all amendments or supplements thereto shall not contain an untrue statement of a material fact or</w:t>
      </w:r>
    </w:p>
    <w:p>
      <w:pPr>
        <w:spacing w:after="0" w:line="380"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305"/>
          </w:cols>
          <w:pgMar w:left="1154" w:top="699" w:right="1440" w:bottom="1440" w:gutter="0" w:footer="0" w:header="0"/>
        </w:sectPr>
      </w:pPr>
    </w:p>
    <w:bookmarkStart w:id="22" w:name="page23"/>
    <w:bookmarkEnd w:id="22"/>
    <w:p>
      <w:pPr>
        <w:ind w:left="920" w:right="3039"/>
        <w:spacing w:after="0"/>
        <w:rPr>
          <w:sz w:val="20"/>
          <w:szCs w:val="20"/>
          <w:color w:val="auto"/>
        </w:rPr>
      </w:pPr>
      <w:r>
        <w:rPr>
          <w:rFonts w:ascii="Courier New" w:cs="Courier New" w:eastAsia="Courier New" w:hAnsi="Courier New"/>
          <w:sz w:val="17"/>
          <w:szCs w:val="17"/>
          <w:color w:val="auto"/>
        </w:rPr>
        <w:t>omit to state a material fact required to be stated therein or necessary to make the statements therein, in the light of the circumstances under which they are made, not misleading.</w:t>
      </w:r>
    </w:p>
    <w:p>
      <w:pPr>
        <w:spacing w:after="0" w:line="200" w:lineRule="exact"/>
        <w:rPr>
          <w:sz w:val="20"/>
          <w:szCs w:val="20"/>
          <w:color w:val="auto"/>
        </w:rPr>
      </w:pPr>
    </w:p>
    <w:p>
      <w:pPr>
        <w:ind w:left="920" w:right="2219" w:firstLine="904"/>
        <w:spacing w:after="0" w:line="241" w:lineRule="auto"/>
        <w:tabs>
          <w:tab w:leader="none" w:pos="2234"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Between the time of execution of this Agreement and the time of purchase, no material adverse change or any development involving a prospective material adverse change in business, properties, management, condition, financial or otherwise, operations, prospects or results of operation of the Company and the Subsidiaries taken as a whole shall occur or become known, which, in the sole judgment of the Agents, makes it impracticable or inadvisable to proceed with the Offering on the terms and in the manner contemplated by the Prospectus.</w:t>
      </w:r>
    </w:p>
    <w:p>
      <w:pPr>
        <w:spacing w:after="0" w:line="204" w:lineRule="exact"/>
        <w:rPr>
          <w:rFonts w:ascii="Courier New" w:cs="Courier New" w:eastAsia="Courier New" w:hAnsi="Courier New"/>
          <w:sz w:val="17"/>
          <w:szCs w:val="17"/>
          <w:color w:val="auto"/>
        </w:rPr>
      </w:pPr>
    </w:p>
    <w:p>
      <w:pPr>
        <w:ind w:left="920" w:right="2119" w:firstLine="904"/>
        <w:spacing w:after="0" w:line="241" w:lineRule="auto"/>
        <w:tabs>
          <w:tab w:leader="none" w:pos="2234"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furnished to the Agents a certificate of the Company, signed by the Chairman of the Board or the President and the principal financial or accounting officer of the Company, dated the date of the time of purchase, to the effect that the signers of such certificate have carefully examined the Registration Statement, the Prospectus, any supplements to the Prospectus and this Agreement and that to the knowledge of such person after reasonable inquiry:</w:t>
      </w:r>
    </w:p>
    <w:p>
      <w:pPr>
        <w:spacing w:after="0" w:line="203" w:lineRule="exact"/>
        <w:rPr>
          <w:rFonts w:ascii="Courier New" w:cs="Courier New" w:eastAsia="Courier New" w:hAnsi="Courier New"/>
          <w:sz w:val="17"/>
          <w:szCs w:val="17"/>
          <w:color w:val="auto"/>
        </w:rPr>
      </w:pPr>
    </w:p>
    <w:p>
      <w:pPr>
        <w:ind w:left="3640" w:right="2219" w:hanging="906"/>
        <w:spacing w:after="0" w:line="241" w:lineRule="auto"/>
        <w:tabs>
          <w:tab w:leader="none" w:pos="3640"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the Company in this Agreement are true and correct on and as of the time of purchase with the same effect as if made at the time of purchase and the Company has complied with all the agreements and satisfied all the conditions on its part to be performed or satisfied at or prior to the time of purchase;</w:t>
      </w:r>
    </w:p>
    <w:p>
      <w:pPr>
        <w:spacing w:after="0" w:line="204" w:lineRule="exact"/>
        <w:rPr>
          <w:rFonts w:ascii="Courier New" w:cs="Courier New" w:eastAsia="Courier New" w:hAnsi="Courier New"/>
          <w:sz w:val="17"/>
          <w:szCs w:val="17"/>
          <w:color w:val="auto"/>
        </w:rPr>
      </w:pPr>
    </w:p>
    <w:p>
      <w:pPr>
        <w:ind w:left="3640" w:right="2219" w:hanging="906"/>
        <w:spacing w:after="0" w:line="259" w:lineRule="auto"/>
        <w:tabs>
          <w:tab w:leader="none" w:pos="364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and no stop order suspending the effectiveness of the Registration Statement has been issued and no proceedings for that purpose have been instituted or, to such person's knowledge, threatened; and</w:t>
      </w:r>
    </w:p>
    <w:p>
      <w:pPr>
        <w:spacing w:after="0" w:line="187" w:lineRule="exact"/>
        <w:rPr>
          <w:rFonts w:ascii="Courier New" w:cs="Courier New" w:eastAsia="Courier New" w:hAnsi="Courier New"/>
          <w:sz w:val="16"/>
          <w:szCs w:val="16"/>
          <w:color w:val="auto"/>
        </w:rPr>
      </w:pPr>
    </w:p>
    <w:p>
      <w:pPr>
        <w:ind w:left="3640" w:right="2119" w:hanging="906"/>
        <w:spacing w:after="0" w:line="258" w:lineRule="auto"/>
        <w:tabs>
          <w:tab w:leader="none" w:pos="364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the most recent financial statements included or incorporated by reference in the Prospectus, except as disclosed in the Prospectus there has been no material adverse change or any development involving a prospective material adverse change in business, properties, management, condition, financial or otherwise, operations, prospects or results of operation of the Company and the Subsidiaries taken as a whole.</w:t>
      </w:r>
    </w:p>
    <w:p>
      <w:pPr>
        <w:spacing w:after="0" w:line="384" w:lineRule="exact"/>
        <w:rPr>
          <w:rFonts w:ascii="Courier New" w:cs="Courier New" w:eastAsia="Courier New" w:hAnsi="Courier New"/>
          <w:sz w:val="16"/>
          <w:szCs w:val="16"/>
          <w:color w:val="auto"/>
        </w:rPr>
      </w:pPr>
    </w:p>
    <w:p>
      <w:pPr>
        <w:ind w:left="920" w:right="2839" w:firstLine="904"/>
        <w:spacing w:after="0" w:line="269" w:lineRule="auto"/>
        <w:tabs>
          <w:tab w:leader="none" w:pos="223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to you such other documents and certificates as the Agents may reasonably request.</w:t>
      </w:r>
    </w:p>
    <w:p>
      <w:pPr>
        <w:spacing w:after="0" w:line="177" w:lineRule="exact"/>
        <w:rPr>
          <w:rFonts w:ascii="Courier New" w:cs="Courier New" w:eastAsia="Courier New" w:hAnsi="Courier New"/>
          <w:sz w:val="16"/>
          <w:szCs w:val="16"/>
          <w:color w:val="auto"/>
        </w:rPr>
      </w:pPr>
    </w:p>
    <w:p>
      <w:pPr>
        <w:ind w:right="2739" w:firstLine="914"/>
        <w:spacing w:after="0"/>
        <w:tabs>
          <w:tab w:leader="none" w:pos="121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of Agreement; Termination. This Agreement shall become effective when the parties hereto have executed and delivered this Agreement.</w:t>
      </w:r>
    </w:p>
    <w:p>
      <w:pPr>
        <w:spacing w:after="0" w:line="200"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The obligations of the Agents hereunder shall be subject to termination in the absolute discretion of the Agents if (x) any of the conditions specified in Section 5 have not been fulfilled as of 10:00 A.M. New York City time on the date specified in Section 2, or (y) since the time of execution of this Agreement, there shall have occurred: (i) a suspension or material limitation in trading in securities generally on the New York Stock Exchange, the American Stock Exchange or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an outbreak or escalation of hostilities or acts of terrorism involving the United States or a declaration by the United States of a national emergency or war; or (v) any other calamity or crisis or any change in</w:t>
      </w:r>
    </w:p>
    <w:p>
      <w:pPr>
        <w:spacing w:after="0" w:line="39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9" w:right="1440" w:bottom="800" w:gutter="0" w:footer="0" w:header="0"/>
        </w:sectPr>
      </w:pPr>
    </w:p>
    <w:bookmarkStart w:id="23" w:name="page24"/>
    <w:bookmarkEnd w:id="23"/>
    <w:p>
      <w:pPr>
        <w:ind w:right="2119"/>
        <w:spacing w:after="0" w:line="242" w:lineRule="auto"/>
        <w:rPr>
          <w:sz w:val="20"/>
          <w:szCs w:val="20"/>
          <w:color w:val="auto"/>
        </w:rPr>
      </w:pPr>
      <w:r>
        <w:rPr>
          <w:rFonts w:ascii="Courier New" w:cs="Courier New" w:eastAsia="Courier New" w:hAnsi="Courier New"/>
          <w:sz w:val="17"/>
          <w:szCs w:val="17"/>
          <w:color w:val="auto"/>
        </w:rPr>
        <w:t>financial, political or economic conditions in the United States or elsewhere, if the effect of any such event specified in clause (iv) or (v) in the Agents' sole judgment makes it impracticable or inadvisable to proceed with the Offering or the delivery of the Shares on the terms and in the manner contemplated in the Registration Statement and the Prospectus, or (z) since the time of execution of this Agreement, there shall have occurred any downgrading, or any notice or announcement shall have been given or made of (i) any intended or potential downgrading or (ii) any watch, review or possible change that does not indicate an affirmation or improvement in the rating accorded any securities of or guaranteed by the Company or any Subsidiary by any "nationally recognized statistical rating organization," as that term is defined in Rule 436(g)(2) under the Act.</w:t>
      </w:r>
    </w:p>
    <w:p>
      <w:pPr>
        <w:spacing w:after="0" w:line="198" w:lineRule="exact"/>
        <w:rPr>
          <w:sz w:val="20"/>
          <w:szCs w:val="20"/>
          <w:color w:val="auto"/>
        </w:rPr>
      </w:pPr>
    </w:p>
    <w:p>
      <w:pPr>
        <w:ind w:right="2539" w:firstLine="910"/>
        <w:spacing w:after="0" w:line="239" w:lineRule="auto"/>
        <w:rPr>
          <w:sz w:val="20"/>
          <w:szCs w:val="20"/>
          <w:color w:val="auto"/>
        </w:rPr>
      </w:pPr>
      <w:r>
        <w:rPr>
          <w:rFonts w:ascii="Courier New" w:cs="Courier New" w:eastAsia="Courier New" w:hAnsi="Courier New"/>
          <w:sz w:val="17"/>
          <w:szCs w:val="17"/>
          <w:color w:val="auto"/>
        </w:rPr>
        <w:t>If the Agents elect to terminate this Agreement as provided in this Section 6, the Company shall be notified promptly in writing.</w:t>
      </w:r>
    </w:p>
    <w:p>
      <w:pPr>
        <w:spacing w:after="0" w:line="200"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If the sale of the Shares, as contemplated by this Agreement, is not carried out by the Agents for any reason permitted under this Agreement or if such sale is not carried out because of any refusal, inability or failure on the part of the Company to comply with any of the terms of this Agreement, the Company shall not be under any obligation or liability under this Agreement (except to the extent provided in Sections 4(j) hereof), and neither of the Agents shall be under any obligation or liability to the Company or the other Agent under this Agreement. Under such circumstances, the Engagement Letter shall remain in full force and effect in accordance with its terms.</w:t>
      </w:r>
    </w:p>
    <w:p>
      <w:pPr>
        <w:spacing w:after="0" w:line="202" w:lineRule="exact"/>
        <w:rPr>
          <w:sz w:val="20"/>
          <w:szCs w:val="20"/>
          <w:color w:val="auto"/>
        </w:rPr>
      </w:pPr>
    </w:p>
    <w:p>
      <w:pPr>
        <w:ind w:left="1220" w:hanging="306"/>
        <w:spacing w:after="0"/>
        <w:tabs>
          <w:tab w:leader="none" w:pos="1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Indemnity and Contribution.</w:t>
      </w:r>
    </w:p>
    <w:p>
      <w:pPr>
        <w:spacing w:after="0" w:line="198" w:lineRule="exact"/>
        <w:rPr>
          <w:rFonts w:ascii="Courier New" w:cs="Courier New" w:eastAsia="Courier New" w:hAnsi="Courier New"/>
          <w:sz w:val="17"/>
          <w:szCs w:val="17"/>
          <w:color w:val="auto"/>
        </w:rPr>
      </w:pPr>
    </w:p>
    <w:p>
      <w:pPr>
        <w:ind w:right="2119" w:firstLine="1217"/>
        <w:spacing w:after="0" w:line="242" w:lineRule="auto"/>
        <w:tabs>
          <w:tab w:leader="none" w:pos="1618"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to indemnify and hold harmless each of the Agents, the directors, officers, employees and agents of such Agent and each person who controls such Agent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amendment thereof, or in the Basic Prospectus, any Preliminary Prospectus Supplement or the Prospectus, or in any amendment thereof or supplement thereto, arise out of or are based upon the omission or alleged omission to state therein a material fact required to be stated therein or necessary to make the statements therein not misleading, or arise out of or are based upon any act or failure to act or any alleged act or failure to act by the Agent in connection with, or relating in any manner to, the Shares or the Offering, and which is included as part of or referred to in any loss, claim, damage, liability or action arising out of or based upon matters covered above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Agent seeking (or whose director, officer, employee, agent or control person is seeking) indemnification specifically for inclusion therein; provided, further, that with respect to any Preliminary Prospectus Supplement, the foregoing indemnity agreement shall not inure to the benefit of any indemnified party if the Company identified the untrue statement or omission in writing to the Agents and copies of the Prospectus were timely delivered to the Agents pursuant to this Agreement and a copy of the Prospectus (as then amended or supplemented if the Company shall have furnished any amendments or supplements thereto) was not sent or given by or on behalf of either of the Agents to such person asserting such loss, claim, damage, liability or expense, if required by law to have been so delivered, at or prior to the written confirmation of the sale of the Shares to such person, and if the delivery of such Prospectus (as</w:t>
      </w:r>
    </w:p>
    <w:p>
      <w:pPr>
        <w:spacing w:after="0" w:line="3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9" w:right="1440" w:bottom="1440" w:gutter="0" w:footer="0" w:header="0"/>
        </w:sectPr>
      </w:pPr>
    </w:p>
    <w:bookmarkStart w:id="24" w:name="page25"/>
    <w:bookmarkEnd w:id="24"/>
    <w:p>
      <w:pPr>
        <w:ind w:right="2119"/>
        <w:spacing w:after="0"/>
        <w:rPr>
          <w:sz w:val="20"/>
          <w:szCs w:val="20"/>
          <w:color w:val="auto"/>
        </w:rPr>
      </w:pPr>
      <w:r>
        <w:rPr>
          <w:rFonts w:ascii="Courier New" w:cs="Courier New" w:eastAsia="Courier New" w:hAnsi="Courier New"/>
          <w:sz w:val="17"/>
          <w:szCs w:val="17"/>
          <w:color w:val="auto"/>
        </w:rPr>
        <w:t>so amended or supplemented) would have caused such loss, claim, damage, liability or expense not to have been incurred. This indemnity agreement will be in addition to any liability which the Company may otherwise have.</w:t>
      </w:r>
    </w:p>
    <w:p>
      <w:pPr>
        <w:spacing w:after="0" w:line="200" w:lineRule="exact"/>
        <w:rPr>
          <w:sz w:val="20"/>
          <w:szCs w:val="20"/>
          <w:color w:val="auto"/>
        </w:rPr>
      </w:pPr>
    </w:p>
    <w:p>
      <w:pPr>
        <w:ind w:right="2119" w:firstLine="1217"/>
        <w:spacing w:after="0" w:line="258" w:lineRule="auto"/>
        <w:tabs>
          <w:tab w:leader="none" w:pos="161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Agents agrees to indemnify and hold harmless the Company and the other Agent, as well as the respective directors, officers, employees and agents of the Company and such other Agent and each person who controls the Company or such other Agent within the meaning of either the Act or the Exchange Act, to the same extent as the foregoing indemnity from the Company to such Agent, but only with reference to written information relating to such Agent furnished to the Company by such Agent specifically for inclusion in the documents referred to in the foregoing indemnity. This indemnity agreement will be in addition to any liability which the Agents may otherwise have.</w:t>
      </w:r>
    </w:p>
    <w:p>
      <w:pPr>
        <w:spacing w:after="0" w:line="190" w:lineRule="exact"/>
        <w:rPr>
          <w:rFonts w:ascii="Courier New" w:cs="Courier New" w:eastAsia="Courier New" w:hAnsi="Courier New"/>
          <w:sz w:val="16"/>
          <w:szCs w:val="16"/>
          <w:color w:val="auto"/>
        </w:rPr>
      </w:pPr>
    </w:p>
    <w:p>
      <w:pPr>
        <w:ind w:right="2119" w:firstLine="1217"/>
        <w:spacing w:after="0" w:line="257" w:lineRule="auto"/>
        <w:tabs>
          <w:tab w:leader="none" w:pos="161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an actual or reasonably likely conflict of interest, (ii) the actual or potential defendants in, or targets of, any such action include both the indemnified party and the indemnifying party and the indemnified party shall have reasonably concluded based upon the advice of counsel that there may be legal defenses available to it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that the indemnifying party shall not, in connection with any one action or separate but substantially similar or related actions arising out of the same allegations be liable for the reasonable fees and expenses of more than one separate firm of attorneys at any time for all indemnified parties (in addition to any local counsel), which firm shall be designated in writing by the Agents if more than one indemnified party seeks indemnification under paragraph (a) above. An indemnifying party will not, without the prior written consent of the indemnified parties covered thereby, settle or compromise or consent to the entry of any judgment with respect to any pending or threatened claim, action, suit or proceeding in respect of which indemnification or contribution may be sought hereunder by the indemnified parties covered thereby (whether or not the indemnified parties are actual or potential parties to such claim or action) unless such settlement, compromise or consent includes an unconditional release of each such indemnified party from all liability arising out of such claim, action, suit or proceeding. No indemnifying party shall be liable for any settlement of any proceeding effected without its written consent, but if settled with such consent or if there be a final judgment for the plaintiff, the indemnifying party agrees to indemnify each indemnified party from and against any loss or liability by reason of such settlement or judgment if it would be otherwise obligated to do so hereunder.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9" w:right="1440" w:bottom="1440" w:gutter="0" w:footer="0" w:header="0"/>
        </w:sectPr>
      </w:pPr>
    </w:p>
    <w:bookmarkStart w:id="25" w:name="page26"/>
    <w:bookmarkEnd w:id="25"/>
    <w:p>
      <w:pPr>
        <w:ind w:left="-4" w:right="2119" w:firstLine="1217"/>
        <w:spacing w:after="0" w:line="257" w:lineRule="auto"/>
        <w:tabs>
          <w:tab w:leader="none" w:pos="1614"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indemnity provided in paragraph "(a)" or "(b)" of this Section 7 is unavailable to or insufficient to hold harmless an indemnified party for any reason, the Company and the Agents severally agree to contribute to the aggregate losses, claims, damages and liabilities (including legal or other expenses reasonably incurred in connection with investigating or defending same) (collectively "Losses") to which the Company and the Agents may be subject in such proportion as is appropriate to reflect the relative benefits received by the Company on the one hand and by the Agents on the other from the offering of the Shares. If the allocation provided by the immediately preceding sentence is unavailable for any reason, the Company and the Agents severally shall contribute in such proportion as is appropriate to reflect not only such relative benefits but also the relative fault of the Company on the one hand and of the Agents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each of the Agents shall be deemed to be equal to the total compensation of such Agent as set forth in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Agents on the other, the intent of the parties and their relative knowledge, access to information and opportunity to correct or prevent such untrue statement or omission. The Company and the Agents agree that it would not be just and equitable if contribution were determined by pro rata allocation or any other method of allocation which does not take account of the equitable considerations referred to above. Notwithstanding the provisions of this paragraph "(d)," (i) neither of the Agents shall be required to contribute any amount in excess of the amount of the placement agent fees actually received by such Agent pursuant to this Agreement, and (ii) no person guilty of fraudulent misrepresentation (within the meaning of Section 11(f) of the Act) shall be entitled to contribution from any person who was not guilty of such fraudulent misrepresentation. For purposes of this Section 7, each person who controls an Agent within the meaning of either the Act or the Exchange Act and each director, officer, employee and agent of an Agent shall have the same rights to contribution as such Agent,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rFonts w:ascii="Courier New" w:cs="Courier New" w:eastAsia="Courier New" w:hAnsi="Courier New"/>
          <w:sz w:val="16"/>
          <w:szCs w:val="16"/>
          <w:color w:val="auto"/>
        </w:rPr>
      </w:pPr>
    </w:p>
    <w:p>
      <w:pPr>
        <w:spacing w:after="0" w:line="202" w:lineRule="exact"/>
        <w:rPr>
          <w:rFonts w:ascii="Courier New" w:cs="Courier New" w:eastAsia="Courier New" w:hAnsi="Courier New"/>
          <w:sz w:val="16"/>
          <w:szCs w:val="16"/>
          <w:color w:val="auto"/>
        </w:rPr>
      </w:pPr>
    </w:p>
    <w:p>
      <w:pPr>
        <w:ind w:left="-4" w:right="2219" w:firstLine="1217"/>
        <w:spacing w:after="0" w:line="259" w:lineRule="auto"/>
        <w:tabs>
          <w:tab w:leader="none" w:pos="1614"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agreements, representations, warranties, indemnities and other statements of the Company or its officers and of the Agents set forth in or made in a certificate delivered pursuant to this Agreement will remain in full force and effect, regardless of any investigation made by or on behalf of the Agents or the Company or any of the officers, directors or controlling persons referred to in Section 7 hereof, and will survive delivery of and payment for the Shares. The provisions of Sections 4(j) and 7 hereof shall survive the termination or cancellation of this Agreement.</w:t>
      </w:r>
    </w:p>
    <w:p>
      <w:pPr>
        <w:spacing w:after="0" w:line="185" w:lineRule="exact"/>
        <w:rPr>
          <w:rFonts w:ascii="Courier New" w:cs="Courier New" w:eastAsia="Courier New" w:hAnsi="Courier New"/>
          <w:sz w:val="16"/>
          <w:szCs w:val="16"/>
          <w:color w:val="auto"/>
        </w:rPr>
      </w:pPr>
    </w:p>
    <w:p>
      <w:pPr>
        <w:ind w:left="-4" w:right="2119" w:firstLine="914"/>
        <w:spacing w:after="0" w:line="241" w:lineRule="auto"/>
        <w:tabs>
          <w:tab w:leader="none" w:pos="1209"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Furnished by the Agents. The statements set forth in the tenth paragraph relating to stabilization under the caption "Plan of Distribution" in the Prospectus Supplement constitute the only information furnished by or on behalf of the Agents as such information is referred to in Sections 3 and 7 hereof.</w:t>
      </w:r>
    </w:p>
    <w:p>
      <w:pPr>
        <w:spacing w:after="0" w:line="199" w:lineRule="exact"/>
        <w:rPr>
          <w:rFonts w:ascii="Courier New" w:cs="Courier New" w:eastAsia="Courier New" w:hAnsi="Courier New"/>
          <w:sz w:val="17"/>
          <w:szCs w:val="17"/>
          <w:color w:val="auto"/>
        </w:rPr>
      </w:pPr>
    </w:p>
    <w:p>
      <w:pPr>
        <w:ind w:left="-4" w:right="2119" w:firstLine="914"/>
        <w:spacing w:after="0" w:line="257" w:lineRule="auto"/>
        <w:tabs>
          <w:tab w:leader="none" w:pos="120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Except as otherwise herein provided, all statements, requests, notices and agreements shall be in writing and shall be delivered or sent by courier, hand delivery, mail, facsimile transmission or telegram and, if to the Agents, shall be sufficient in all respects if delivered or sent to both C.E. Unterberg, Towbin, LLC, 350 Madison Avenue, New York, NY 10017, Facsimile number (212) 389-8881, Attention: General Counsel, and Shoreline Pacific, LLC, 655 Montgomery Street, Suite 1000, San Francisco, CA 94111, Facsimile number</w:t>
      </w:r>
    </w:p>
    <w:p>
      <w:pPr>
        <w:spacing w:after="0" w:line="2" w:lineRule="exact"/>
        <w:rPr>
          <w:rFonts w:ascii="Courier New" w:cs="Courier New" w:eastAsia="Courier New" w:hAnsi="Courier New"/>
          <w:sz w:val="16"/>
          <w:szCs w:val="16"/>
          <w:color w:val="auto"/>
        </w:rPr>
      </w:pPr>
    </w:p>
    <w:p>
      <w:pPr>
        <w:ind w:left="-4" w:right="2119" w:firstLine="4"/>
        <w:spacing w:after="0"/>
        <w:tabs>
          <w:tab w:leader="none" w:pos="60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399-1366, Attention: Harlan Kleiman; and, if to the Company, shall be sufficient in all respects if delivered or sent to the Company at the offices of the</w:t>
      </w:r>
    </w:p>
    <w:p>
      <w:pPr>
        <w:spacing w:after="0" w:line="392" w:lineRule="exact"/>
        <w:rPr>
          <w:sz w:val="20"/>
          <w:szCs w:val="20"/>
          <w:color w:val="auto"/>
        </w:rPr>
      </w:pPr>
    </w:p>
    <w:p>
      <w:pPr>
        <w:ind w:left="3936"/>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5"/>
          </w:cols>
          <w:pgMar w:left="244" w:top="69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Company at 3155 Porter Drive, Palo Alto, CA 94304 Facsimile number (650)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475-3101, Attention: General Counsel.</w:t>
      </w:r>
    </w:p>
    <w:p>
      <w:pPr>
        <w:spacing w:after="0" w:line="199" w:lineRule="exact"/>
        <w:rPr>
          <w:sz w:val="20"/>
          <w:szCs w:val="20"/>
          <w:color w:val="auto"/>
        </w:rPr>
      </w:pPr>
    </w:p>
    <w:p>
      <w:pPr>
        <w:ind w:right="2319" w:firstLine="914"/>
        <w:spacing w:after="0" w:line="241" w:lineRule="auto"/>
        <w:tabs>
          <w:tab w:leader="none" w:pos="131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Construction. This Agreement and any claim, counterclaim or dispute of any kind or nature whatsoever arising out of or in any way relating to this Agreement ("Claim"),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200" w:lineRule="exact"/>
        <w:rPr>
          <w:rFonts w:ascii="Courier New" w:cs="Courier New" w:eastAsia="Courier New" w:hAnsi="Courier New"/>
          <w:sz w:val="17"/>
          <w:szCs w:val="17"/>
          <w:color w:val="auto"/>
        </w:rPr>
      </w:pPr>
    </w:p>
    <w:p>
      <w:pPr>
        <w:ind w:right="2119" w:firstLine="914"/>
        <w:spacing w:after="0" w:line="258" w:lineRule="auto"/>
        <w:tabs>
          <w:tab w:leader="none" w:pos="131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Jurisdiction.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Agents and the Company hereby consents to the jurisdiction of such courts and personal service with respect thereto. Each of the Agents and the Company hereby consents to personal jurisdiction, service and venue in any court in which any Claim is brought by any third party against either of the Agents or any indemnified party. Each of the Agents and the Company (on its behalf and, to the extent permitted by applicable law, on behalf of its shareholders and affiliates) waives all right to trial by jury in any action, proceeding or counterclaim (whether based upon contract, tort or otherwise) in any way arising out of or relating to this Agreement. Each of Agents and the Company agrees that a final judgment in any such action, proceeding or counterclaim brought in any such court shall be conclusive and binding upon the Company and the Agents and may be enforced in any other courts to the jurisdiction of which either the Company or either of the Agents is or may be subject, by suit upon such judgment.</w:t>
      </w:r>
    </w:p>
    <w:p>
      <w:pPr>
        <w:spacing w:after="0" w:line="187" w:lineRule="exact"/>
        <w:rPr>
          <w:rFonts w:ascii="Courier New" w:cs="Courier New" w:eastAsia="Courier New" w:hAnsi="Courier New"/>
          <w:sz w:val="16"/>
          <w:szCs w:val="16"/>
          <w:color w:val="auto"/>
        </w:rPr>
      </w:pPr>
    </w:p>
    <w:p>
      <w:pPr>
        <w:ind w:right="2119" w:firstLine="914"/>
        <w:spacing w:after="0" w:line="241" w:lineRule="auto"/>
        <w:tabs>
          <w:tab w:leader="none" w:pos="131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Parties at Interest. The Agreement herein set forth has been and is made solely for the benefit of the Agents and the Company and to the extent provided in Section 7 hereof the controlling persons, partners, directors and officers referred to in such section, and their respective successors, assigns, heirs, personal representatives and executors and administrators. No other person, partnership, association or corporation (including a Purchaser) shall acquire or have any right under or by virtue of this Agreement.</w:t>
      </w:r>
    </w:p>
    <w:p>
      <w:pPr>
        <w:spacing w:after="0" w:line="201" w:lineRule="exact"/>
        <w:rPr>
          <w:rFonts w:ascii="Courier New" w:cs="Courier New" w:eastAsia="Courier New" w:hAnsi="Courier New"/>
          <w:sz w:val="17"/>
          <w:szCs w:val="17"/>
          <w:color w:val="auto"/>
        </w:rPr>
      </w:pPr>
    </w:p>
    <w:p>
      <w:pPr>
        <w:ind w:right="2119" w:firstLine="914"/>
        <w:spacing w:after="0"/>
        <w:tabs>
          <w:tab w:leader="none" w:pos="131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signed by the parties in one or more counterparts which together shall constitute one and the same agreement among the parties.</w:t>
      </w:r>
    </w:p>
    <w:p>
      <w:pPr>
        <w:spacing w:after="0" w:line="200" w:lineRule="exact"/>
        <w:rPr>
          <w:rFonts w:ascii="Courier New" w:cs="Courier New" w:eastAsia="Courier New" w:hAnsi="Courier New"/>
          <w:sz w:val="17"/>
          <w:szCs w:val="17"/>
          <w:color w:val="auto"/>
        </w:rPr>
      </w:pPr>
    </w:p>
    <w:p>
      <w:pPr>
        <w:ind w:right="2439" w:firstLine="914"/>
        <w:spacing w:after="0" w:line="263" w:lineRule="auto"/>
        <w:tabs>
          <w:tab w:leader="none" w:pos="131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be binding upon the Agents and the Company and their successors and assigns and any successor or assign of the Company's and the Agents' respective businesses and/or assets.</w:t>
      </w:r>
    </w:p>
    <w:p>
      <w:pPr>
        <w:spacing w:after="0" w:line="376" w:lineRule="exact"/>
        <w:rPr>
          <w:rFonts w:ascii="Courier New" w:cs="Courier New" w:eastAsia="Courier New" w:hAnsi="Courier New"/>
          <w:sz w:val="16"/>
          <w:szCs w:val="16"/>
          <w:color w:val="auto"/>
        </w:rPr>
      </w:pPr>
    </w:p>
    <w:p>
      <w:pPr>
        <w:ind w:right="2119" w:firstLine="914"/>
        <w:spacing w:after="0" w:line="258" w:lineRule="auto"/>
        <w:tabs>
          <w:tab w:leader="none" w:pos="131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Engagement Letter. Except to the extent specifically stated herein, the Engagement Letter shall remain in full force and effect in accordance with its terms; provided, however, that to the extent any provision of this Agreement conflicts with, or addresses representations, warranties, rights or obligations also addressed by, the Engagement Letter (including without limitation, the separate letter agreement signed concurrently with the Engagement Letter and dated October 25, 2004 between the parties regarding indemnification), the provisions of this Agreement shall supersede the conflicting or duplicative provisions of the Engagement Letter solely with respect to the Offering. Except as provided in this Section 15, this Agreement constitutes the entire agreement of the parties hereto and supersedes all prior written or oral and all 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w:t>
      </w:r>
    </w:p>
    <w:p>
      <w:pPr>
        <w:spacing w:after="0" w:line="38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7" w:right="1440" w:bottom="1440" w:gutter="0" w:footer="0" w:header="0"/>
        </w:sectPr>
      </w:pPr>
    </w:p>
    <w:bookmarkStart w:id="27" w:name="page28"/>
    <w:bookmarkEnd w:id="27"/>
    <w:p>
      <w:pPr>
        <w:ind w:right="2439"/>
        <w:spacing w:after="0"/>
        <w:rPr>
          <w:sz w:val="20"/>
          <w:szCs w:val="20"/>
          <w:color w:val="auto"/>
        </w:rPr>
      </w:pPr>
      <w:r>
        <w:rPr>
          <w:rFonts w:ascii="Courier New" w:cs="Courier New" w:eastAsia="Courier New" w:hAnsi="Courier New"/>
          <w:sz w:val="17"/>
          <w:szCs w:val="17"/>
          <w:color w:val="auto"/>
        </w:rPr>
        <w:t>This Agreement may be amended or modified, and the observance of any term of this Agreement may be waived, only by a writing signed by the Company and the Agents.</w:t>
      </w:r>
    </w:p>
    <w:p>
      <w:pPr>
        <w:spacing w:after="0" w:line="200"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If the foregoing correctly sets forth the understanding between the Company and the Agents, please so indicate in the space provided below for that purpose, whereupon this agreement and your acceptance shall constitute a binding agreement between the Company and the Agents.</w:t>
      </w:r>
    </w:p>
    <w:p>
      <w:pPr>
        <w:spacing w:after="0" w:line="197"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STEMCELLS, INC.</w:t>
      </w:r>
    </w:p>
    <w:p>
      <w:pPr>
        <w:spacing w:after="0" w:line="200" w:lineRule="exact"/>
        <w:rPr>
          <w:sz w:val="20"/>
          <w:szCs w:val="20"/>
          <w:color w:val="auto"/>
        </w:rPr>
      </w:pPr>
    </w:p>
    <w:p>
      <w:pPr>
        <w:spacing w:after="0" w:line="385" w:lineRule="exact"/>
        <w:rPr>
          <w:sz w:val="20"/>
          <w:szCs w:val="20"/>
          <w:color w:val="auto"/>
        </w:rPr>
      </w:pPr>
    </w:p>
    <w:p>
      <w:pPr>
        <w:ind w:left="5260"/>
        <w:spacing w:after="0"/>
        <w:tabs>
          <w:tab w:leader="none" w:pos="6060" w:val="left"/>
        </w:tabs>
        <w:rPr>
          <w:sz w:val="20"/>
          <w:szCs w:val="20"/>
          <w:color w:val="auto"/>
        </w:rPr>
      </w:pPr>
      <w:r>
        <w:rPr>
          <w:rFonts w:ascii="Courier New" w:cs="Courier New" w:eastAsia="Courier New" w:hAnsi="Courier New"/>
          <w:sz w:val="17"/>
          <w:szCs w:val="17"/>
          <w:color w:val="auto"/>
        </w:rPr>
        <w:t>By:/s/</w:t>
      </w:r>
      <w:r>
        <w:rPr>
          <w:sz w:val="20"/>
          <w:szCs w:val="20"/>
          <w:color w:val="auto"/>
        </w:rPr>
        <w:tab/>
      </w:r>
      <w:r>
        <w:rPr>
          <w:rFonts w:ascii="Courier New" w:cs="Courier New" w:eastAsia="Courier New" w:hAnsi="Courier New"/>
          <w:sz w:val="16"/>
          <w:szCs w:val="16"/>
          <w:color w:val="auto"/>
        </w:rPr>
        <w:t>Martin McGlynn</w:t>
      </w:r>
    </w:p>
    <w:p>
      <w:pPr>
        <w:spacing w:after="0" w:line="2"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5560"/>
        <w:spacing w:after="0"/>
        <w:tabs>
          <w:tab w:leader="none" w:pos="6260" w:val="left"/>
        </w:tabs>
        <w:rPr>
          <w:sz w:val="20"/>
          <w:szCs w:val="20"/>
          <w:color w:val="auto"/>
        </w:rPr>
      </w:pPr>
      <w:r>
        <w:rPr>
          <w:rFonts w:ascii="Courier New" w:cs="Courier New" w:eastAsia="Courier New" w:hAnsi="Courier New"/>
          <w:sz w:val="17"/>
          <w:szCs w:val="17"/>
          <w:color w:val="auto"/>
        </w:rPr>
        <w:t>Name:</w:t>
        <w:tab/>
        <w:t>Martin McGlynn</w:t>
      </w:r>
    </w:p>
    <w:p>
      <w:pPr>
        <w:spacing w:after="0" w:line="2"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Title: President and CEO</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and agreed to as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first above written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 UNTERBERG, TOWBIN, LLC</w:t>
      </w:r>
    </w:p>
    <w:p>
      <w:pPr>
        <w:spacing w:after="0" w:line="200" w:lineRule="exact"/>
        <w:rPr>
          <w:sz w:val="20"/>
          <w:szCs w:val="20"/>
          <w:color w:val="auto"/>
        </w:rPr>
      </w:pPr>
    </w:p>
    <w:p>
      <w:pPr>
        <w:spacing w:after="0" w:line="385" w:lineRule="exact"/>
        <w:rPr>
          <w:sz w:val="20"/>
          <w:szCs w:val="20"/>
          <w:color w:val="auto"/>
        </w:rPr>
      </w:pPr>
    </w:p>
    <w:p>
      <w:pPr>
        <w:spacing w:after="0"/>
        <w:tabs>
          <w:tab w:leader="none" w:pos="480" w:val="left"/>
          <w:tab w:leader="none" w:pos="100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Andrew Armo</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500"/>
        <w:spacing w:after="0"/>
        <w:tabs>
          <w:tab w:leader="none" w:pos="1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Andrew Armo</w:t>
      </w:r>
    </w:p>
    <w:p>
      <w:pPr>
        <w:spacing w:after="0" w:line="2" w:lineRule="exact"/>
        <w:rPr>
          <w:sz w:val="20"/>
          <w:szCs w:val="20"/>
          <w:color w:val="auto"/>
        </w:rPr>
      </w:pPr>
    </w:p>
    <w:p>
      <w:pPr>
        <w:ind w:left="500"/>
        <w:spacing w:after="0"/>
        <w:tabs>
          <w:tab w:leader="none" w:pos="13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Co-President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SHORELINE PACIFIC, LLC</w:t>
      </w:r>
    </w:p>
    <w:p>
      <w:pPr>
        <w:spacing w:after="0" w:line="200" w:lineRule="exact"/>
        <w:rPr>
          <w:sz w:val="20"/>
          <w:szCs w:val="20"/>
          <w:color w:val="auto"/>
        </w:rPr>
      </w:pPr>
    </w:p>
    <w:p>
      <w:pPr>
        <w:spacing w:after="0" w:line="385" w:lineRule="exact"/>
        <w:rPr>
          <w:sz w:val="20"/>
          <w:szCs w:val="20"/>
          <w:color w:val="auto"/>
        </w:rPr>
      </w:pPr>
    </w:p>
    <w:p>
      <w:pPr>
        <w:spacing w:after="0"/>
        <w:tabs>
          <w:tab w:leader="none" w:pos="700" w:val="left"/>
          <w:tab w:leader="none" w:pos="12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Harlan P. Kleiman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620"/>
        <w:spacing w:after="0"/>
        <w:tabs>
          <w:tab w:leader="none" w:pos="1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Harlan P. Kleiman</w:t>
      </w:r>
    </w:p>
    <w:p>
      <w:pPr>
        <w:spacing w:after="0" w:line="2" w:lineRule="exact"/>
        <w:rPr>
          <w:sz w:val="20"/>
          <w:szCs w:val="20"/>
          <w:color w:val="auto"/>
        </w:rPr>
      </w:pPr>
    </w:p>
    <w:p>
      <w:pPr>
        <w:ind w:left="620"/>
        <w:spacing w:after="0"/>
        <w:tabs>
          <w:tab w:leader="none" w:pos="14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CEO</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9" w:right="1440" w:bottom="1440" w:gutter="0" w:footer="0" w:header="0"/>
        </w:sectPr>
      </w:pPr>
    </w:p>
    <w:bookmarkStart w:id="28" w:name="page29"/>
    <w:bookmarkEnd w:id="28"/>
    <w:p>
      <w:pPr>
        <w:ind w:left="2440"/>
        <w:spacing w:after="0"/>
        <w:rPr>
          <w:sz w:val="20"/>
          <w:szCs w:val="20"/>
          <w:color w:val="auto"/>
        </w:rPr>
      </w:pPr>
      <w:r>
        <w:rPr>
          <w:rFonts w:ascii="Courier New" w:cs="Courier New" w:eastAsia="Courier New" w:hAnsi="Courier New"/>
          <w:sz w:val="17"/>
          <w:szCs w:val="17"/>
          <w:color w:val="auto"/>
        </w:rPr>
        <w:t>Exhibit A</w:t>
      </w:r>
    </w:p>
    <w:p>
      <w:pPr>
        <w:spacing w:after="0" w:line="39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FORM OF PURCHASE AGREEMENT</w:t>
      </w:r>
    </w:p>
    <w:p>
      <w:pPr>
        <w:sectPr>
          <w:pgSz w:w="11900" w:h="16838" w:orient="portrait"/>
          <w:cols w:equalWidth="0" w:num="1">
            <w:col w:w="9019"/>
          </w:cols>
          <w:pgMar w:left="1440" w:top="502" w:right="1440" w:bottom="1440" w:gutter="0" w:footer="0" w:header="0"/>
        </w:sectPr>
      </w:pPr>
    </w:p>
    <w:bookmarkStart w:id="29" w:name="page30"/>
    <w:bookmarkEnd w:id="29"/>
    <w:p>
      <w:pPr>
        <w:ind w:left="2440"/>
        <w:spacing w:after="0"/>
        <w:rPr>
          <w:sz w:val="20"/>
          <w:szCs w:val="20"/>
          <w:color w:val="auto"/>
        </w:rPr>
      </w:pPr>
      <w:r>
        <w:rPr>
          <w:rFonts w:ascii="Courier New" w:cs="Courier New" w:eastAsia="Courier New" w:hAnsi="Courier New"/>
          <w:sz w:val="17"/>
          <w:szCs w:val="17"/>
          <w:color w:val="auto"/>
        </w:rPr>
        <w:t>Exhibit B</w:t>
      </w:r>
    </w:p>
    <w:p>
      <w:pPr>
        <w:spacing w:after="0" w:line="39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FORM OF OPINION OF ROPES &amp; GRAY LLP</w:t>
      </w:r>
    </w:p>
    <w:p>
      <w:pPr>
        <w:sectPr>
          <w:pgSz w:w="11900" w:h="16838" w:orient="portrait"/>
          <w:cols w:equalWidth="0" w:num="1">
            <w:col w:w="9019"/>
          </w:cols>
          <w:pgMar w:left="1440" w:top="697" w:right="1440" w:bottom="1440" w:gutter="0" w:footer="0" w:header="0"/>
        </w:sectPr>
      </w:pPr>
    </w:p>
    <w:bookmarkStart w:id="30" w:name="page31"/>
    <w:bookmarkEnd w:id="30"/>
    <w:p>
      <w:pPr>
        <w:ind w:left="6880"/>
        <w:spacing w:after="0"/>
        <w:rPr>
          <w:sz w:val="20"/>
          <w:szCs w:val="20"/>
          <w:color w:val="auto"/>
        </w:rPr>
      </w:pPr>
      <w:r>
        <w:rPr>
          <w:rFonts w:ascii="Courier New" w:cs="Courier New" w:eastAsia="Courier New" w:hAnsi="Courier New"/>
          <w:sz w:val="17"/>
          <w:szCs w:val="17"/>
          <w:color w:val="auto"/>
        </w:rPr>
        <w:t>Exhibit 10.1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StemCells,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3155 Porter Drive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7"/>
          <w:szCs w:val="17"/>
          <w:color w:val="auto"/>
        </w:rPr>
        <w:t>Palo Alto, CA</w:t>
      </w:r>
      <w:r>
        <w:rPr>
          <w:sz w:val="20"/>
          <w:szCs w:val="20"/>
          <w:color w:val="auto"/>
        </w:rPr>
        <w:tab/>
      </w:r>
      <w:r>
        <w:rPr>
          <w:rFonts w:ascii="Courier New" w:cs="Courier New" w:eastAsia="Courier New" w:hAnsi="Courier New"/>
          <w:sz w:val="16"/>
          <w:szCs w:val="16"/>
          <w:color w:val="auto"/>
        </w:rPr>
        <w:t>94304</w:t>
      </w:r>
    </w:p>
    <w:p>
      <w:pPr>
        <w:spacing w:after="0" w:line="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Chief Executive Officer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The undersigned, ________________________________ (the "Investor"),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confirms its agreement with you as follows:</w:t>
      </w:r>
    </w:p>
    <w:p>
      <w:pPr>
        <w:spacing w:after="0" w:line="199" w:lineRule="exact"/>
        <w:rPr>
          <w:sz w:val="20"/>
          <w:szCs w:val="20"/>
          <w:color w:val="auto"/>
        </w:rPr>
      </w:pPr>
    </w:p>
    <w:p>
      <w:pPr>
        <w:ind w:right="2219" w:firstLine="914"/>
        <w:spacing w:after="0"/>
        <w:tabs>
          <w:tab w:leader="none" w:pos="121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Purchase Agreement (the "Agreement") is made as of October 25, 2004 between StemCells, Inc., a Delaware corporation (the "Company"), and the Investor.</w:t>
      </w:r>
    </w:p>
    <w:p>
      <w:pPr>
        <w:spacing w:after="0" w:line="200" w:lineRule="exact"/>
        <w:rPr>
          <w:rFonts w:ascii="Courier New" w:cs="Courier New" w:eastAsia="Courier New" w:hAnsi="Courier New"/>
          <w:sz w:val="17"/>
          <w:szCs w:val="17"/>
          <w:color w:val="auto"/>
        </w:rPr>
      </w:pPr>
    </w:p>
    <w:p>
      <w:pPr>
        <w:ind w:right="2219" w:firstLine="914"/>
        <w:spacing w:after="0" w:line="259" w:lineRule="auto"/>
        <w:tabs>
          <w:tab w:leader="none" w:pos="121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authorized the sale and issuance of up to 7,500,000 shares of common stock of the Company (the "Shares") in a public offering. The offering has been registered under the Securities Act of 1933, as amended, pursuant to the Company's Registration Statement on Form S-3 (No. 333-83992) as amended (the "Registration Statement"). The Registration Statement was declared effective on July 2, 2002 and remains effective on the date hereof.</w:t>
      </w:r>
    </w:p>
    <w:p>
      <w:pPr>
        <w:spacing w:after="0" w:line="187" w:lineRule="exact"/>
        <w:rPr>
          <w:rFonts w:ascii="Courier New" w:cs="Courier New" w:eastAsia="Courier New" w:hAnsi="Courier New"/>
          <w:sz w:val="16"/>
          <w:szCs w:val="16"/>
          <w:color w:val="auto"/>
        </w:rPr>
      </w:pPr>
    </w:p>
    <w:p>
      <w:pPr>
        <w:jc w:val="both"/>
        <w:ind w:right="2319" w:firstLine="914"/>
        <w:spacing w:after="0" w:line="257" w:lineRule="auto"/>
        <w:tabs>
          <w:tab w:leader="none" w:pos="121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Investor agree that the Investor will purchase from the Company and the Company will issue and sell to the Investor _________</w:t>
      </w:r>
    </w:p>
    <w:p>
      <w:pPr>
        <w:ind w:right="211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for a purchase price of $3.00 per Share, or an aggregate purchase price of $__________. The Investor acknowledges that the offering of the Shares is not a firm commitment underwriting and that there is no minimum offering amount.</w:t>
      </w:r>
    </w:p>
    <w:p>
      <w:pPr>
        <w:spacing w:after="0" w:line="181" w:lineRule="exact"/>
        <w:rPr>
          <w:rFonts w:ascii="Courier New" w:cs="Courier New" w:eastAsia="Courier New" w:hAnsi="Courier New"/>
          <w:sz w:val="16"/>
          <w:szCs w:val="16"/>
          <w:color w:val="auto"/>
        </w:rPr>
      </w:pPr>
    </w:p>
    <w:p>
      <w:pPr>
        <w:ind w:right="2119" w:firstLine="914"/>
        <w:spacing w:after="0" w:line="242" w:lineRule="auto"/>
        <w:tabs>
          <w:tab w:leader="none" w:pos="121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completion of the purchase and sale of the Shares (the "Closing") shall occur on October 28, 2004 (the "time of purchase"). At or prior to the Closing, the Investor shall deliver to C.E. Unterberg Towbin, LLC, as agent for the Company ("CEUT"), a Federal Funds wire transfer in the full amount of the purchase price for the Shares being purchased by the Investor. At the Closing, the Company shall deliver to the Investor, using customary book-entry procedures, the number of Shares as set forth above in Section 3 against delivery to the Company by CEUT of a Federal Funds wire transfer in the net amount (after payment of agents' fees and expenses) of the purchase price for the Shares being purchased.</w:t>
      </w:r>
    </w:p>
    <w:p>
      <w:pPr>
        <w:spacing w:after="0" w:line="197" w:lineRule="exact"/>
        <w:rPr>
          <w:rFonts w:ascii="Courier New" w:cs="Courier New" w:eastAsia="Courier New" w:hAnsi="Courier New"/>
          <w:sz w:val="17"/>
          <w:szCs w:val="17"/>
          <w:color w:val="auto"/>
        </w:rPr>
      </w:pPr>
    </w:p>
    <w:p>
      <w:pPr>
        <w:ind w:right="2219" w:firstLine="914"/>
        <w:spacing w:after="0" w:line="257" w:lineRule="auto"/>
        <w:tabs>
          <w:tab w:leader="none" w:pos="121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Investor represents that, except as set forth below, (a) it has had no position, office or other material relationship within the past three years with the Company or persons known to it to be affiliates of the Company,</w:t>
      </w:r>
    </w:p>
    <w:p>
      <w:pPr>
        <w:spacing w:after="0" w:line="1" w:lineRule="exact"/>
        <w:rPr>
          <w:rFonts w:ascii="Courier New" w:cs="Courier New" w:eastAsia="Courier New" w:hAnsi="Courier New"/>
          <w:sz w:val="16"/>
          <w:szCs w:val="16"/>
          <w:color w:val="auto"/>
        </w:rPr>
      </w:pPr>
    </w:p>
    <w:p>
      <w:pPr>
        <w:jc w:val="both"/>
        <w:ind w:right="2119" w:firstLine="4"/>
        <w:spacing w:after="0" w:line="241" w:lineRule="auto"/>
        <w:tabs>
          <w:tab w:leader="none" w:pos="40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it, nor any group of which it is a member or to which it is related, beneficially owns (including the right to acquire or vote) any securities of the Company and (c) it has no direct or indirect affiliation or association with any NASD member as of the date hereof:</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 --------------------------------------------------------------------------------</w:t>
      </w:r>
    </w:p>
    <w:p>
      <w:pPr>
        <w:spacing w:after="0" w:line="207" w:lineRule="exact"/>
        <w:rPr>
          <w:rFonts w:ascii="Courier New" w:cs="Courier New" w:eastAsia="Courier New" w:hAnsi="Courier New"/>
          <w:sz w:val="17"/>
          <w:szCs w:val="17"/>
          <w:color w:val="auto"/>
        </w:rPr>
      </w:pPr>
    </w:p>
    <w:p>
      <w:pPr>
        <w:ind w:right="2219" w:firstLine="914"/>
        <w:spacing w:after="0" w:line="241" w:lineRule="auto"/>
        <w:tabs>
          <w:tab w:leader="none" w:pos="121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hereby confirms receipt of the Prospectus Supplement dated October 25, 2004 and the Basic Prospectus dated July 3, 2002 (collectively, the "Prospectus") of the Company distributed by email to the Investor accompanied by this Agreement. The Investor confirms that it had full access to the Prospectus and was fully able to read, review, download and print the Prospectus.</w:t>
      </w:r>
    </w:p>
    <w:p>
      <w:pPr>
        <w:spacing w:after="0" w:line="200" w:lineRule="exact"/>
        <w:rPr>
          <w:rFonts w:ascii="Courier New" w:cs="Courier New" w:eastAsia="Courier New" w:hAnsi="Courier New"/>
          <w:sz w:val="17"/>
          <w:szCs w:val="17"/>
          <w:color w:val="auto"/>
        </w:rPr>
      </w:pPr>
    </w:p>
    <w:p>
      <w:pPr>
        <w:ind w:right="2539" w:firstLine="914"/>
        <w:spacing w:after="0" w:line="241" w:lineRule="auto"/>
        <w:tabs>
          <w:tab w:leader="none" w:pos="121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if outside the United States, will comply with all applicable laws and regulations in each foreign jurisdiction in which it purchases, offers, sells or delivers Shares or has in its possession or distributes any offering material, in all cases at its own expense.</w:t>
      </w:r>
    </w:p>
    <w:p>
      <w:pPr>
        <w:spacing w:after="0" w:line="198" w:lineRule="exact"/>
        <w:rPr>
          <w:rFonts w:ascii="Courier New" w:cs="Courier New" w:eastAsia="Courier New" w:hAnsi="Courier New"/>
          <w:sz w:val="17"/>
          <w:szCs w:val="17"/>
          <w:color w:val="auto"/>
        </w:rPr>
      </w:pPr>
    </w:p>
    <w:p>
      <w:pPr>
        <w:ind w:right="2119" w:firstLine="914"/>
        <w:spacing w:after="0"/>
        <w:tabs>
          <w:tab w:leader="none" w:pos="121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further represents and warrants to the Company that the Investor is purchasing the Shares for the Investor's own account and not with a view to or for sale in connection with any distribution of the Shares.</w:t>
      </w:r>
    </w:p>
    <w:p>
      <w:pPr>
        <w:spacing w:after="0" w:line="200" w:lineRule="exact"/>
        <w:rPr>
          <w:rFonts w:ascii="Courier New" w:cs="Courier New" w:eastAsia="Courier New" w:hAnsi="Courier New"/>
          <w:sz w:val="17"/>
          <w:szCs w:val="17"/>
          <w:color w:val="auto"/>
        </w:rPr>
      </w:pPr>
    </w:p>
    <w:p>
      <w:pPr>
        <w:ind w:right="2119" w:firstLine="914"/>
        <w:spacing w:after="0"/>
        <w:tabs>
          <w:tab w:leader="none" w:pos="121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the Investor represents and warrants to, and covenants with, the other party, that (a) it has full right, power, authority and capacity to enter into this Purchase</w:t>
      </w:r>
    </w:p>
    <w:p>
      <w:pPr>
        <w:sectPr>
          <w:pgSz w:w="11900" w:h="16838" w:orient="portrait"/>
          <w:cols w:equalWidth="0" w:num="1">
            <w:col w:w="10219"/>
          </w:cols>
          <w:pgMar w:left="240" w:top="334" w:right="1440" w:bottom="1440" w:gutter="0" w:footer="0" w:header="0"/>
        </w:sectPr>
      </w:pPr>
    </w:p>
    <w:bookmarkStart w:id="31" w:name="page32"/>
    <w:bookmarkEnd w:id="31"/>
    <w:p>
      <w:pPr>
        <w:ind w:right="3420"/>
        <w:spacing w:after="0" w:line="241" w:lineRule="auto"/>
        <w:rPr>
          <w:sz w:val="20"/>
          <w:szCs w:val="20"/>
          <w:color w:val="auto"/>
        </w:rPr>
      </w:pPr>
      <w:r>
        <w:rPr>
          <w:rFonts w:ascii="Courier New" w:cs="Courier New" w:eastAsia="Courier New" w:hAnsi="Courier New"/>
          <w:sz w:val="17"/>
          <w:szCs w:val="17"/>
          <w:color w:val="auto"/>
        </w:rPr>
        <w:t>Agreement and to consummate the transactions contemplated hereby and has taken all necessary action to authorize the execution, delivery and performance of this Purchase Agreement, and (b) this Purchase Agreement constitutes a valid and binding obligation of the Investor enforceable against it in accordance with the terms of this Purchase Agreement.</w:t>
      </w:r>
    </w:p>
    <w:p>
      <w:pPr>
        <w:spacing w:after="0" w:line="200" w:lineRule="exact"/>
        <w:rPr>
          <w:sz w:val="20"/>
          <w:szCs w:val="20"/>
          <w:color w:val="auto"/>
        </w:rPr>
      </w:pPr>
    </w:p>
    <w:p>
      <w:pPr>
        <w:ind w:right="3620" w:firstLine="914"/>
        <w:spacing w:after="0" w:line="241" w:lineRule="auto"/>
        <w:tabs>
          <w:tab w:leader="none" w:pos="1314"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 understands that nothing in the Prospectus, this Purchase Agreement or any other materials presented to the Investor in connection with the purchase and sale of the Shares constitutes legal, tax or investment advice. The Investor has consulted such legal, tax and investment advisors as it, in its sole discretion, has deemed necessary or appropriate in connection with its purchase of Shares.</w:t>
      </w:r>
    </w:p>
    <w:p>
      <w:pPr>
        <w:spacing w:after="0" w:line="200" w:lineRule="exact"/>
        <w:rPr>
          <w:rFonts w:ascii="Courier New" w:cs="Courier New" w:eastAsia="Courier New" w:hAnsi="Courier New"/>
          <w:sz w:val="17"/>
          <w:szCs w:val="17"/>
          <w:color w:val="auto"/>
        </w:rPr>
      </w:pPr>
    </w:p>
    <w:p>
      <w:pPr>
        <w:ind w:right="3620" w:firstLine="914"/>
        <w:spacing w:after="0"/>
        <w:tabs>
          <w:tab w:leader="none" w:pos="1314"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be governed by, and construed in accordance with, the internal laws of the State of New York, without giving effect to the principles of conflicts of law.</w:t>
      </w:r>
    </w:p>
    <w:p>
      <w:pPr>
        <w:spacing w:after="0" w:line="200" w:lineRule="exact"/>
        <w:rPr>
          <w:rFonts w:ascii="Courier New" w:cs="Courier New" w:eastAsia="Courier New" w:hAnsi="Courier New"/>
          <w:sz w:val="17"/>
          <w:szCs w:val="17"/>
          <w:color w:val="auto"/>
        </w:rPr>
      </w:pPr>
    </w:p>
    <w:p>
      <w:pPr>
        <w:ind w:right="3420" w:firstLine="914"/>
        <w:spacing w:after="0" w:line="241" w:lineRule="auto"/>
        <w:tabs>
          <w:tab w:leader="none" w:pos="1314"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w:t>
      </w:r>
    </w:p>
    <w:p>
      <w:pPr>
        <w:spacing w:after="0" w:line="200" w:lineRule="exact"/>
        <w:rPr>
          <w:sz w:val="20"/>
          <w:szCs w:val="20"/>
          <w:color w:val="auto"/>
        </w:rPr>
      </w:pPr>
    </w:p>
    <w:p>
      <w:pPr>
        <w:ind w:right="3740" w:firstLine="910"/>
        <w:spacing w:after="0" w:line="269" w:lineRule="auto"/>
        <w:rPr>
          <w:sz w:val="20"/>
          <w:szCs w:val="20"/>
          <w:color w:val="auto"/>
        </w:rPr>
      </w:pPr>
      <w:r>
        <w:rPr>
          <w:rFonts w:ascii="Courier New" w:cs="Courier New" w:eastAsia="Courier New" w:hAnsi="Courier New"/>
          <w:sz w:val="16"/>
          <w:szCs w:val="16"/>
          <w:color w:val="auto"/>
        </w:rPr>
        <w:t>Please confirm that the foregoing correctly sets forth the agreement between us by signing in the space provided below for that purpose.</w:t>
      </w:r>
    </w:p>
    <w:p>
      <w:pPr>
        <w:spacing w:after="0" w:line="200" w:lineRule="exact"/>
        <w:rPr>
          <w:sz w:val="20"/>
          <w:szCs w:val="20"/>
          <w:color w:val="auto"/>
        </w:rPr>
      </w:pPr>
    </w:p>
    <w:p>
      <w:pPr>
        <w:spacing w:after="0" w:line="364"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Name of Investor:</w:t>
      </w:r>
    </w:p>
    <w:p>
      <w:pPr>
        <w:spacing w:after="0" w:line="199" w:lineRule="exact"/>
        <w:rPr>
          <w:sz w:val="20"/>
          <w:szCs w:val="20"/>
          <w:color w:val="auto"/>
        </w:rPr>
      </w:pPr>
    </w:p>
    <w:p>
      <w:pPr>
        <w:ind w:left="6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4"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780"/>
        <w:spacing w:after="0"/>
        <w:rPr>
          <w:sz w:val="20"/>
          <w:szCs w:val="20"/>
          <w:color w:val="auto"/>
        </w:rPr>
      </w:pPr>
      <w:r>
        <w:rPr>
          <w:rFonts w:ascii="Courier New" w:cs="Courier New" w:eastAsia="Courier New" w:hAnsi="Courier New"/>
          <w:sz w:val="17"/>
          <w:szCs w:val="17"/>
          <w:color w:val="auto"/>
        </w:rPr>
        <w:t>Name:</w:t>
      </w:r>
    </w:p>
    <w:p>
      <w:pPr>
        <w:spacing w:after="0" w:line="2" w:lineRule="exact"/>
        <w:rPr>
          <w:sz w:val="20"/>
          <w:szCs w:val="20"/>
          <w:color w:val="auto"/>
        </w:rPr>
      </w:pPr>
    </w:p>
    <w:p>
      <w:pPr>
        <w:ind w:left="6780"/>
        <w:spacing w:after="0"/>
        <w:rPr>
          <w:sz w:val="20"/>
          <w:szCs w:val="20"/>
          <w:color w:val="auto"/>
        </w:rPr>
      </w:pPr>
      <w:r>
        <w:rPr>
          <w:rFonts w:ascii="Courier New" w:cs="Courier New" w:eastAsia="Courier New" w:hAnsi="Courier New"/>
          <w:sz w:val="17"/>
          <w:szCs w:val="17"/>
          <w:color w:val="auto"/>
        </w:rPr>
        <w:t>Title:</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Address:</w:t>
      </w:r>
    </w:p>
    <w:p>
      <w:pPr>
        <w:spacing w:after="0" w:line="4" w:lineRule="exact"/>
        <w:rPr>
          <w:sz w:val="20"/>
          <w:szCs w:val="20"/>
          <w:color w:val="auto"/>
        </w:rPr>
      </w:pPr>
    </w:p>
    <w:p>
      <w:pPr>
        <w:ind w:left="708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Tax ID No.:</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Contact Name:</w:t>
      </w:r>
    </w:p>
    <w:p>
      <w:pPr>
        <w:spacing w:after="0" w:line="4"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Contact Fax Number:</w:t>
      </w:r>
    </w:p>
    <w:p>
      <w:pPr>
        <w:spacing w:after="0" w:line="4" w:lineRule="exact"/>
        <w:rPr>
          <w:sz w:val="20"/>
          <w:szCs w:val="20"/>
          <w:color w:val="auto"/>
        </w:rPr>
      </w:pPr>
    </w:p>
    <w:p>
      <w:pPr>
        <w:ind w:left="8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Contact Email:</w:t>
      </w:r>
    </w:p>
    <w:p>
      <w:pPr>
        <w:spacing w:after="0" w:line="4" w:lineRule="exact"/>
        <w:rPr>
          <w:sz w:val="20"/>
          <w:szCs w:val="20"/>
          <w:color w:val="auto"/>
        </w:rPr>
      </w:pPr>
    </w:p>
    <w:p>
      <w:pPr>
        <w:ind w:left="76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Contact Telephone Number:</w:t>
      </w:r>
    </w:p>
    <w:p>
      <w:pPr>
        <w:spacing w:after="0" w:line="4" w:lineRule="exact"/>
        <w:rPr>
          <w:sz w:val="20"/>
          <w:szCs w:val="20"/>
          <w:color w:val="auto"/>
        </w:rPr>
      </w:pPr>
    </w:p>
    <w:p>
      <w:pPr>
        <w:ind w:left="88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Name in which book-entry should be made (if</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different):</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Broker:</w:t>
      </w:r>
    </w:p>
    <w:p>
      <w:pPr>
        <w:spacing w:after="0" w:line="4"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Broker Contact Name:</w:t>
      </w:r>
    </w:p>
    <w:p>
      <w:pPr>
        <w:spacing w:after="0" w:line="4" w:lineRule="exact"/>
        <w:rPr>
          <w:sz w:val="20"/>
          <w:szCs w:val="20"/>
          <w:color w:val="auto"/>
        </w:rPr>
      </w:pPr>
    </w:p>
    <w:p>
      <w:pPr>
        <w:ind w:left="83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Broker Phone Number:</w:t>
      </w:r>
    </w:p>
    <w:p>
      <w:pPr>
        <w:spacing w:after="0" w:line="4" w:lineRule="exact"/>
        <w:rPr>
          <w:sz w:val="20"/>
          <w:szCs w:val="20"/>
          <w:color w:val="auto"/>
        </w:rPr>
      </w:pPr>
    </w:p>
    <w:p>
      <w:pPr>
        <w:ind w:left="83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Broker Fax:</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Broker Email:</w:t>
      </w:r>
    </w:p>
    <w:p>
      <w:pPr>
        <w:spacing w:after="0" w:line="4"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DTC Account Number:</w:t>
      </w:r>
    </w:p>
    <w:p>
      <w:pPr>
        <w:spacing w:after="0" w:line="4" w:lineRule="exact"/>
        <w:rPr>
          <w:sz w:val="20"/>
          <w:szCs w:val="20"/>
          <w:color w:val="auto"/>
        </w:rPr>
      </w:pPr>
    </w:p>
    <w:p>
      <w:pPr>
        <w:ind w:left="8200"/>
        <w:spacing w:after="0"/>
        <w:rPr>
          <w:sz w:val="20"/>
          <w:szCs w:val="20"/>
          <w:color w:val="auto"/>
        </w:rPr>
      </w:pPr>
      <w:r>
        <w:rPr>
          <w:rFonts w:ascii="Courier New" w:cs="Courier New" w:eastAsia="Courier New" w:hAnsi="Courier New"/>
          <w:sz w:val="16"/>
          <w:szCs w:val="16"/>
          <w:color w:val="auto"/>
        </w:rPr>
        <w:t>---------------------------------</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AGREED AND ACCEPTED: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STEMCELLS, INC.</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Name: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11520"/>
          </w:cols>
          <w:pgMar w:left="240" w:top="699" w:right="139" w:bottom="606"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3"/>
        </w:trPr>
        <w:tc>
          <w:tcPr>
            <w:tcW w:w="37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Courier New" w:cs="Courier New" w:eastAsia="Courier New" w:hAnsi="Courier New"/>
                <w:sz w:val="17"/>
                <w:szCs w:val="17"/>
                <w:color w:val="auto"/>
                <w:w w:val="98"/>
              </w:rPr>
              <w:t>Exhibit 99.1</w:t>
            </w:r>
          </w:p>
        </w:tc>
      </w:tr>
      <w:tr>
        <w:trPr>
          <w:trHeight w:val="389"/>
        </w:trPr>
        <w:tc>
          <w:tcPr>
            <w:tcW w:w="3700" w:type="dxa"/>
            <w:vAlign w:val="bottom"/>
          </w:tcPr>
          <w:p>
            <w:pPr>
              <w:spacing w:after="0"/>
              <w:rPr>
                <w:sz w:val="20"/>
                <w:szCs w:val="20"/>
                <w:color w:val="auto"/>
              </w:rPr>
            </w:pPr>
            <w:r>
              <w:rPr>
                <w:rFonts w:ascii="Courier New" w:cs="Courier New" w:eastAsia="Courier New" w:hAnsi="Courier New"/>
                <w:sz w:val="17"/>
                <w:szCs w:val="17"/>
                <w:color w:val="auto"/>
              </w:rPr>
              <w:t>[STEMCELLS, INC. LOGO]</w:t>
            </w:r>
          </w:p>
        </w:tc>
        <w:tc>
          <w:tcPr>
            <w:tcW w:w="3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9"/>
        </w:trPr>
        <w:tc>
          <w:tcPr>
            <w:tcW w:w="3700" w:type="dxa"/>
            <w:vAlign w:val="bottom"/>
          </w:tcPr>
          <w:p>
            <w:pPr>
              <w:spacing w:after="0"/>
              <w:rPr>
                <w:sz w:val="20"/>
                <w:szCs w:val="20"/>
                <w:color w:val="auto"/>
              </w:rPr>
            </w:pPr>
            <w:r>
              <w:rPr>
                <w:rFonts w:ascii="Courier New" w:cs="Courier New" w:eastAsia="Courier New" w:hAnsi="Courier New"/>
                <w:sz w:val="17"/>
                <w:szCs w:val="17"/>
                <w:color w:val="auto"/>
              </w:rPr>
              <w:t>COMPANY CONTACT</w:t>
            </w:r>
          </w:p>
        </w:tc>
        <w:tc>
          <w:tcPr>
            <w:tcW w:w="3180" w:type="dxa"/>
            <w:vAlign w:val="bottom"/>
          </w:tcPr>
          <w:p>
            <w:pPr>
              <w:ind w:left="1360"/>
              <w:spacing w:after="0"/>
              <w:rPr>
                <w:sz w:val="20"/>
                <w:szCs w:val="20"/>
                <w:color w:val="auto"/>
              </w:rPr>
            </w:pPr>
            <w:r>
              <w:rPr>
                <w:rFonts w:ascii="Courier New" w:cs="Courier New" w:eastAsia="Courier New" w:hAnsi="Courier New"/>
                <w:sz w:val="17"/>
                <w:szCs w:val="17"/>
                <w:color w:val="auto"/>
                <w:w w:val="98"/>
              </w:rPr>
              <w:t>INVESTOR RELATIONS</w:t>
            </w:r>
          </w:p>
        </w:tc>
        <w:tc>
          <w:tcPr>
            <w:tcW w:w="1220" w:type="dxa"/>
            <w:vAlign w:val="bottom"/>
          </w:tcPr>
          <w:p>
            <w:pPr>
              <w:spacing w:after="0"/>
              <w:rPr>
                <w:sz w:val="24"/>
                <w:szCs w:val="24"/>
                <w:color w:val="auto"/>
              </w:rPr>
            </w:pP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Martin McGlynn</w:t>
            </w:r>
          </w:p>
        </w:tc>
        <w:tc>
          <w:tcPr>
            <w:tcW w:w="3180" w:type="dxa"/>
            <w:vAlign w:val="bottom"/>
          </w:tcPr>
          <w:p>
            <w:pPr>
              <w:ind w:left="1360"/>
              <w:spacing w:after="0"/>
              <w:rPr>
                <w:sz w:val="20"/>
                <w:szCs w:val="20"/>
                <w:color w:val="auto"/>
              </w:rPr>
            </w:pPr>
            <w:r>
              <w:rPr>
                <w:rFonts w:ascii="Courier New" w:cs="Courier New" w:eastAsia="Courier New" w:hAnsi="Courier New"/>
                <w:sz w:val="17"/>
                <w:szCs w:val="17"/>
                <w:color w:val="auto"/>
              </w:rPr>
              <w:t>Ina McGuinness or</w:t>
            </w:r>
          </w:p>
        </w:tc>
        <w:tc>
          <w:tcPr>
            <w:tcW w:w="1220" w:type="dxa"/>
            <w:vAlign w:val="bottom"/>
          </w:tcPr>
          <w:p>
            <w:pPr>
              <w:spacing w:after="0"/>
              <w:rPr>
                <w:sz w:val="20"/>
                <w:szCs w:val="20"/>
                <w:color w:val="auto"/>
              </w:rPr>
            </w:pPr>
            <w:r>
              <w:rPr>
                <w:rFonts w:ascii="Courier New" w:cs="Courier New" w:eastAsia="Courier New" w:hAnsi="Courier New"/>
                <w:sz w:val="17"/>
                <w:szCs w:val="17"/>
                <w:color w:val="auto"/>
              </w:rPr>
              <w:t>Bruce Voss</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Chief Executive Officer</w:t>
            </w:r>
          </w:p>
        </w:tc>
        <w:tc>
          <w:tcPr>
            <w:tcW w:w="3180" w:type="dxa"/>
            <w:vAlign w:val="bottom"/>
          </w:tcPr>
          <w:p>
            <w:pPr>
              <w:ind w:left="1360"/>
              <w:spacing w:after="0"/>
              <w:rPr>
                <w:sz w:val="20"/>
                <w:szCs w:val="20"/>
                <w:color w:val="auto"/>
              </w:rPr>
            </w:pPr>
            <w:r>
              <w:rPr>
                <w:rFonts w:ascii="Courier New" w:cs="Courier New" w:eastAsia="Courier New" w:hAnsi="Courier New"/>
                <w:sz w:val="17"/>
                <w:szCs w:val="17"/>
                <w:color w:val="auto"/>
              </w:rPr>
              <w:t>Lippert/Heilshorn</w:t>
            </w:r>
          </w:p>
        </w:tc>
        <w:tc>
          <w:tcPr>
            <w:tcW w:w="1220" w:type="dxa"/>
            <w:vAlign w:val="bottom"/>
          </w:tcPr>
          <w:p>
            <w:pPr>
              <w:spacing w:after="0"/>
              <w:rPr>
                <w:sz w:val="20"/>
                <w:szCs w:val="20"/>
                <w:color w:val="auto"/>
              </w:rPr>
            </w:pPr>
            <w:r>
              <w:rPr>
                <w:rFonts w:ascii="Courier New" w:cs="Courier New" w:eastAsia="Courier New" w:hAnsi="Courier New"/>
                <w:sz w:val="17"/>
                <w:szCs w:val="17"/>
                <w:color w:val="auto"/>
                <w:w w:val="98"/>
              </w:rPr>
              <w:t>&amp; Associates</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(650) 475-3100</w:t>
            </w:r>
          </w:p>
        </w:tc>
        <w:tc>
          <w:tcPr>
            <w:tcW w:w="3180" w:type="dxa"/>
            <w:vAlign w:val="bottom"/>
          </w:tcPr>
          <w:p>
            <w:pPr>
              <w:ind w:left="1360"/>
              <w:spacing w:after="0"/>
              <w:rPr>
                <w:sz w:val="20"/>
                <w:szCs w:val="20"/>
                <w:color w:val="auto"/>
              </w:rPr>
            </w:pPr>
            <w:r>
              <w:rPr>
                <w:rFonts w:ascii="Courier New" w:cs="Courier New" w:eastAsia="Courier New" w:hAnsi="Courier New"/>
                <w:sz w:val="17"/>
                <w:szCs w:val="17"/>
                <w:color w:val="auto"/>
              </w:rPr>
              <w:t>(310) 691-7100</w:t>
            </w:r>
          </w:p>
        </w:tc>
        <w:tc>
          <w:tcPr>
            <w:tcW w:w="1220" w:type="dxa"/>
            <w:vAlign w:val="bottom"/>
          </w:tcPr>
          <w:p>
            <w:pPr>
              <w:spacing w:after="0"/>
              <w:rPr>
                <w:sz w:val="16"/>
                <w:szCs w:val="16"/>
                <w:color w:val="auto"/>
              </w:rPr>
            </w:pPr>
          </w:p>
        </w:tc>
      </w:tr>
      <w:tr>
        <w:trPr>
          <w:trHeight w:val="194"/>
        </w:trPr>
        <w:tc>
          <w:tcPr>
            <w:tcW w:w="3700" w:type="dxa"/>
            <w:vAlign w:val="bottom"/>
          </w:tcPr>
          <w:p>
            <w:pPr>
              <w:spacing w:after="0"/>
              <w:rPr>
                <w:sz w:val="16"/>
                <w:szCs w:val="16"/>
                <w:color w:val="auto"/>
              </w:rPr>
            </w:pPr>
          </w:p>
        </w:tc>
        <w:tc>
          <w:tcPr>
            <w:tcW w:w="4400" w:type="dxa"/>
            <w:vAlign w:val="bottom"/>
            <w:gridSpan w:val="2"/>
          </w:tcPr>
          <w:p>
            <w:pPr>
              <w:ind w:left="1360"/>
              <w:spacing w:after="0"/>
              <w:rPr>
                <w:sz w:val="20"/>
                <w:szCs w:val="20"/>
                <w:color w:val="auto"/>
              </w:rPr>
            </w:pPr>
            <w:r>
              <w:rPr>
                <w:rFonts w:ascii="Courier New" w:cs="Courier New" w:eastAsia="Courier New" w:hAnsi="Courier New"/>
                <w:sz w:val="17"/>
                <w:szCs w:val="17"/>
                <w:color w:val="auto"/>
              </w:rPr>
              <w:t>imcguinness@lhai.com</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FOR IMMEDIATE RELEASE</w:t>
            </w:r>
          </w:p>
        </w:tc>
        <w:tc>
          <w:tcPr>
            <w:tcW w:w="31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96"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STEMCELLS ANNOUNCES THIRD QUARTER 2004 FINANCIAL RESULTS</w:t>
      </w:r>
    </w:p>
    <w:p>
      <w:pPr>
        <w:spacing w:after="0" w:line="199"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PALO ALTO, CALIF., OCTOBER 26, 2004 - StemCells, Inc. (NASDAQ: STEM) today reported its financial results for the third quarter ended September 30, 2004.</w:t>
      </w:r>
    </w:p>
    <w:p>
      <w:pPr>
        <w:spacing w:after="0" w:line="177"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The Company reported a loss of $4,338,000, or $0.08 per share, for the third quarter ended September 30, 2004, compared with a loss before deemed dividends of $2,429,000, or $0.07 per share, for the third quarter ended September 30, 2003. For the third quarter in 2003, net loss applicable to common shareholders after deemed dividends to preferred shareholders was $2,599,000 or $0.08 per share. There were no dividends or deemed dividends for the same period in 2004, as all of the Company's previously outstanding cumulative convertible preferred stock was converted to the Company's common stock prior to the end of 2003. Total revenue for the third quarter of 2004 and 2003 was $5,000 and $103,000 respectively. Revenue for 2004 was from licensing agreements and 2003 was from grants and licensing agreements. Cash and cash equivalents at September 30, 2004 totaled $23,141,000 compared with $13,082,000 at December 31, 2003.</w:t>
      </w:r>
    </w:p>
    <w:p>
      <w:pPr>
        <w:spacing w:after="0" w:line="198"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The increase in net loss from 2003 to 2004 for the quarter reported was primarily attributable to three factors: the increase in expenditures required for various activities undertaken toward StemCells' planned IND (Investigational New Drug filing), a revision of the estimated reserve for the exit cost obligation related to the former corporate headquarters in Rhode Island, and increased costs associated with new Sarbanes-Oxley compliance.</w:t>
      </w:r>
    </w:p>
    <w:p>
      <w:pPr>
        <w:spacing w:after="0" w:line="201"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As previously reported, the Company is targeting the filing of its first IND in the first quarter of 2005, to evaluate the safety and efficacy of its proprietary human neural stem cells as a treatment for Batten's disease, an always fatal neurodegenerative disease and member of the Lysosomal Storage Disease family.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STEMCELLS INC.</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201"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Apart from statements of historical facts, the text of this press release constitutes forward-looking statements regarding, among other things, the future business operations of StemCells, Inc. ("the</w:t>
      </w:r>
    </w:p>
    <w:p>
      <w:pPr>
        <w:sectPr>
          <w:pgSz w:w="11900" w:h="16838" w:orient="portrait"/>
          <w:cols w:equalWidth="0" w:num="1">
            <w:col w:w="10219"/>
          </w:cols>
          <w:pgMar w:left="240" w:top="334" w:right="1440" w:bottom="1440" w:gutter="0" w:footer="0" w:header="0"/>
        </w:sectPr>
      </w:pPr>
    </w:p>
    <w:bookmarkStart w:id="33" w:name="page34"/>
    <w:bookmarkEnd w:id="33"/>
    <w:p>
      <w:pPr>
        <w:ind w:right="2119"/>
        <w:spacing w:after="0" w:line="258" w:lineRule="auto"/>
        <w:rPr>
          <w:sz w:val="20"/>
          <w:szCs w:val="20"/>
          <w:color w:val="auto"/>
        </w:rPr>
      </w:pPr>
      <w:r>
        <w:rPr>
          <w:rFonts w:ascii="Courier New" w:cs="Courier New" w:eastAsia="Courier New" w:hAnsi="Courier New"/>
          <w:sz w:val="16"/>
          <w:szCs w:val="16"/>
          <w:color w:val="auto"/>
        </w:rPr>
        <w:t>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-more-</w:t>
      </w:r>
    </w:p>
    <w:p>
      <w:pPr>
        <w:sectPr>
          <w:pgSz w:w="11900" w:h="16838" w:orient="portrait"/>
          <w:cols w:equalWidth="0" w:num="1">
            <w:col w:w="10219"/>
          </w:cols>
          <w:pgMar w:left="240" w:top="699" w:right="1440" w:bottom="1440" w:gutter="0" w:footer="0" w:header="0"/>
        </w:sectPr>
      </w:pPr>
    </w:p>
    <w:bookmarkStart w:id="34" w:name="page35"/>
    <w:bookmarkEnd w:id="34"/>
    <w:p>
      <w:pPr>
        <w:ind w:left="3340"/>
        <w:spacing w:after="0"/>
        <w:rPr>
          <w:sz w:val="20"/>
          <w:szCs w:val="20"/>
          <w:color w:val="auto"/>
        </w:rPr>
      </w:pPr>
      <w:r>
        <w:rPr>
          <w:rFonts w:ascii="Courier New" w:cs="Courier New" w:eastAsia="Courier New" w:hAnsi="Courier New"/>
          <w:sz w:val="17"/>
          <w:szCs w:val="17"/>
          <w:color w:val="auto"/>
        </w:rPr>
        <w:t>STEMCELLS INC.</w:t>
      </w:r>
    </w:p>
    <w:p>
      <w:pPr>
        <w:spacing w:after="0" w:line="200" w:lineRule="exact"/>
        <w:rPr>
          <w:sz w:val="20"/>
          <w:szCs w:val="20"/>
          <w:color w:val="auto"/>
        </w:rPr>
      </w:pPr>
    </w:p>
    <w:p>
      <w:pPr>
        <w:spacing w:after="0" w:line="387" w:lineRule="exact"/>
        <w:rPr>
          <w:sz w:val="20"/>
          <w:szCs w:val="20"/>
          <w:color w:val="auto"/>
        </w:rPr>
      </w:pPr>
    </w:p>
    <w:p>
      <w:pPr>
        <w:ind w:left="100" w:right="4040" w:firstLine="2022"/>
        <w:spacing w:after="0" w:line="239" w:lineRule="auto"/>
        <w:rPr>
          <w:sz w:val="20"/>
          <w:szCs w:val="20"/>
          <w:color w:val="auto"/>
        </w:rPr>
      </w:pPr>
      <w:r>
        <w:rPr>
          <w:rFonts w:ascii="Courier New" w:cs="Courier New" w:eastAsia="Courier New" w:hAnsi="Courier New"/>
          <w:sz w:val="17"/>
          <w:szCs w:val="17"/>
          <w:color w:val="auto"/>
        </w:rPr>
        <w:t>CONDENSED CONSOLIDATED STATEMENT OF OPERATIONS (IN THOUSANDS, EXCEPT SHARE AND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298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Three months ended</w:t>
            </w:r>
          </w:p>
        </w:tc>
        <w:tc>
          <w:tcPr>
            <w:tcW w:w="2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Nine months ended</w:t>
            </w:r>
          </w:p>
        </w:tc>
      </w:tr>
      <w:tr>
        <w:trPr>
          <w:trHeight w:val="194"/>
        </w:trPr>
        <w:tc>
          <w:tcPr>
            <w:tcW w:w="4960" w:type="dxa"/>
            <w:vAlign w:val="bottom"/>
          </w:tcPr>
          <w:p>
            <w:pPr>
              <w:spacing w:after="0"/>
              <w:rPr>
                <w:sz w:val="16"/>
                <w:szCs w:val="16"/>
                <w:color w:val="auto"/>
              </w:rPr>
            </w:pPr>
          </w:p>
        </w:tc>
        <w:tc>
          <w:tcPr>
            <w:tcW w:w="2980" w:type="dxa"/>
            <w:vAlign w:val="bottom"/>
            <w:gridSpan w:val="2"/>
          </w:tcPr>
          <w:p>
            <w:pPr>
              <w:jc w:val="right"/>
              <w:ind w:right="576"/>
              <w:spacing w:after="0"/>
              <w:rPr>
                <w:sz w:val="20"/>
                <w:szCs w:val="20"/>
                <w:color w:val="auto"/>
              </w:rPr>
            </w:pPr>
            <w:r>
              <w:rPr>
                <w:rFonts w:ascii="Courier New" w:cs="Courier New" w:eastAsia="Courier New" w:hAnsi="Courier New"/>
                <w:sz w:val="17"/>
                <w:szCs w:val="17"/>
                <w:color w:val="auto"/>
              </w:rPr>
              <w:t>September 30,</w:t>
            </w:r>
          </w:p>
        </w:tc>
        <w:tc>
          <w:tcPr>
            <w:tcW w:w="2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September 30,</w:t>
            </w:r>
          </w:p>
        </w:tc>
      </w:tr>
      <w:tr>
        <w:trPr>
          <w:trHeight w:val="194"/>
        </w:trPr>
        <w:tc>
          <w:tcPr>
            <w:tcW w:w="49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2003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r>
        <w:trPr>
          <w:trHeight w:val="194"/>
        </w:trPr>
        <w:tc>
          <w:tcPr>
            <w:tcW w:w="49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960" w:type="dxa"/>
            <w:vAlign w:val="bottom"/>
          </w:tcPr>
          <w:p>
            <w:pPr>
              <w:spacing w:after="0"/>
              <w:rPr>
                <w:sz w:val="20"/>
                <w:szCs w:val="20"/>
                <w:color w:val="auto"/>
              </w:rPr>
            </w:pPr>
            <w:r>
              <w:rPr>
                <w:rFonts w:ascii="Courier New" w:cs="Courier New" w:eastAsia="Courier New" w:hAnsi="Courier New"/>
                <w:sz w:val="17"/>
                <w:szCs w:val="17"/>
                <w:color w:val="auto"/>
              </w:rPr>
              <w:t>Revenue from grants and licensing agreements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tcPr>
          <w:p>
            <w:pPr>
              <w:ind w:left="400"/>
              <w:spacing w:after="0"/>
              <w:rPr>
                <w:sz w:val="20"/>
                <w:szCs w:val="20"/>
                <w:color w:val="auto"/>
              </w:rPr>
            </w:pPr>
            <w:r>
              <w:rPr>
                <w:rFonts w:ascii="Courier New" w:cs="Courier New" w:eastAsia="Courier New" w:hAnsi="Courier New"/>
                <w:sz w:val="17"/>
                <w:szCs w:val="17"/>
                <w:color w:val="auto"/>
              </w:rPr>
              <w:t>Research and development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2,075</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1,444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5,882</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4,524</w:t>
            </w:r>
          </w:p>
        </w:tc>
      </w:tr>
      <w:tr>
        <w:trPr>
          <w:trHeight w:val="194"/>
        </w:trPr>
        <w:tc>
          <w:tcPr>
            <w:tcW w:w="4960" w:type="dxa"/>
            <w:vAlign w:val="bottom"/>
          </w:tcPr>
          <w:p>
            <w:pPr>
              <w:ind w:left="400"/>
              <w:spacing w:after="0"/>
              <w:rPr>
                <w:sz w:val="20"/>
                <w:szCs w:val="20"/>
                <w:color w:val="auto"/>
              </w:rPr>
            </w:pPr>
            <w:r>
              <w:rPr>
                <w:rFonts w:ascii="Courier New" w:cs="Courier New" w:eastAsia="Courier New" w:hAnsi="Courier New"/>
                <w:sz w:val="17"/>
                <w:szCs w:val="17"/>
                <w:color w:val="auto"/>
              </w:rPr>
              <w:t>General &amp; administrative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904</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783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2,645</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2,381</w:t>
            </w:r>
          </w:p>
        </w:tc>
      </w:tr>
      <w:tr>
        <w:trPr>
          <w:trHeight w:val="194"/>
        </w:trPr>
        <w:tc>
          <w:tcPr>
            <w:tcW w:w="4960" w:type="dxa"/>
            <w:vAlign w:val="bottom"/>
          </w:tcPr>
          <w:p>
            <w:pPr>
              <w:ind w:left="400"/>
              <w:spacing w:after="0"/>
              <w:rPr>
                <w:sz w:val="20"/>
                <w:szCs w:val="20"/>
                <w:color w:val="auto"/>
              </w:rPr>
            </w:pPr>
            <w:r>
              <w:rPr>
                <w:rFonts w:ascii="Courier New" w:cs="Courier New" w:eastAsia="Courier New" w:hAnsi="Courier New"/>
                <w:sz w:val="17"/>
                <w:szCs w:val="17"/>
                <w:color w:val="auto"/>
              </w:rPr>
              <w:t>Wind-down expenses related to our</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tcPr>
          <w:p>
            <w:pPr>
              <w:ind w:left="820"/>
              <w:spacing w:after="0"/>
              <w:rPr>
                <w:sz w:val="20"/>
                <w:szCs w:val="20"/>
                <w:color w:val="auto"/>
              </w:rPr>
            </w:pPr>
            <w:r>
              <w:rPr>
                <w:rFonts w:ascii="Courier New" w:cs="Courier New" w:eastAsia="Courier New" w:hAnsi="Courier New"/>
                <w:sz w:val="17"/>
                <w:szCs w:val="17"/>
                <w:color w:val="auto"/>
              </w:rPr>
              <w:t>former corporate headquarters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1,346</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1,944</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698</w:t>
            </w:r>
          </w:p>
        </w:tc>
      </w:tr>
      <w:tr>
        <w:trPr>
          <w:trHeight w:val="194"/>
        </w:trPr>
        <w:tc>
          <w:tcPr>
            <w:tcW w:w="49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4,325</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2,451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10,471</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7,603</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Loss from operations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(4,320)</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(2,418)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(10,368)</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(7,451)</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r>
      <w:tr>
        <w:trPr>
          <w:trHeight w:val="194"/>
        </w:trPr>
        <w:tc>
          <w:tcPr>
            <w:tcW w:w="4960" w:type="dxa"/>
            <w:vAlign w:val="bottom"/>
          </w:tcPr>
          <w:p>
            <w:pPr>
              <w:spacing w:after="0"/>
              <w:rPr>
                <w:sz w:val="16"/>
                <w:szCs w:val="16"/>
                <w:color w:val="auto"/>
              </w:rPr>
            </w:pPr>
          </w:p>
        </w:tc>
        <w:tc>
          <w:tcPr>
            <w:tcW w:w="1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(4,337)</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(2,429)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(10,411)</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(7,552)</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Dividend to preferred shareholders</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Deemed dividend</w:t>
            </w:r>
          </w:p>
        </w:tc>
        <w:tc>
          <w:tcPr>
            <w:tcW w:w="12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170</w:t>
            </w:r>
          </w:p>
        </w:tc>
        <w:tc>
          <w:tcPr>
            <w:tcW w:w="1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1,658</w:t>
            </w:r>
          </w:p>
        </w:tc>
      </w:tr>
      <w:tr>
        <w:trPr>
          <w:trHeight w:val="194"/>
        </w:trPr>
        <w:tc>
          <w:tcPr>
            <w:tcW w:w="4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loss applicable to common shareholders</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($4,337)</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($10,411)</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($9,257)</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loss per share applicable to common</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tcPr>
          <w:p>
            <w:pPr>
              <w:ind w:left="400"/>
              <w:spacing w:after="0"/>
              <w:rPr>
                <w:sz w:val="20"/>
                <w:szCs w:val="20"/>
                <w:color w:val="auto"/>
              </w:rPr>
            </w:pPr>
            <w:r>
              <w:rPr>
                <w:rFonts w:ascii="Courier New" w:cs="Courier New" w:eastAsia="Courier New" w:hAnsi="Courier New"/>
                <w:sz w:val="17"/>
                <w:szCs w:val="17"/>
                <w:color w:val="auto"/>
              </w:rPr>
              <w:t>shareholders; basic and diluted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($0.08)</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($0.08)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($0.23)</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($0.30)</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Weighted average shares -- basic and diluted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54,232,231</w:t>
            </w:r>
          </w:p>
        </w:tc>
        <w:tc>
          <w:tcPr>
            <w:tcW w:w="17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33,824,249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46,132,704</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30,666,932</w:t>
            </w:r>
          </w:p>
        </w:tc>
      </w:tr>
      <w:tr>
        <w:trPr>
          <w:trHeight w:val="583"/>
        </w:trPr>
        <w:tc>
          <w:tcPr>
            <w:tcW w:w="4960" w:type="dxa"/>
            <w:vAlign w:val="bottom"/>
          </w:tcPr>
          <w:p>
            <w:pPr>
              <w:ind w:left="3340"/>
              <w:spacing w:after="0"/>
              <w:rPr>
                <w:sz w:val="20"/>
                <w:szCs w:val="20"/>
                <w:color w:val="auto"/>
              </w:rPr>
            </w:pPr>
            <w:r>
              <w:rPr>
                <w:rFonts w:ascii="Courier New" w:cs="Courier New" w:eastAsia="Courier New" w:hAnsi="Courier New"/>
                <w:sz w:val="17"/>
                <w:szCs w:val="17"/>
                <w:color w:val="auto"/>
              </w:rPr>
              <w:t>STEMCELLS INC.</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4"/>
        </w:trPr>
        <w:tc>
          <w:tcPr>
            <w:tcW w:w="6220" w:type="dxa"/>
            <w:vAlign w:val="bottom"/>
            <w:gridSpan w:val="2"/>
          </w:tcPr>
          <w:p>
            <w:pPr>
              <w:ind w:left="2220"/>
              <w:spacing w:after="0"/>
              <w:rPr>
                <w:sz w:val="20"/>
                <w:szCs w:val="20"/>
                <w:color w:val="auto"/>
              </w:rPr>
            </w:pPr>
            <w:r>
              <w:rPr>
                <w:rFonts w:ascii="Courier New" w:cs="Courier New" w:eastAsia="Courier New" w:hAnsi="Courier New"/>
                <w:sz w:val="17"/>
                <w:szCs w:val="17"/>
                <w:color w:val="auto"/>
              </w:rPr>
              <w:t>CONDENSED CONSOLIDATED BALANCE SHEETS</w:t>
            </w: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778"/>
        </w:trPr>
        <w:tc>
          <w:tcPr>
            <w:tcW w:w="4960" w:type="dxa"/>
            <w:vAlign w:val="bottom"/>
          </w:tcPr>
          <w:p>
            <w:pPr>
              <w:spacing w:after="0"/>
              <w:rPr>
                <w:sz w:val="24"/>
                <w:szCs w:val="24"/>
                <w:color w:val="auto"/>
              </w:rPr>
            </w:pPr>
          </w:p>
        </w:tc>
        <w:tc>
          <w:tcPr>
            <w:tcW w:w="298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September 30,</w:t>
            </w:r>
          </w:p>
        </w:tc>
        <w:tc>
          <w:tcPr>
            <w:tcW w:w="288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4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2004</w:t>
            </w:r>
          </w:p>
        </w:tc>
        <w:tc>
          <w:tcPr>
            <w:tcW w:w="1260" w:type="dxa"/>
            <w:vAlign w:val="bottom"/>
          </w:tcPr>
          <w:p>
            <w:pPr>
              <w:spacing w:after="0"/>
              <w:rPr>
                <w:sz w:val="16"/>
                <w:szCs w:val="16"/>
                <w:color w:val="auto"/>
              </w:rPr>
            </w:pPr>
          </w:p>
        </w:tc>
        <w:tc>
          <w:tcPr>
            <w:tcW w:w="162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2003</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260" w:type="dxa"/>
            <w:vAlign w:val="bottom"/>
          </w:tcPr>
          <w:p>
            <w:pPr>
              <w:spacing w:after="0"/>
              <w:rPr>
                <w:sz w:val="16"/>
                <w:szCs w:val="16"/>
                <w:color w:val="auto"/>
              </w:rPr>
            </w:pP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(unaudited)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c>
          <w:tcPr>
            <w:tcW w:w="1620" w:type="dxa"/>
            <w:vAlign w:val="bottom"/>
          </w:tcPr>
          <w:p>
            <w:pPr>
              <w:spacing w:after="0"/>
              <w:rPr>
                <w:sz w:val="16"/>
                <w:szCs w:val="16"/>
                <w:color w:val="auto"/>
              </w:rPr>
            </w:pPr>
          </w:p>
        </w:tc>
      </w:tr>
      <w:tr>
        <w:trPr>
          <w:trHeight w:val="389"/>
        </w:trPr>
        <w:tc>
          <w:tcPr>
            <w:tcW w:w="49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tcPr>
          <w:p>
            <w:pPr>
              <w:ind w:left="500"/>
              <w:spacing w:after="0"/>
              <w:rPr>
                <w:sz w:val="20"/>
                <w:szCs w:val="20"/>
                <w:color w:val="auto"/>
              </w:rPr>
            </w:pPr>
            <w:r>
              <w:rPr>
                <w:rFonts w:ascii="Courier New" w:cs="Courier New" w:eastAsia="Courier New" w:hAnsi="Courier New"/>
                <w:sz w:val="17"/>
                <w:szCs w:val="17"/>
                <w:color w:val="auto"/>
              </w:rPr>
              <w:t>Cash &amp; cash equivalents</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23,141</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7"/>
              </w:rPr>
              <w:t>$13,082</w:t>
            </w:r>
          </w:p>
        </w:tc>
      </w:tr>
      <w:tr>
        <w:trPr>
          <w:trHeight w:val="194"/>
        </w:trPr>
        <w:tc>
          <w:tcPr>
            <w:tcW w:w="4960" w:type="dxa"/>
            <w:vAlign w:val="bottom"/>
          </w:tcPr>
          <w:p>
            <w:pPr>
              <w:ind w:left="500"/>
              <w:spacing w:after="0"/>
              <w:rPr>
                <w:sz w:val="20"/>
                <w:szCs w:val="20"/>
                <w:color w:val="auto"/>
              </w:rPr>
            </w:pPr>
            <w:r>
              <w:rPr>
                <w:rFonts w:ascii="Courier New" w:cs="Courier New" w:eastAsia="Courier New" w:hAnsi="Courier New"/>
                <w:sz w:val="17"/>
                <w:szCs w:val="17"/>
                <w:color w:val="auto"/>
              </w:rPr>
              <w:t>Other current assets</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292</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325</w:t>
            </w:r>
          </w:p>
        </w:tc>
      </w:tr>
      <w:tr>
        <w:trPr>
          <w:trHeight w:val="194"/>
        </w:trPr>
        <w:tc>
          <w:tcPr>
            <w:tcW w:w="4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23,433</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13,407</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Property, plant &amp; equipment, net</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3,447</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3,611</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assets, net</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2,724</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2,768</w:t>
            </w:r>
          </w:p>
        </w:tc>
      </w:tr>
      <w:tr>
        <w:trPr>
          <w:trHeight w:val="194"/>
        </w:trPr>
        <w:tc>
          <w:tcPr>
            <w:tcW w:w="4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$29,604</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7"/>
              </w:rPr>
              <w:t>$19,786</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$3,513</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$2,522</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Non-current liabilities</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6,680</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6,300</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19,411</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10,964</w:t>
            </w:r>
          </w:p>
        </w:tc>
      </w:tr>
      <w:tr>
        <w:trPr>
          <w:trHeight w:val="194"/>
        </w:trPr>
        <w:tc>
          <w:tcPr>
            <w:tcW w:w="4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r>
      <w:tr>
        <w:trPr>
          <w:trHeight w:val="194"/>
        </w:trPr>
        <w:tc>
          <w:tcPr>
            <w:tcW w:w="496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$29,604</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7"/>
              </w:rPr>
              <w:t>$19,786</w:t>
            </w:r>
          </w:p>
        </w:tc>
      </w:tr>
      <w:tr>
        <w:trPr>
          <w:trHeight w:val="194"/>
        </w:trPr>
        <w:tc>
          <w:tcPr>
            <w:tcW w:w="4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7"/>
              </w:rPr>
              <w:t>-------</w:t>
            </w:r>
          </w:p>
        </w:tc>
      </w:tr>
    </w:tbl>
    <w:p>
      <w:pPr>
        <w:spacing w:after="0" w:line="393" w:lineRule="exact"/>
        <w:rPr>
          <w:sz w:val="20"/>
          <w:szCs w:val="20"/>
          <w:color w:val="auto"/>
        </w:rPr>
      </w:pPr>
    </w:p>
    <w:p>
      <w:pPr>
        <w:ind w:left="920" w:right="3040" w:hanging="6"/>
        <w:spacing w:after="0" w:line="239" w:lineRule="auto"/>
        <w:tabs>
          <w:tab w:leader="none" w:pos="1324"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Derived from audited financial statements included in StemCells' annual report on form 10-K filed with the SEC.</w:t>
      </w:r>
    </w:p>
    <w:p>
      <w:pPr>
        <w:sectPr>
          <w:pgSz w:w="11900" w:h="16838" w:orient="portrait"/>
          <w:cols w:equalWidth="0" w:num="1">
            <w:col w:w="10820"/>
          </w:cols>
          <w:pgMar w:left="240" w:top="697" w:right="839" w:bottom="1440" w:gutter="0" w:footer="0" w:header="0"/>
        </w:sectPr>
      </w:pPr>
    </w:p>
    <w:bookmarkStart w:id="35" w:name="page36"/>
    <w:bookmarkEnd w:id="35"/>
    <w:p>
      <w:pPr>
        <w:ind w:left="6880"/>
        <w:spacing w:after="0"/>
        <w:rPr>
          <w:sz w:val="20"/>
          <w:szCs w:val="20"/>
          <w:color w:val="auto"/>
        </w:rPr>
      </w:pPr>
      <w:r>
        <w:rPr>
          <w:rFonts w:ascii="Courier New" w:cs="Courier New" w:eastAsia="Courier New" w:hAnsi="Courier New"/>
          <w:sz w:val="16"/>
          <w:szCs w:val="16"/>
          <w:color w:val="auto"/>
        </w:rPr>
        <w:t>EXHIBIT 99.2</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[STEMCELLS LOGO]</w:t>
      </w:r>
    </w:p>
    <w:p>
      <w:pPr>
        <w:sectPr>
          <w:pgSz w:w="11900" w:h="16838" w:orient="portrait"/>
          <w:cols w:equalWidth="0" w:num="1">
            <w:col w:w="10219"/>
          </w:cols>
          <w:pgMar w:left="240" w:top="336"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CONTACT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Martin McGlynn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(650) 475-3100</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 RELATIONS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Ina McGuinness or Bruce Voss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Lippert/Heilshorn &amp; Associates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(310) 691-7100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imcguinness@lhai.com</w:t>
      </w:r>
    </w:p>
    <w:p>
      <w:pPr>
        <w:spacing w:after="0" w:line="199" w:lineRule="exact"/>
        <w:rPr>
          <w:sz w:val="20"/>
          <w:szCs w:val="20"/>
          <w:color w:val="auto"/>
        </w:rPr>
      </w:pPr>
    </w:p>
    <w:p>
      <w:pPr>
        <w:sectPr>
          <w:pgSz w:w="11900" w:h="16838" w:orient="portrait"/>
          <w:cols w:equalWidth="0" w:num="2">
            <w:col w:w="3940" w:space="720"/>
            <w:col w:w="5559"/>
          </w:cols>
          <w:pgMar w:left="240" w:top="3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IMMEDIATE RELEASE</w:t>
      </w:r>
    </w:p>
    <w:p>
      <w:pPr>
        <w:sectPr>
          <w:pgSz w:w="11900" w:h="16838" w:orient="portrait"/>
          <w:cols w:equalWidth="0" w:num="1">
            <w:col w:w="10219"/>
          </w:cols>
          <w:pgMar w:left="240" w:top="336" w:right="1440" w:bottom="1440" w:gutter="0" w:footer="0" w:header="0"/>
          <w:type w:val="continuous"/>
        </w:sectPr>
      </w:pPr>
    </w:p>
    <w:p>
      <w:pPr>
        <w:spacing w:after="0" w:line="20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STEMCELLS RAISES $22.5 MILLION IN NEW EQUITY FINANCING</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PALO ALTO, CALIF., OCTOBER 26, 2004 -- StemCells, Inc. (NASDAQ: STEM) announced today that it has entered into definitive agreements with institutional investors with respect to the registered direct placement of 7,500,000 shares of its common stock at a purchase price of $3.00 per share, for gross proceeds of approximately $22,500,000. C.E. Unterberg, Towbin, LLC and Shoreline Pacific, LLC served as placement agents for the transaction.</w:t>
      </w:r>
    </w:p>
    <w:p>
      <w:pPr>
        <w:spacing w:after="0" w:line="201"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transaction is expected to be consummated within the next few days following satisfaction of certain customary closing conditions contained in the definitive transaction agreements.</w:t>
      </w:r>
    </w:p>
    <w:p>
      <w:pPr>
        <w:spacing w:after="0" w:line="200"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StemCells sold these shares under a shelf registration statement previously filed with and declared effective by the U.S. Securities and Exchange Commission.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STEMCELLS INC.</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201"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pacing w:after="0" w:line="37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 # #</w:t>
      </w:r>
    </w:p>
    <w:sectPr>
      <w:pgSz w:w="11900" w:h="16838" w:orient="portrait"/>
      <w:cols w:equalWidth="0" w:num="1">
        <w:col w:w="10219"/>
      </w:cols>
      <w:pgMar w:left="240" w:top="3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lowerLetter"/>
      <w:start w:val="2"/>
    </w:lvl>
  </w:abstractNum>
  <w:abstractNum w:abstractNumId="5">
    <w:nsid w:val="721DA317"/>
    <w:multiLevelType w:val="hybridMultilevel"/>
    <w:lvl w:ilvl="0">
      <w:lvlJc w:val="left"/>
      <w:lvlText w:val="(%1)"/>
      <w:numFmt w:val="lowerLetter"/>
      <w:start w:val="5"/>
    </w:lvl>
  </w:abstractNum>
  <w:abstractNum w:abstractNumId="6">
    <w:nsid w:val="2443A858"/>
    <w:multiLevelType w:val="hybridMultilevel"/>
    <w:lvl w:ilvl="0">
      <w:lvlJc w:val="left"/>
      <w:lvlText w:val="%1"/>
      <w:numFmt w:val="lowerLetter"/>
      <w:start w:val="1"/>
    </w:lvl>
    <w:lvl w:ilvl="1">
      <w:lvlJc w:val="left"/>
      <w:lvlText w:val="(%2)"/>
      <w:numFmt w:val="lowerLetter"/>
      <w:start w:val="9"/>
    </w:lvl>
  </w:abstractNum>
  <w:abstractNum w:abstractNumId="7">
    <w:nsid w:val="2D1D5AE9"/>
    <w:multiLevelType w:val="hybridMultilevel"/>
    <w:lvl w:ilvl="0">
      <w:lvlJc w:val="left"/>
      <w:lvlText w:val="(%1)"/>
      <w:numFmt w:val="lowerLetter"/>
      <w:start w:val="9"/>
    </w:lvl>
    <w:lvl w:ilvl="1">
      <w:lvlJc w:val="left"/>
      <w:lvlText w:val="(%2)"/>
      <w:numFmt w:val="lowerLetter"/>
      <w:start w:val="11"/>
    </w:lvl>
  </w:abstractNum>
  <w:abstractNum w:abstractNumId="8">
    <w:nsid w:val="6763845E"/>
    <w:multiLevelType w:val="hybridMultilevel"/>
    <w:lvl w:ilvl="0">
      <w:lvlJc w:val="left"/>
      <w:lvlText w:val="(%1)"/>
      <w:numFmt w:val="lowerLetter"/>
      <w:start w:val="9"/>
    </w:lvl>
    <w:lvl w:ilvl="1">
      <w:lvlJc w:val="left"/>
      <w:lvlText w:val="(%2)"/>
      <w:numFmt w:val="lowerLetter"/>
      <w:start w:val="12"/>
    </w:lvl>
  </w:abstractNum>
  <w:abstractNum w:abstractNumId="9">
    <w:nsid w:val="75A2A8D4"/>
    <w:multiLevelType w:val="hybridMultilevel"/>
    <w:lvl w:ilvl="0">
      <w:lvlJc w:val="left"/>
      <w:lvlText w:val="%1"/>
      <w:numFmt w:val="lowerLetter"/>
      <w:start w:val="1"/>
    </w:lvl>
    <w:lvl w:ilvl="1">
      <w:lvlJc w:val="left"/>
      <w:lvlText w:val="(%2)"/>
      <w:numFmt w:val="lowerLetter"/>
      <w:start w:val="13"/>
    </w:lvl>
  </w:abstractNum>
  <w:abstractNum w:abstractNumId="10">
    <w:nsid w:val="8EDBDAB"/>
    <w:multiLevelType w:val="hybridMultilevel"/>
    <w:lvl w:ilvl="0">
      <w:lvlJc w:val="left"/>
      <w:lvlText w:val="(%1)"/>
      <w:numFmt w:val="lowerLetter"/>
      <w:start w:val="9"/>
    </w:lvl>
    <w:lvl w:ilvl="1">
      <w:lvlJc w:val="left"/>
      <w:lvlText w:val="(%2)"/>
      <w:numFmt w:val="lowerLetter"/>
      <w:start w:val="15"/>
    </w:lvl>
  </w:abstractNum>
  <w:abstractNum w:abstractNumId="11">
    <w:nsid w:val="79838CB2"/>
    <w:multiLevelType w:val="hybridMultilevel"/>
    <w:lvl w:ilvl="0">
      <w:lvlJc w:val="left"/>
      <w:lvlText w:val="%1"/>
      <w:numFmt w:val="lowerLetter"/>
      <w:start w:val="1"/>
    </w:lvl>
    <w:lvl w:ilvl="1">
      <w:lvlJc w:val="left"/>
      <w:lvlText w:val="(%2)"/>
      <w:numFmt w:val="lowerLetter"/>
      <w:start w:val="18"/>
    </w:lvl>
  </w:abstractNum>
  <w:abstractNum w:abstractNumId="12">
    <w:nsid w:val="4353D0CD"/>
    <w:multiLevelType w:val="hybridMultilevel"/>
    <w:lvl w:ilvl="0">
      <w:lvlJc w:val="left"/>
      <w:lvlText w:val="(%1)"/>
      <w:numFmt w:val="lowerLetter"/>
      <w:start w:val="22"/>
    </w:lvl>
    <w:lvl w:ilvl="1">
      <w:lvlJc w:val="left"/>
      <w:lvlText w:val="(%2)"/>
      <w:numFmt w:val="lowerLetter"/>
      <w:start w:val="21"/>
    </w:lvl>
  </w:abstractNum>
  <w:abstractNum w:abstractNumId="13">
    <w:nsid w:val="B03E0C6"/>
    <w:multiLevelType w:val="hybridMultilevel"/>
    <w:lvl w:ilvl="0">
      <w:lvlJc w:val="left"/>
      <w:lvlText w:val="(%1)"/>
      <w:numFmt w:val="lowerLetter"/>
      <w:start w:val="23"/>
    </w:lvl>
  </w:abstractNum>
  <w:abstractNum w:abstractNumId="14">
    <w:nsid w:val="189A769B"/>
    <w:multiLevelType w:val="hybridMultilevel"/>
    <w:lvl w:ilvl="0">
      <w:lvlJc w:val="left"/>
      <w:lvlText w:val="%1"/>
      <w:numFmt w:val="lowerLetter"/>
      <w:start w:val="1"/>
    </w:lvl>
    <w:lvl w:ilvl="1">
      <w:lvlJc w:val="left"/>
      <w:lvlText w:val="(%2)"/>
      <w:numFmt w:val="lowerLetter"/>
      <w:start w:val="25"/>
    </w:lvl>
  </w:abstractNum>
  <w:abstractNum w:abstractNumId="15">
    <w:nsid w:val="54E49EB4"/>
    <w:multiLevelType w:val="hybridMultilevel"/>
    <w:lvl w:ilvl="0">
      <w:lvlJc w:val="left"/>
      <w:lvlText w:val="(%1)"/>
      <w:numFmt w:val="lowerLetter"/>
      <w:start w:val="9"/>
    </w:lvl>
    <w:lvl w:ilvl="1">
      <w:lvlJc w:val="left"/>
      <w:lvlText w:val="(%2)"/>
      <w:numFmt w:val="lowerLetter"/>
      <w:start w:val="26"/>
    </w:lvl>
  </w:abstractNum>
  <w:abstractNum w:abstractNumId="16">
    <w:nsid w:val="71F32454"/>
    <w:multiLevelType w:val="hybridMultilevel"/>
    <w:lvl w:ilvl="0">
      <w:lvlJc w:val="left"/>
      <w:lvlText w:val="(%1)"/>
      <w:numFmt w:val="lowerLetter"/>
      <w:start w:val="61"/>
    </w:lvl>
    <w:lvl w:ilvl="1">
      <w:lvlJc w:val="left"/>
      <w:lvlText w:val="%2"/>
      <w:numFmt w:val="lowerLetter"/>
      <w:start w:val="1"/>
    </w:lvl>
  </w:abstractNum>
  <w:abstractNum w:abstractNumId="17">
    <w:nsid w:val="2CA88611"/>
    <w:multiLevelType w:val="hybridMultilevel"/>
    <w:lvl w:ilvl="0">
      <w:lvlJc w:val="left"/>
      <w:lvlText w:val="(%1)"/>
      <w:numFmt w:val="lowerLetter"/>
      <w:start w:val="22"/>
    </w:lvl>
    <w:lvl w:ilvl="1">
      <w:lvlJc w:val="left"/>
      <w:lvlText w:val="%2"/>
      <w:numFmt w:val="lowerLetter"/>
      <w:start w:val="1"/>
    </w:lvl>
  </w:abstractNum>
  <w:abstractNum w:abstractNumId="18">
    <w:nsid w:val="836C40E"/>
    <w:multiLevelType w:val="hybridMultilevel"/>
    <w:lvl w:ilvl="0">
      <w:lvlJc w:val="left"/>
      <w:lvlText w:val="%1"/>
      <w:numFmt w:val="lowerLetter"/>
      <w:start w:val="1"/>
    </w:lvl>
    <w:lvl w:ilvl="1">
      <w:lvlJc w:val="left"/>
      <w:lvlText w:val="(%2)"/>
      <w:numFmt w:val="lowerLetter"/>
      <w:start w:val="27"/>
    </w:lvl>
  </w:abstractNum>
  <w:abstractNum w:abstractNumId="19">
    <w:nsid w:val="2901D82"/>
    <w:multiLevelType w:val="hybridMultilevel"/>
    <w:lvl w:ilvl="0">
      <w:lvlJc w:val="left"/>
      <w:lvlText w:val="(%1)"/>
      <w:numFmt w:val="lowerLetter"/>
      <w:start w:val="35"/>
    </w:lvl>
    <w:lvl w:ilvl="1">
      <w:lvlJc w:val="left"/>
      <w:lvlText w:val="(%2)"/>
      <w:numFmt w:val="lowerLetter"/>
      <w:start w:val="29"/>
    </w:lvl>
  </w:abstractNum>
  <w:abstractNum w:abstractNumId="20">
    <w:nsid w:val="3A95F874"/>
    <w:multiLevelType w:val="hybridMultilevel"/>
    <w:lvl w:ilvl="0">
      <w:lvlJc w:val="left"/>
      <w:lvlText w:val="(%1)"/>
      <w:numFmt w:val="lowerLetter"/>
      <w:start w:val="32"/>
    </w:lvl>
  </w:abstractNum>
  <w:abstractNum w:abstractNumId="21">
    <w:nsid w:val="8138641"/>
    <w:multiLevelType w:val="hybridMultilevel"/>
    <w:lvl w:ilvl="0">
      <w:lvlJc w:val="left"/>
      <w:lvlText w:val="(%1)"/>
      <w:numFmt w:val="lowerLetter"/>
      <w:start w:val="37"/>
    </w:lvl>
  </w:abstractNum>
  <w:abstractNum w:abstractNumId="22">
    <w:nsid w:val="1E7FF521"/>
    <w:multiLevelType w:val="hybridMultilevel"/>
    <w:lvl w:ilvl="0">
      <w:lvlJc w:val="left"/>
      <w:lvlText w:val="%1."/>
      <w:numFmt w:val="decimal"/>
      <w:start w:val="4"/>
    </w:lvl>
    <w:lvl w:ilvl="1">
      <w:lvlJc w:val="left"/>
      <w:lvlText w:val="(%2)"/>
      <w:numFmt w:val="lowerLetter"/>
      <w:start w:val="1"/>
    </w:lvl>
  </w:abstractNum>
  <w:abstractNum w:abstractNumId="23">
    <w:nsid w:val="7C3DBD3D"/>
    <w:multiLevelType w:val="hybridMultilevel"/>
    <w:lvl w:ilvl="0">
      <w:lvlJc w:val="left"/>
      <w:lvlText w:val="(%1)"/>
      <w:numFmt w:val="lowerLetter"/>
      <w:start w:val="5"/>
    </w:lvl>
  </w:abstractNum>
  <w:abstractNum w:abstractNumId="24">
    <w:nsid w:val="737B8DDC"/>
    <w:multiLevelType w:val="hybridMultilevel"/>
    <w:lvl w:ilvl="0">
      <w:lvlJc w:val="left"/>
      <w:lvlText w:val="%1"/>
      <w:numFmt w:val="decimal"/>
      <w:start w:val="1"/>
    </w:lvl>
    <w:lvl w:ilvl="1">
      <w:lvlJc w:val="left"/>
      <w:lvlText w:val="(%2)"/>
      <w:numFmt w:val="lowerLetter"/>
      <w:start w:val="11"/>
    </w:lvl>
  </w:abstractNum>
  <w:abstractNum w:abstractNumId="25">
    <w:nsid w:val="6CEAF087"/>
    <w:multiLevelType w:val="hybridMultilevel"/>
    <w:lvl w:ilvl="0">
      <w:lvlJc w:val="left"/>
      <w:lvlText w:val="%1."/>
      <w:numFmt w:val="decimal"/>
      <w:start w:val="5"/>
    </w:lvl>
    <w:lvl w:ilvl="1">
      <w:lvlJc w:val="left"/>
      <w:lvlText w:val="(%2)"/>
      <w:numFmt w:val="lowerLetter"/>
      <w:start w:val="1"/>
    </w:lvl>
  </w:abstractNum>
  <w:abstractNum w:abstractNumId="26">
    <w:nsid w:val="22221A70"/>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27">
    <w:nsid w:val="4516DDE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8">
    <w:nsid w:val="3006C83E"/>
    <w:multiLevelType w:val="hybridMultilevel"/>
    <w:lvl w:ilvl="0">
      <w:lvlJc w:val="left"/>
      <w:lvlText w:val="%1."/>
      <w:numFmt w:val="decimal"/>
      <w:start w:val="7"/>
    </w:lvl>
    <w:lvl w:ilvl="1">
      <w:lvlJc w:val="left"/>
      <w:lvlText w:val="(%2)"/>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1">
    <w:nsid w:val="5577F8E1"/>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32">
    <w:nsid w:val="440BADFC"/>
    <w:multiLevelType w:val="hybridMultilevel"/>
    <w:lvl w:ilvl="0">
      <w:lvlJc w:val="left"/>
      <w:lvlText w:val="(%1)"/>
      <w:numFmt w:val="decimal"/>
      <w:start w:val="415"/>
    </w:lvl>
    <w:lvl w:ilvl="1">
      <w:lvlJc w:val="left"/>
      <w:lvlText w:val="%2"/>
      <w:numFmt w:val="decimal"/>
      <w:start w:val="1"/>
    </w:lvl>
    <w:lvl w:ilvl="2">
      <w:lvlJc w:val="left"/>
      <w:lvlText w:val="%3"/>
      <w:numFmt w:val="lowerLetter"/>
      <w:start w:val="1"/>
    </w:lvl>
  </w:abstractNum>
  <w:abstractNum w:abstractNumId="33">
    <w:nsid w:val="5072367"/>
    <w:multiLevelType w:val="hybridMultilevel"/>
    <w:lvl w:ilvl="0">
      <w:lvlJc w:val="left"/>
      <w:lvlText w:val="%1."/>
      <w:numFmt w:val="decimal"/>
      <w:start w:val="10"/>
    </w:lvl>
  </w:abstractNum>
  <w:abstractNum w:abstractNumId="34">
    <w:nsid w:val="3804823E"/>
    <w:multiLevelType w:val="hybridMultilevel"/>
    <w:lvl w:ilvl="0">
      <w:lvlJc w:val="left"/>
      <w:lvlText w:val="%1"/>
      <w:numFmt w:val="lowerLetter"/>
      <w:start w:val="1"/>
    </w:lvl>
    <w:lvl w:ilvl="1">
      <w:lvlJc w:val="left"/>
      <w:lvlText w:val="%2."/>
      <w:numFmt w:val="decimal"/>
      <w:start w:val="1"/>
    </w:lvl>
  </w:abstractNum>
  <w:abstractNum w:abstractNumId="35">
    <w:nsid w:val="77465F01"/>
    <w:multiLevelType w:val="hybridMultilevel"/>
    <w:lvl w:ilvl="0">
      <w:lvlJc w:val="left"/>
      <w:lvlText w:val="(%1)"/>
      <w:numFmt w:val="lowerLetter"/>
      <w:start w:val="2"/>
    </w:lvl>
    <w:lvl w:ilvl="1">
      <w:lvlJc w:val="left"/>
      <w:lvlText w:val="%2."/>
      <w:numFmt w:val="decimal"/>
      <w:start w:val="6"/>
    </w:lvl>
  </w:abstractNum>
  <w:abstractNum w:abstractNumId="36">
    <w:nsid w:val="7724C67E"/>
    <w:multiLevelType w:val="hybridMultilevel"/>
    <w:lvl w:ilvl="0">
      <w:lvlJc w:val="left"/>
      <w:lvlText w:val="%1."/>
      <w:numFmt w:val="decimal"/>
      <w:start w:val="10"/>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2019-12-13T21:59:46Z</dcterms:created>
  <dcterms:modified xsi:type="dcterms:W3CDTF">2019-12-13T21:59:46Z</dcterms:modified>
</cp:coreProperties>
</file>