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410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1"/>
              </w:rPr>
              <w:t>For the quarter ended: June 30, 2006</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40" w:type="dxa"/>
            <w:vAlign w:val="bottom"/>
          </w:tcPr>
          <w:p>
            <w:pPr>
              <w:spacing w:after="0"/>
              <w:rPr>
                <w:sz w:val="24"/>
                <w:szCs w:val="24"/>
                <w:color w:val="auto"/>
              </w:rPr>
            </w:pPr>
          </w:p>
        </w:tc>
        <w:tc>
          <w:tcPr>
            <w:tcW w:w="41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1"/>
              </w:rPr>
              <w:t>Commission File Number: 0-19871</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840" w:type="dxa"/>
            <w:vAlign w:val="bottom"/>
          </w:tcPr>
          <w:p>
            <w:pPr>
              <w:spacing w:after="0"/>
              <w:rPr>
                <w:sz w:val="24"/>
                <w:szCs w:val="24"/>
                <w:color w:val="auto"/>
              </w:rPr>
            </w:pPr>
          </w:p>
        </w:tc>
        <w:tc>
          <w:tcPr>
            <w:tcW w:w="4100" w:type="dxa"/>
            <w:vAlign w:val="bottom"/>
            <w:gridSpan w:val="10"/>
          </w:tcPr>
          <w:p>
            <w:pPr>
              <w:jc w:val="center"/>
              <w:ind w:right="340"/>
              <w:spacing w:after="0"/>
              <w:rPr>
                <w:sz w:val="20"/>
                <w:szCs w:val="20"/>
                <w:color w:val="auto"/>
              </w:rPr>
            </w:pPr>
            <w:r>
              <w:rPr>
                <w:rFonts w:ascii="Arial" w:cs="Arial" w:eastAsia="Arial" w:hAnsi="Arial"/>
                <w:sz w:val="43"/>
                <w:szCs w:val="43"/>
                <w:b w:val="1"/>
                <w:bCs w:val="1"/>
                <w:color w:val="auto"/>
              </w:rPr>
              <w:t>STEMCELLS,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40" w:type="dxa"/>
            <w:vAlign w:val="bottom"/>
          </w:tcPr>
          <w:p>
            <w:pPr>
              <w:spacing w:after="0"/>
              <w:rPr>
                <w:sz w:val="19"/>
                <w:szCs w:val="19"/>
                <w:color w:val="auto"/>
              </w:rPr>
            </w:pPr>
          </w:p>
        </w:tc>
        <w:tc>
          <w:tcPr>
            <w:tcW w:w="3760" w:type="dxa"/>
            <w:vAlign w:val="bottom"/>
            <w:tcBorders>
              <w:top w:val="single" w:sz="8" w:color="auto"/>
            </w:tcBorders>
            <w:gridSpan w:val="9"/>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940" w:type="dxa"/>
            <w:vAlign w:val="bottom"/>
            <w:gridSpan w:val="11"/>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c>
          <w:tcPr>
            <w:tcW w:w="0" w:type="dxa"/>
            <w:vAlign w:val="bottom"/>
          </w:tcPr>
          <w:p>
            <w:pPr>
              <w:spacing w:after="0"/>
              <w:rPr>
                <w:sz w:val="1"/>
                <w:szCs w:val="1"/>
                <w:color w:val="auto"/>
              </w:rPr>
            </w:pPr>
          </w:p>
        </w:tc>
      </w:tr>
      <w:tr>
        <w:trPr>
          <w:trHeight w:val="209"/>
        </w:trPr>
        <w:tc>
          <w:tcPr>
            <w:tcW w:w="54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7940" w:type="dxa"/>
            <w:vAlign w:val="bottom"/>
            <w:gridSpan w:val="11"/>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10"/>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9"/>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color w:val="auto"/>
                <w:w w:val="93"/>
              </w:rPr>
              <w:t>PALO ALTO, CA 94304</w:t>
            </w:r>
          </w:p>
        </w:tc>
        <w:tc>
          <w:tcPr>
            <w:tcW w:w="1320" w:type="dxa"/>
            <w:vAlign w:val="bottom"/>
            <w:gridSpan w:val="3"/>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40" w:type="dxa"/>
            <w:vAlign w:val="bottom"/>
            <w:gridSpan w:val="11"/>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80" w:type="dxa"/>
            <w:vAlign w:val="bottom"/>
            <w:gridSpan w:val="6"/>
          </w:tcPr>
          <w:p>
            <w:pPr>
              <w:jc w:val="center"/>
              <w:ind w:left="5070"/>
              <w:spacing w:after="0"/>
              <w:rPr>
                <w:sz w:val="20"/>
                <w:szCs w:val="20"/>
                <w:color w:val="auto"/>
              </w:rPr>
            </w:pPr>
            <w:r>
              <w:rPr>
                <w:rFonts w:ascii="Arial" w:cs="Arial" w:eastAsia="Arial" w:hAnsi="Arial"/>
                <w:sz w:val="18"/>
                <w:szCs w:val="18"/>
                <w:color w:val="auto"/>
                <w:w w:val="90"/>
              </w:rPr>
              <w:t>(650) 475-3100</w:t>
            </w:r>
          </w:p>
        </w:tc>
        <w:tc>
          <w:tcPr>
            <w:tcW w:w="1660" w:type="dxa"/>
            <w:vAlign w:val="bottom"/>
            <w:gridSpan w:val="5"/>
            <w:vMerge w:val="restart"/>
          </w:tcPr>
          <w:p>
            <w:pPr>
              <w:spacing w:after="0"/>
              <w:rPr>
                <w:sz w:val="20"/>
                <w:szCs w:val="20"/>
                <w:color w:val="auto"/>
              </w:rPr>
            </w:pPr>
            <w:r>
              <w:rPr>
                <w:rFonts w:ascii="Arial" w:cs="Arial" w:eastAsia="Arial" w:hAnsi="Arial"/>
                <w:sz w:val="18"/>
                <w:szCs w:val="18"/>
                <w:color w:val="auto"/>
              </w:rPr>
              <w:t>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60" w:type="dxa"/>
            <w:vAlign w:val="bottom"/>
            <w:gridSpan w:val="3"/>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80" w:type="dxa"/>
            <w:vAlign w:val="bottom"/>
            <w:gridSpan w:val="6"/>
          </w:tcPr>
          <w:p>
            <w:pPr>
              <w:ind w:left="3800"/>
              <w:spacing w:after="0"/>
              <w:rPr>
                <w:sz w:val="20"/>
                <w:szCs w:val="20"/>
                <w:color w:val="auto"/>
              </w:rPr>
            </w:pPr>
            <w:r>
              <w:rPr>
                <w:rFonts w:ascii="Arial" w:cs="Arial" w:eastAsia="Arial" w:hAnsi="Arial"/>
                <w:sz w:val="18"/>
                <w:szCs w:val="18"/>
                <w:color w:val="auto"/>
                <w:w w:val="96"/>
              </w:rPr>
              <w:t>(Registrant’s telephone number,</w:t>
            </w:r>
          </w:p>
        </w:tc>
        <w:tc>
          <w:tcPr>
            <w:tcW w:w="1660" w:type="dxa"/>
            <w:vAlign w:val="bottom"/>
            <w:gridSpan w:val="5"/>
            <w:vMerge w:val="continue"/>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840"/>
        <w:spacing w:after="0" w:line="207" w:lineRule="exact"/>
        <w:tabs>
          <w:tab w:leader="none" w:pos="5000" w:val="left"/>
          <w:tab w:leader="none" w:pos="88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July 26, 2006, there were 77,777,174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STEMCELLS,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gridSpan w:val="1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500" w:type="dxa"/>
            <w:vAlign w:val="bottom"/>
            <w:gridSpan w:val="10"/>
            <w:vMerge w:val="restart"/>
          </w:tcPr>
          <w:p>
            <w:pPr>
              <w:spacing w:after="0"/>
              <w:rPr>
                <w:sz w:val="15"/>
                <w:szCs w:val="15"/>
                <w:color w:val="auto"/>
              </w:rPr>
            </w:pPr>
          </w:p>
        </w:tc>
        <w:tc>
          <w:tcPr>
            <w:tcW w:w="2020" w:type="dxa"/>
            <w:vAlign w:val="bottom"/>
          </w:tcPr>
          <w:p>
            <w:pPr>
              <w:ind w:left="1220"/>
              <w:spacing w:after="0"/>
              <w:rPr>
                <w:sz w:val="20"/>
                <w:szCs w:val="20"/>
                <w:color w:val="auto"/>
              </w:rPr>
            </w:pPr>
            <w:r>
              <w:rPr>
                <w:rFonts w:ascii="Arial" w:cs="Arial" w:eastAsia="Arial" w:hAnsi="Arial"/>
                <w:sz w:val="14"/>
                <w:szCs w:val="14"/>
                <w:color w:val="auto"/>
                <w:w w:val="90"/>
              </w:rPr>
              <w:t>Page Number</w:t>
            </w:r>
          </w:p>
        </w:tc>
        <w:tc>
          <w:tcPr>
            <w:tcW w:w="0" w:type="dxa"/>
            <w:vAlign w:val="bottom"/>
          </w:tcPr>
          <w:p>
            <w:pPr>
              <w:spacing w:after="0"/>
              <w:rPr>
                <w:sz w:val="1"/>
                <w:szCs w:val="1"/>
                <w:color w:val="auto"/>
              </w:rPr>
            </w:pPr>
          </w:p>
        </w:tc>
      </w:tr>
      <w:tr>
        <w:trPr>
          <w:trHeight w:val="166"/>
        </w:trPr>
        <w:tc>
          <w:tcPr>
            <w:tcW w:w="2900" w:type="dxa"/>
            <w:vAlign w:val="bottom"/>
            <w:tcBorders>
              <w:bottom w:val="single" w:sz="8" w:color="0000EE"/>
            </w:tcBorders>
            <w:gridSpan w:val="13"/>
            <w:vMerge w:val="continue"/>
          </w:tcPr>
          <w:p>
            <w:pPr>
              <w:spacing w:after="0"/>
              <w:rPr>
                <w:sz w:val="13"/>
                <w:szCs w:val="13"/>
                <w:color w:val="auto"/>
              </w:rPr>
            </w:pPr>
          </w:p>
        </w:tc>
        <w:tc>
          <w:tcPr>
            <w:tcW w:w="6500" w:type="dxa"/>
            <w:vAlign w:val="bottom"/>
            <w:gridSpan w:val="10"/>
            <w:vMerge w:val="continue"/>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40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2020" w:type="dxa"/>
            <w:vAlign w:val="bottom"/>
          </w:tcPr>
          <w:p>
            <w:pPr>
              <w:jc w:val="center"/>
              <w:ind w:left="113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2006 and December 31, 2005</w:t>
              </w:r>
            </w:hyperlink>
          </w:p>
        </w:tc>
        <w:tc>
          <w:tcPr>
            <w:tcW w:w="3260" w:type="dxa"/>
            <w:vAlign w:val="bottom"/>
            <w:gridSpan w:val="4"/>
          </w:tcPr>
          <w:p>
            <w:pPr>
              <w:spacing w:after="0"/>
              <w:rPr>
                <w:sz w:val="24"/>
                <w:szCs w:val="24"/>
                <w:color w:val="auto"/>
              </w:rPr>
            </w:pPr>
          </w:p>
        </w:tc>
        <w:tc>
          <w:tcPr>
            <w:tcW w:w="2020" w:type="dxa"/>
            <w:vAlign w:val="bottom"/>
          </w:tcPr>
          <w:p>
            <w:pPr>
              <w:jc w:val="center"/>
              <w:ind w:left="113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2006 and 2005</w:t>
              </w:r>
            </w:hyperlink>
          </w:p>
        </w:tc>
        <w:tc>
          <w:tcPr>
            <w:tcW w:w="2020" w:type="dxa"/>
            <w:vAlign w:val="bottom"/>
          </w:tcPr>
          <w:p>
            <w:pPr>
              <w:jc w:val="center"/>
              <w:ind w:left="1131"/>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Borders>
              <w:top w:val="single" w:sz="8" w:color="0000EE"/>
            </w:tcBorders>
            <w:gridSpan w:val="20"/>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six months ended June 30, 2006 and 2005</w:t>
              </w:r>
            </w:hyperlink>
          </w:p>
        </w:tc>
        <w:tc>
          <w:tcPr>
            <w:tcW w:w="1240" w:type="dxa"/>
            <w:vAlign w:val="bottom"/>
          </w:tcPr>
          <w:p>
            <w:pPr>
              <w:spacing w:after="0"/>
              <w:rPr>
                <w:sz w:val="24"/>
                <w:szCs w:val="24"/>
                <w:color w:val="auto"/>
              </w:rPr>
            </w:pPr>
          </w:p>
        </w:tc>
        <w:tc>
          <w:tcPr>
            <w:tcW w:w="2020" w:type="dxa"/>
            <w:vAlign w:val="bottom"/>
          </w:tcPr>
          <w:p>
            <w:pPr>
              <w:jc w:val="center"/>
              <w:ind w:left="1131"/>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900" w:type="dxa"/>
            <w:vAlign w:val="bottom"/>
            <w:gridSpan w:val="2"/>
          </w:tcPr>
          <w:p>
            <w:pPr>
              <w:spacing w:after="0"/>
              <w:rPr>
                <w:sz w:val="24"/>
                <w:szCs w:val="24"/>
                <w:color w:val="auto"/>
              </w:rPr>
            </w:pPr>
          </w:p>
        </w:tc>
        <w:tc>
          <w:tcPr>
            <w:tcW w:w="2020" w:type="dxa"/>
            <w:vAlign w:val="bottom"/>
          </w:tcPr>
          <w:p>
            <w:pPr>
              <w:jc w:val="center"/>
              <w:ind w:left="1131"/>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2380" w:type="dxa"/>
            <w:vAlign w:val="bottom"/>
            <w:gridSpan w:val="3"/>
          </w:tcPr>
          <w:p>
            <w:pPr>
              <w:spacing w:after="0"/>
              <w:rPr>
                <w:sz w:val="24"/>
                <w:szCs w:val="24"/>
                <w:color w:val="auto"/>
              </w:rPr>
            </w:pPr>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2620" w:type="dxa"/>
            <w:vAlign w:val="bottom"/>
            <w:tcBorders>
              <w:top w:val="single" w:sz="8" w:color="0000EE"/>
            </w:tcBorders>
            <w:gridSpan w:val="8"/>
          </w:tcPr>
          <w:p>
            <w:pPr>
              <w:spacing w:after="0"/>
              <w:rPr>
                <w:sz w:val="24"/>
                <w:szCs w:val="24"/>
                <w:color w:val="auto"/>
              </w:rPr>
            </w:pPr>
          </w:p>
        </w:tc>
        <w:tc>
          <w:tcPr>
            <w:tcW w:w="4440" w:type="dxa"/>
            <w:vAlign w:val="bottom"/>
            <w:gridSpan w:val="5"/>
          </w:tcPr>
          <w:p>
            <w:pPr>
              <w:spacing w:after="0"/>
              <w:rPr>
                <w:sz w:val="24"/>
                <w:szCs w:val="24"/>
                <w:color w:val="auto"/>
              </w:rPr>
            </w:pPr>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940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6820" w:type="dxa"/>
            <w:vAlign w:val="bottom"/>
            <w:gridSpan w:val="12"/>
          </w:tcPr>
          <w:p>
            <w:pPr>
              <w:spacing w:after="0"/>
              <w:rPr>
                <w:sz w:val="24"/>
                <w:szCs w:val="24"/>
                <w:color w:val="auto"/>
              </w:rPr>
            </w:pPr>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7800" w:type="dxa"/>
            <w:vAlign w:val="bottom"/>
            <w:gridSpan w:val="16"/>
          </w:tcPr>
          <w:p>
            <w:pPr>
              <w:spacing w:after="0"/>
              <w:rPr>
                <w:sz w:val="24"/>
                <w:szCs w:val="24"/>
                <w:color w:val="auto"/>
              </w:rPr>
            </w:pPr>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940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Changes in Securities and Use of Proceeds</w:t>
              </w:r>
            </w:hyperlink>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3640" w:type="dxa"/>
            <w:vAlign w:val="bottom"/>
            <w:tcBorders>
              <w:top w:val="single" w:sz="8" w:color="0000EE"/>
            </w:tcBorders>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Defaults Upon Senior Securities</w:t>
              </w:r>
            </w:hyperlink>
          </w:p>
        </w:tc>
        <w:tc>
          <w:tcPr>
            <w:tcW w:w="5760" w:type="dxa"/>
            <w:vAlign w:val="bottom"/>
            <w:gridSpan w:val="8"/>
          </w:tcPr>
          <w:p>
            <w:pPr>
              <w:spacing w:after="0"/>
              <w:rPr>
                <w:sz w:val="24"/>
                <w:szCs w:val="24"/>
                <w:color w:val="auto"/>
              </w:rPr>
            </w:pPr>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 Submission of Matters to a Vote of Security-Holders</w:t>
              </w:r>
            </w:hyperlink>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5. Other Information</w:t>
              </w:r>
            </w:hyperlink>
          </w:p>
        </w:tc>
        <w:tc>
          <w:tcPr>
            <w:tcW w:w="2460" w:type="dxa"/>
            <w:vAlign w:val="bottom"/>
            <w:tcBorders>
              <w:top w:val="single" w:sz="8" w:color="0000EE"/>
            </w:tcBorders>
            <w:gridSpan w:val="9"/>
          </w:tcPr>
          <w:p>
            <w:pPr>
              <w:spacing w:after="0"/>
              <w:rPr>
                <w:sz w:val="24"/>
                <w:szCs w:val="24"/>
                <w:color w:val="auto"/>
              </w:rPr>
            </w:pPr>
          </w:p>
        </w:tc>
        <w:tc>
          <w:tcPr>
            <w:tcW w:w="5060" w:type="dxa"/>
            <w:vAlign w:val="bottom"/>
            <w:gridSpan w:val="6"/>
          </w:tcPr>
          <w:p>
            <w:pPr>
              <w:spacing w:after="0"/>
              <w:rPr>
                <w:sz w:val="24"/>
                <w:szCs w:val="24"/>
                <w:color w:val="auto"/>
              </w:rPr>
            </w:pPr>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2"/>
        </w:trPr>
        <w:tc>
          <w:tcPr>
            <w:tcW w:w="94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6. Exhibits</w:t>
              </w:r>
            </w:hyperlink>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2"/>
        </w:trPr>
        <w:tc>
          <w:tcPr>
            <w:tcW w:w="1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SIGNATURES</w:t>
              </w:r>
            </w:hyperlink>
          </w:p>
        </w:tc>
        <w:tc>
          <w:tcPr>
            <w:tcW w:w="20" w:type="dxa"/>
            <w:vAlign w:val="bottom"/>
            <w:tcBorders>
              <w:top w:val="single" w:sz="8" w:color="0000EE"/>
            </w:tcBorders>
          </w:tcPr>
          <w:p>
            <w:pPr>
              <w:spacing w:after="0"/>
              <w:rPr>
                <w:sz w:val="24"/>
                <w:szCs w:val="24"/>
                <w:color w:val="auto"/>
              </w:rPr>
            </w:pPr>
          </w:p>
        </w:tc>
        <w:tc>
          <w:tcPr>
            <w:tcW w:w="8240" w:type="dxa"/>
            <w:vAlign w:val="bottom"/>
            <w:gridSpan w:val="17"/>
          </w:tcPr>
          <w:p>
            <w:pPr>
              <w:spacing w:after="0"/>
              <w:rPr>
                <w:sz w:val="24"/>
                <w:szCs w:val="24"/>
                <w:color w:val="auto"/>
              </w:rPr>
            </w:pPr>
          </w:p>
        </w:tc>
        <w:tc>
          <w:tcPr>
            <w:tcW w:w="2020" w:type="dxa"/>
            <w:vAlign w:val="bottom"/>
          </w:tcPr>
          <w:p>
            <w:pPr>
              <w:jc w:val="center"/>
              <w:ind w:left="1151"/>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31.1</w:t>
            </w:r>
          </w:p>
        </w:tc>
        <w:tc>
          <w:tcPr>
            <w:tcW w:w="8280" w:type="dxa"/>
            <w:vAlign w:val="bottom"/>
            <w:gridSpan w:val="19"/>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31.2</w:t>
            </w:r>
          </w:p>
        </w:tc>
        <w:tc>
          <w:tcPr>
            <w:tcW w:w="8280" w:type="dxa"/>
            <w:vAlign w:val="bottom"/>
            <w:gridSpan w:val="19"/>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32.1</w:t>
            </w:r>
          </w:p>
        </w:tc>
        <w:tc>
          <w:tcPr>
            <w:tcW w:w="8280" w:type="dxa"/>
            <w:vAlign w:val="bottom"/>
            <w:gridSpan w:val="19"/>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34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32.2</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1040" w:type="dxa"/>
            <w:vAlign w:val="bottom"/>
            <w:tcBorders>
              <w:top w:val="single" w:sz="8" w:color="0000EE"/>
            </w:tcBorders>
            <w:gridSpan w:val="2"/>
          </w:tcPr>
          <w:p>
            <w:pPr>
              <w:spacing w:after="0"/>
              <w:rPr>
                <w:sz w:val="24"/>
                <w:szCs w:val="24"/>
                <w:color w:val="auto"/>
              </w:rPr>
            </w:pPr>
          </w:p>
        </w:tc>
        <w:tc>
          <w:tcPr>
            <w:tcW w:w="5040" w:type="dxa"/>
            <w:vAlign w:val="bottom"/>
            <w:gridSpan w:val="16"/>
          </w:tcPr>
          <w:p>
            <w:pPr>
              <w:jc w:val="right"/>
              <w:ind w:right="38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w w:val="94"/>
              </w:rPr>
              <w:t>June 30, 2006</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December 31,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59,907,206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563,854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386,966</w:t>
            </w:r>
          </w:p>
        </w:tc>
        <w:tc>
          <w:tcPr>
            <w:tcW w:w="0" w:type="dxa"/>
            <w:vAlign w:val="bottom"/>
          </w:tcPr>
          <w:p>
            <w:pPr>
              <w:spacing w:after="0"/>
              <w:rPr>
                <w:sz w:val="1"/>
                <w:szCs w:val="1"/>
                <w:color w:val="auto"/>
              </w:rPr>
            </w:pPr>
          </w:p>
        </w:tc>
      </w:tr>
      <w:tr>
        <w:trPr>
          <w:trHeight w:val="224"/>
        </w:trPr>
        <w:tc>
          <w:tcPr>
            <w:tcW w:w="84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61,661,110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35,129,793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2,100,887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3,927,279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net</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2,604,332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70,293,608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44,838,688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1,246,970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814,787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1,255,124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54,676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Bonds payable,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259,167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3,630,724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3,548,061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Bonds payable, less current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Deposits and other long-term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522,866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non-current portion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5,814,115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1,054,939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853,997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12,243,894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$.01 par value; 125,000,000 shares authorized; 77,777,174 and 65,396,022 shares issued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June 30, 2006 and December 31, 2005, respectively</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777,771</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653,960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253,375,404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217,919,336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(194,126,048))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(185,943,565)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(1,977,413)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(254,147)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58,049,714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32,375,584</w:t>
            </w: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70,293,608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44,838,688</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5"/>
          </w:tcPr>
          <w:p>
            <w:pPr>
              <w:jc w:val="right"/>
              <w:ind w:right="128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color w:val="auto"/>
              </w:rPr>
              <w:t>2006</w:t>
            </w:r>
          </w:p>
        </w:tc>
        <w:tc>
          <w:tcPr>
            <w:tcW w:w="580" w:type="dxa"/>
            <w:vAlign w:val="bottom"/>
          </w:tcPr>
          <w:p>
            <w:pPr>
              <w:jc w:val="right"/>
              <w:spacing w:after="0"/>
              <w:rPr>
                <w:sz w:val="20"/>
                <w:szCs w:val="20"/>
                <w:color w:val="auto"/>
              </w:rPr>
            </w:pPr>
            <w:r>
              <w:rPr>
                <w:rFonts w:ascii="Arial" w:cs="Arial" w:eastAsia="Arial" w:hAnsi="Arial"/>
                <w:sz w:val="14"/>
                <w:szCs w:val="14"/>
                <w:color w:val="auto"/>
                <w:w w:val="93"/>
              </w:rPr>
              <w:t>June 30,</w:t>
            </w:r>
          </w:p>
        </w:tc>
        <w:tc>
          <w:tcPr>
            <w:tcW w:w="160" w:type="dxa"/>
            <w:vAlign w:val="bottom"/>
          </w:tcPr>
          <w:p>
            <w:pPr>
              <w:spacing w:after="0"/>
              <w:rPr>
                <w:sz w:val="15"/>
                <w:szCs w:val="15"/>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color w:val="auto"/>
              </w:rPr>
              <w:t>2005</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color w:val="auto"/>
              </w:rPr>
              <w:t>2006</w:t>
            </w:r>
          </w:p>
        </w:tc>
        <w:tc>
          <w:tcPr>
            <w:tcW w:w="600" w:type="dxa"/>
            <w:vAlign w:val="bottom"/>
          </w:tcPr>
          <w:p>
            <w:pPr>
              <w:jc w:val="right"/>
              <w:spacing w:after="0"/>
              <w:rPr>
                <w:sz w:val="20"/>
                <w:szCs w:val="20"/>
                <w:color w:val="auto"/>
              </w:rPr>
            </w:pPr>
            <w:r>
              <w:rPr>
                <w:rFonts w:ascii="Arial" w:cs="Arial" w:eastAsia="Arial" w:hAnsi="Arial"/>
                <w:sz w:val="14"/>
                <w:szCs w:val="14"/>
                <w:color w:val="auto"/>
                <w:w w:val="96"/>
              </w:rPr>
              <w:t>June 30,</w:t>
            </w:r>
          </w:p>
        </w:tc>
        <w:tc>
          <w:tcPr>
            <w:tcW w:w="160" w:type="dxa"/>
            <w:vAlign w:val="bottom"/>
          </w:tcPr>
          <w:p>
            <w:pPr>
              <w:spacing w:after="0"/>
              <w:rPr>
                <w:sz w:val="15"/>
                <w:szCs w:val="15"/>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Revenue from grants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26,092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37,550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licensing agreements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24,535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19,906</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20,535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36,769</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62,085</w:t>
            </w:r>
          </w:p>
        </w:tc>
        <w:tc>
          <w:tcPr>
            <w:tcW w:w="1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w w:val="99"/>
              </w:rPr>
              <w:t>3,187,513</w:t>
            </w: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1,969,096</w:t>
            </w:r>
          </w:p>
        </w:tc>
        <w:tc>
          <w:tcPr>
            <w:tcW w:w="160" w:type="dxa"/>
            <w:vAlign w:val="bottom"/>
          </w:tcPr>
          <w:p>
            <w:pPr>
              <w:spacing w:after="0"/>
              <w:rPr>
                <w:sz w:val="18"/>
                <w:szCs w:val="18"/>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w w:val="97"/>
              </w:rPr>
              <w:t>5,879,394</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3,588,029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99"/>
              </w:rPr>
              <w:t>1,412,513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954,542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7"/>
              </w:rPr>
              <w:t>3,089,837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2,459,744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6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174,901</w:t>
            </w: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1,197,226</w:t>
            </w:r>
          </w:p>
        </w:tc>
        <w:tc>
          <w:tcPr>
            <w:tcW w:w="160" w:type="dxa"/>
            <w:vAlign w:val="bottom"/>
          </w:tcPr>
          <w:p>
            <w:pPr>
              <w:spacing w:after="0"/>
              <w:rPr>
                <w:sz w:val="18"/>
                <w:szCs w:val="18"/>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331,018</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1,718,200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4,774,927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4,120,864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7"/>
              </w:rPr>
              <w:t>9,300,249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7,765,973</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4"/>
                <w:szCs w:val="24"/>
                <w:color w:val="auto"/>
              </w:rPr>
            </w:pPr>
          </w:p>
        </w:tc>
        <w:tc>
          <w:tcPr>
            <w:tcW w:w="1400" w:type="dxa"/>
            <w:vAlign w:val="bottom"/>
            <w:gridSpan w:val="2"/>
          </w:tcPr>
          <w:p>
            <w:pPr>
              <w:jc w:val="right"/>
              <w:ind w:right="448"/>
              <w:spacing w:after="0"/>
              <w:rPr>
                <w:sz w:val="20"/>
                <w:szCs w:val="20"/>
                <w:color w:val="auto"/>
              </w:rPr>
            </w:pPr>
            <w:r>
              <w:rPr>
                <w:rFonts w:ascii="Arial" w:cs="Arial" w:eastAsia="Arial" w:hAnsi="Arial"/>
                <w:sz w:val="18"/>
                <w:szCs w:val="18"/>
                <w:color w:val="auto"/>
                <w:w w:val="93"/>
              </w:rPr>
              <w:t>(4,754,392)</w:t>
            </w:r>
          </w:p>
        </w:tc>
        <w:tc>
          <w:tcPr>
            <w:tcW w:w="16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(4,084,095)</w:t>
            </w:r>
          </w:p>
        </w:tc>
        <w:tc>
          <w:tcPr>
            <w:tcW w:w="160" w:type="dxa"/>
            <w:vAlign w:val="bottom"/>
          </w:tcPr>
          <w:p>
            <w:pPr>
              <w:spacing w:after="0"/>
              <w:rPr>
                <w:sz w:val="24"/>
                <w:szCs w:val="24"/>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w w:val="91"/>
              </w:rPr>
              <w:t>(9,238,164)</w:t>
            </w:r>
          </w:p>
        </w:tc>
        <w:tc>
          <w:tcPr>
            <w:tcW w:w="1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(7,693,883)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16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103,359</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103,359</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703,551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261,389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7"/>
              </w:rPr>
              <w:t>1,043,365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400" w:type="dxa"/>
            <w:vAlign w:val="bottom"/>
            <w:gridSpan w:val="2"/>
          </w:tcPr>
          <w:p>
            <w:pPr>
              <w:jc w:val="right"/>
              <w:ind w:right="448"/>
              <w:spacing w:after="0"/>
              <w:rPr>
                <w:sz w:val="20"/>
                <w:szCs w:val="20"/>
                <w:color w:val="auto"/>
              </w:rPr>
            </w:pPr>
            <w:r>
              <w:rPr>
                <w:rFonts w:ascii="Arial" w:cs="Arial" w:eastAsia="Arial" w:hAnsi="Arial"/>
                <w:sz w:val="18"/>
                <w:szCs w:val="18"/>
                <w:color w:val="auto"/>
              </w:rPr>
              <w:t>(38,505)</w:t>
            </w:r>
          </w:p>
        </w:tc>
        <w:tc>
          <w:tcPr>
            <w:tcW w:w="16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(45,345)</w:t>
            </w:r>
          </w:p>
        </w:tc>
        <w:tc>
          <w:tcPr>
            <w:tcW w:w="160" w:type="dxa"/>
            <w:vAlign w:val="bottom"/>
          </w:tcPr>
          <w:p>
            <w:pPr>
              <w:spacing w:after="0"/>
              <w:rPr>
                <w:sz w:val="18"/>
                <w:szCs w:val="18"/>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(77,098)</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(3,372)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(13,947)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4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765,033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215,809</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w w:val="97"/>
              </w:rPr>
              <w:t>1,055,679</w:t>
            </w:r>
          </w:p>
        </w:tc>
        <w:tc>
          <w:tcPr>
            <w:tcW w:w="1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376,764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14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9"/>
              </w:rPr>
              <w:t>3,989,359)</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3,868,286)</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97"/>
              </w:rPr>
              <w:t>8,182,485)</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7,317,119)</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applicable to common stockholders; basic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400" w:type="dxa"/>
            <w:vAlign w:val="bottom"/>
            <w:gridSpan w:val="2"/>
          </w:tcPr>
          <w:p>
            <w:pPr>
              <w:jc w:val="right"/>
              <w:ind w:right="448"/>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shares used to compute net loss per share applicable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common stockholders; basic and diluted</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8"/>
              </w:rPr>
              <w:t>77,105,128</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63,072,873</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86"/>
              </w:rPr>
              <w:t>71,306,311</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62,741,639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center"/>
              <w:ind w:right="200"/>
              <w:spacing w:after="0"/>
              <w:rPr>
                <w:sz w:val="20"/>
                <w:szCs w:val="20"/>
                <w:color w:val="auto"/>
              </w:rPr>
            </w:pPr>
            <w:r>
              <w:rPr>
                <w:rFonts w:ascii="Arial" w:cs="Arial" w:eastAsia="Arial" w:hAnsi="Arial"/>
                <w:sz w:val="14"/>
                <w:szCs w:val="14"/>
                <w:color w:val="auto"/>
                <w:w w:val="90"/>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June 30,</w:t>
            </w: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($8,182,485)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($7,317,119)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528,755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compensation</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1,040,263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fixed 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Income from license and settlement agreement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(103,359)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Accrued interest receivable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(120,284)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(241,651)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(803,084)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(58,665)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(236,486)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Deposits received (refunded)</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3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200,942</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(7,868,586)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(6,480,046)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(1,111,357)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(1,179,732)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(285,280)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123,186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994,896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33,421,534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Repayment of debt obligations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(119,749)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34,414,616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6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25,366,298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(4,663,987)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34,540,908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41,059,532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4300" w:type="dxa"/>
            <w:vAlign w:val="bottom"/>
            <w:gridSpan w:val="4"/>
          </w:tcPr>
          <w:p>
            <w:pPr>
              <w:jc w:val="right"/>
              <w:ind w:right="60"/>
              <w:spacing w:after="0"/>
              <w:rPr>
                <w:sz w:val="20"/>
                <w:szCs w:val="20"/>
                <w:color w:val="auto"/>
              </w:rPr>
            </w:pPr>
            <w:r>
              <w:rPr>
                <w:rFonts w:ascii="Arial" w:cs="Arial" w:eastAsia="Arial" w:hAnsi="Arial"/>
                <w:sz w:val="18"/>
                <w:szCs w:val="18"/>
                <w:color w:val="auto"/>
              </w:rPr>
              <w:t>$ 59,907,206</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$ 36,395,545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77,098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91,756</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40" w:type="dxa"/>
            <w:vAlign w:val="bottom"/>
          </w:tcPr>
          <w:p>
            <w:pPr>
              <w:jc w:val="right"/>
              <w:ind w:right="28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2006 and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2006, are not necessarily indicative of the results that may be expected for the entire fiscal year ending December 31, 2006.</w:t>
      </w:r>
    </w:p>
    <w:p>
      <w:pPr>
        <w:spacing w:after="0" w:line="7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2005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2005, included on Form 10-K.</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 xml:space="preserve">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 and the grant date fair value of share based awards recognized as compensation expense in accordance with the provisions of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See “Stock-Based Compensation”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In accordance with Statement of Financial Accounting Standards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has classified the Company’s short-term investments as available-for-sale marketable securities in the accompanying consolidated financial statements. The marketable securities are stated at fair market value, with unrealized gains and losses reported in other comprehensive income. Management reviews securities with unrealized losses for other than temporary impairment. A decline in the fair value of securities that is deemed other than temporary is charged to earnings when so deemed.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Certain reclassifications of prior year amounts have been made to conform to current year presentation. Patent related expenses of $133,266 and $339,264 for the three and six-month period ended June 30, 2005 have been reclassified from research and development expense to general and administrative expense on the consolidated statements of operations for that period to conform with current year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 xml:space="preserve">The Company has computed net loss per common share according to the Statement of Financial Accounting Standards (SFAS) No. 128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w:t>
      </w:r>
      <w:r>
        <w:rPr>
          <w:rFonts w:ascii="Arial" w:cs="Arial" w:eastAsia="Arial" w:hAnsi="Arial"/>
          <w:sz w:val="18"/>
          <w:szCs w:val="18"/>
          <w:color w:val="auto"/>
        </w:rPr>
        <w:t>which requires disclosure of basic and diluted earnings per share. Basic earnings per share excludes any dilutive effects of options, warrants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color w:val="auto"/>
              </w:rPr>
              <w:t>Six months ended</w:t>
            </w:r>
          </w:p>
        </w:tc>
      </w:tr>
      <w:tr>
        <w:trPr>
          <w:trHeight w:val="142"/>
        </w:trPr>
        <w:tc>
          <w:tcPr>
            <w:tcW w:w="56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ind w:right="1028"/>
              <w:spacing w:after="0" w:line="142" w:lineRule="exact"/>
              <w:rPr>
                <w:sz w:val="20"/>
                <w:szCs w:val="20"/>
                <w:color w:val="auto"/>
              </w:rPr>
            </w:pPr>
            <w:r>
              <w:rPr>
                <w:rFonts w:ascii="Arial" w:cs="Arial" w:eastAsia="Arial" w:hAnsi="Arial"/>
                <w:sz w:val="14"/>
                <w:szCs w:val="14"/>
                <w:color w:val="auto"/>
                <w:w w:val="85"/>
              </w:rPr>
              <w:t>June 30,</w:t>
            </w:r>
          </w:p>
        </w:tc>
        <w:tc>
          <w:tcPr>
            <w:tcW w:w="4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1028"/>
              <w:spacing w:after="0" w:line="142" w:lineRule="exact"/>
              <w:rPr>
                <w:sz w:val="20"/>
                <w:szCs w:val="20"/>
                <w:color w:val="auto"/>
              </w:rPr>
            </w:pPr>
            <w:r>
              <w:rPr>
                <w:rFonts w:ascii="Arial" w:cs="Arial" w:eastAsia="Arial" w:hAnsi="Arial"/>
                <w:sz w:val="14"/>
                <w:szCs w:val="14"/>
                <w:color w:val="auto"/>
                <w:w w:val="89"/>
              </w:rPr>
              <w:t>June 30,</w:t>
            </w:r>
          </w:p>
        </w:tc>
      </w:tr>
      <w:tr>
        <w:trPr>
          <w:trHeight w:val="142"/>
        </w:trPr>
        <w:tc>
          <w:tcPr>
            <w:tcW w:w="5600" w:type="dxa"/>
            <w:vAlign w:val="bottom"/>
          </w:tcPr>
          <w:p>
            <w:pPr>
              <w:spacing w:after="0"/>
              <w:rPr>
                <w:sz w:val="12"/>
                <w:szCs w:val="12"/>
                <w:color w:val="auto"/>
              </w:rPr>
            </w:pPr>
          </w:p>
        </w:tc>
        <w:tc>
          <w:tcPr>
            <w:tcW w:w="11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2006</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2005</w:t>
            </w:r>
          </w:p>
        </w:tc>
        <w:tc>
          <w:tcPr>
            <w:tcW w:w="480" w:type="dxa"/>
            <w:vAlign w:val="bottom"/>
          </w:tcPr>
          <w:p>
            <w:pPr>
              <w:spacing w:after="0"/>
              <w:rPr>
                <w:sz w:val="12"/>
                <w:szCs w:val="12"/>
                <w:color w:val="auto"/>
              </w:rPr>
            </w:pPr>
          </w:p>
        </w:tc>
        <w:tc>
          <w:tcPr>
            <w:tcW w:w="10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2006</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($3,989,359)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($3,868,286)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($8,182,485)</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($7,317,119)</w:t>
            </w: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net loss per share</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applicable to common stockholders, basic and diluted.</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77,105,128</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63,072,873</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71,306,311</w:t>
            </w:r>
          </w:p>
        </w:tc>
        <w:tc>
          <w:tcPr>
            <w:tcW w:w="1600" w:type="dxa"/>
            <w:vAlign w:val="bottom"/>
            <w:gridSpan w:val="3"/>
          </w:tcPr>
          <w:p>
            <w:pPr>
              <w:jc w:val="right"/>
              <w:ind w:right="28"/>
              <w:spacing w:after="0"/>
              <w:rPr>
                <w:sz w:val="20"/>
                <w:szCs w:val="20"/>
                <w:color w:val="auto"/>
              </w:rPr>
            </w:pPr>
            <w:r>
              <w:rPr>
                <w:rFonts w:ascii="Arial" w:cs="Arial" w:eastAsia="Arial" w:hAnsi="Arial"/>
                <w:sz w:val="18"/>
                <w:szCs w:val="18"/>
                <w:color w:val="auto"/>
              </w:rPr>
              <w:t>62,741,639</w:t>
            </w: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applicable to common stockholders, basic and</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($0.12)</w:t>
            </w:r>
          </w:p>
        </w:tc>
      </w:tr>
    </w:tbl>
    <w:p>
      <w:pPr>
        <w:spacing w:after="0" w:line="94"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0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color w:val="auto"/>
              </w:rPr>
              <w:t>Outstanding at June 30,</w:t>
            </w:r>
          </w:p>
        </w:tc>
      </w:tr>
      <w:tr>
        <w:trPr>
          <w:trHeight w:val="142"/>
        </w:trPr>
        <w:tc>
          <w:tcPr>
            <w:tcW w:w="89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2006</w:t>
            </w:r>
          </w:p>
        </w:tc>
        <w:tc>
          <w:tcPr>
            <w:tcW w:w="56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7,048,220</w:t>
            </w:r>
          </w:p>
        </w:tc>
        <w:tc>
          <w:tcPr>
            <w:tcW w:w="1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6,741,787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Outstanding warrants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1,930,658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4,187,439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8,978,878</w:t>
            </w:r>
          </w:p>
        </w:tc>
        <w:tc>
          <w:tcPr>
            <w:tcW w:w="1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10,929,226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 December 2004, the Financial Accounting Standards Board (FASB) issued SFAS 123R. SFAS 123R requires all share-based payments to employees, or to non-employee directors as compensation for service on the Board of Directors, to be recognized as compensation expense in the consolidated financial statements based on the fair values of such payments. The Company maintains shareholder approved stock-based compensation plans, pursuant to which it grants stock-based compensation to its employees, and to non-employee directors for Board service. These grants are primarily in the form of options that allow a grantee to purchase a fixed number of shares of the Company’s common stock at a fixed exercise price equal to the market price of the shares at the date of the grant (“qualified stock option grants”). The options may vest on a single date or in tranches over a period of time, but normally they do not vest unless the grantee is still employed by or a director of the Company on the vesting date. The compensation expense for these grants will be recognized over the requisite service period which 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typically the period over which the stock-based compensation awards vest. The Company made no modifications to outstanding options with respect to vesting periods or exercise prices prior to adopting SFAS 123R. In March 2005, the Securities and Exchange Commission (SEC) issued Staff Accounting Bulletin No. 107 (SAB 107), which provides guidance on the implementation of SFAS 123R. The Company applied the principles of SAB 107 in conjunction with its adoption of SFAS 123R.</w:t>
      </w:r>
    </w:p>
    <w:p>
      <w:pPr>
        <w:spacing w:after="0" w:line="79"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Prior periods were not restated to reflect the impact of adopting the new standard and therefore do not include compensation expense related to qualified stock option grants for those periods. In accordance with SFAS 123R, the Company recognized stock option related compensation expense of approximately $519,000 and $908,000 for the three and six month periods ended June 30, 2006. All options granted in the three and six month period ended June 30, 2006 were qualified stock options and the related compensation expense was recognized on a straight line basis over the vesting period of each grant net of estimated forfeitures. The Company’s estimated forfeiture rates are based on its historical experience within separate groups of employees. The estimated fair value of the options granted during 2006 and prior years was calculated using a Black Scholes Merton option pricing model (Black Scholes model). The following summarizes the assumptions used in the Black Scholes model as applied in the first and second quarter of 2006: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6"/>
              </w:rPr>
              <w:t>First Quarter</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w w:val="91"/>
              </w:rPr>
              <w:t>Second Quarter</w:t>
            </w:r>
          </w:p>
        </w:tc>
      </w:tr>
      <w:tr>
        <w:trPr>
          <w:trHeight w:val="167"/>
        </w:trPr>
        <w:tc>
          <w:tcPr>
            <w:tcW w:w="910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2006</w:t>
            </w:r>
          </w:p>
        </w:tc>
        <w:tc>
          <w:tcPr>
            <w:tcW w:w="56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2006</w:t>
            </w: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r>
              <w:rPr>
                <w:rFonts w:ascii="Arial" w:cs="Arial" w:eastAsia="Arial" w:hAnsi="Arial"/>
                <w:sz w:val="15"/>
                <w:szCs w:val="15"/>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15"/>
                <w:szCs w:val="15"/>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119.5%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110.76%</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r>
              <w:rPr>
                <w:rFonts w:ascii="Arial" w:cs="Arial" w:eastAsia="Arial" w:hAnsi="Arial"/>
                <w:sz w:val="15"/>
                <w:szCs w:val="15"/>
                <w:color w:val="auto"/>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Expected term (years until exercise)</w:t>
            </w:r>
            <w:r>
              <w:rPr>
                <w:rFonts w:ascii="Arial" w:cs="Arial" w:eastAsia="Arial" w:hAnsi="Arial"/>
                <w:sz w:val="15"/>
                <w:szCs w:val="15"/>
                <w:color w:val="auto"/>
              </w:rPr>
              <w:t>(4)</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6.25</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debt securities with maturities close to the expected term of the option.</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21"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paying cash dividends over the expected term of the option.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term is equal to the average of the contractual life of the stock option and its vesting period.</w:t>
      </w:r>
    </w:p>
    <w:p>
      <w:pPr>
        <w:spacing w:after="0" w:line="117" w:lineRule="exact"/>
        <w:rPr>
          <w:sz w:val="20"/>
          <w:szCs w:val="20"/>
          <w:color w:val="auto"/>
        </w:rPr>
      </w:pPr>
    </w:p>
    <w:p>
      <w:pPr>
        <w:ind w:right="100" w:firstLine="215"/>
        <w:spacing w:after="0" w:line="286" w:lineRule="auto"/>
        <w:rPr>
          <w:sz w:val="20"/>
          <w:szCs w:val="20"/>
          <w:color w:val="auto"/>
        </w:rPr>
      </w:pPr>
      <w:r>
        <w:rPr>
          <w:rFonts w:ascii="Arial" w:cs="Arial" w:eastAsia="Arial" w:hAnsi="Arial"/>
          <w:sz w:val="17"/>
          <w:szCs w:val="17"/>
          <w:color w:val="auto"/>
        </w:rPr>
        <w:t>At June 30, 2006, approximately $4,873,000 of unrecognized compensation expense related to stock options is expected to be recognized over a weighted average period of approximately 1.51 years. The resulting effect on net loss and net loss per share attributable to common stockholders is not likely to be representative of the effects in future periods, due to changes in forfeiture rates, additional grants and subsequent periods of vesting.</w:t>
      </w:r>
    </w:p>
    <w:p>
      <w:pPr>
        <w:spacing w:after="0" w:line="5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 xml:space="preserve">Prior to January 1, 2006, the Company accounted for its stock-based compensation plans under Accounting Principles Board Opinion No. 25 (APB 25), </w:t>
      </w:r>
      <w:r>
        <w:rPr>
          <w:rFonts w:ascii="Arial" w:cs="Arial" w:eastAsia="Arial" w:hAnsi="Arial"/>
          <w:sz w:val="18"/>
          <w:szCs w:val="18"/>
          <w:i w:val="1"/>
          <w:iCs w:val="1"/>
          <w:color w:val="auto"/>
        </w:rPr>
        <w:t xml:space="preserve">“Accounting for Stock Issued to Employees.” </w:t>
      </w:r>
      <w:r>
        <w:rPr>
          <w:rFonts w:ascii="Arial" w:cs="Arial" w:eastAsia="Arial" w:hAnsi="Arial"/>
          <w:sz w:val="18"/>
          <w:szCs w:val="18"/>
          <w:color w:val="auto"/>
        </w:rPr>
        <w:t>In accordance with APB 25, the Company recognized no compensation expense for qualified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as the options were granted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at fair market price of the underlying shares on the date of the grant. For options issued with an exercise price less than the fair market value of the shares at the date of grant, the Company recognized the difference between the exercise price and fair market value as compensation expense in accordance with APB</w:t>
      </w:r>
    </w:p>
    <w:p>
      <w:pPr>
        <w:ind w:right="140" w:firstLine="8"/>
        <w:spacing w:after="0" w:line="252"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Prior to January 1, 2006, the Company provided pro forma disclosure amounts in accordance with Statement of Financial Accounting Standards No.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(SFAS 123) as amended by Statement of Financial Accounting Standards No. 148</w:t>
      </w:r>
      <w:r>
        <w:rPr>
          <w:rFonts w:ascii="Arial" w:cs="Arial" w:eastAsia="Arial" w:hAnsi="Arial"/>
          <w:sz w:val="18"/>
          <w:szCs w:val="18"/>
          <w:i w:val="1"/>
          <w:iCs w:val="1"/>
          <w:color w:val="auto"/>
        </w:rPr>
        <w:t xml:space="preserve"> “Accounting for Stock-Based Compensation — Transition and Disclosure,” </w:t>
      </w:r>
      <w:r>
        <w:rPr>
          <w:rFonts w:ascii="Arial" w:cs="Arial" w:eastAsia="Arial" w:hAnsi="Arial"/>
          <w:sz w:val="18"/>
          <w:szCs w:val="18"/>
          <w:color w:val="auto"/>
        </w:rPr>
        <w:t>(SFAS 148). As compensation expense was disclosed but not recognized in periods prior to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2006, no cumulative adjustment for forfeitures was recorded in 2006. The following table illustrates the effect on net loss and net loss per share if the Company had applied the fair value recognition provisions of SFAS 123 to stock-based employee compensation in the prior three and six-month periods ended June 30, 2005: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4"/>
                <w:szCs w:val="14"/>
                <w:color w:val="auto"/>
                <w:w w:val="91"/>
              </w:rPr>
              <w:t>Three months ended</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w w:val="92"/>
              </w:rPr>
              <w:t>Six months ended</w:t>
            </w:r>
          </w:p>
        </w:tc>
      </w:tr>
      <w:tr>
        <w:trPr>
          <w:trHeight w:val="167"/>
        </w:trPr>
        <w:tc>
          <w:tcPr>
            <w:tcW w:w="8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color w:val="auto"/>
                <w:w w:val="90"/>
              </w:rPr>
              <w:t>June 30, 2005</w:t>
            </w:r>
          </w:p>
        </w:tc>
        <w:tc>
          <w:tcPr>
            <w:tcW w:w="14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w w:val="87"/>
              </w:rPr>
              <w:t>June 30, 2005</w:t>
            </w: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(3,868,286)</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(7,317,119)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Add: Stock-based employee/director compensation expense included in reported net loss</w:t>
            </w:r>
          </w:p>
        </w:tc>
        <w:tc>
          <w:tcPr>
            <w:tcW w:w="1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02"/>
        </w:trPr>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Deduct: Total stock-based employee/director compensation expense under the fair value based method for all</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(101,231)</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3"/>
              </w:rPr>
              <w:t>(3,969,517)</w:t>
            </w:r>
          </w:p>
        </w:tc>
        <w:tc>
          <w:tcPr>
            <w:tcW w:w="5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(7,555,812)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applicable to common stockholders as reported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Basic and diluted net loss per share applicable to common stockholders — pro forma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5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and diluted loss per share applicable to common stockholder amounts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8"/>
              </w:rPr>
              <w:t>63,072,873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62,741,639</w:t>
            </w:r>
          </w:p>
        </w:tc>
      </w:tr>
    </w:tbl>
    <w:p>
      <w:pPr>
        <w:spacing w:after="0" w:line="94"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 xml:space="preserve">“Accounting For Equity Instruments That Are Issued To Other Than Employees For Acquiring, Or In Conjunction With Selling, Goods Or Services,”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 Scholes model. The fair value is remeasured during the service period and is amortized over the vesting period of each option or the recipient’s contractual arrangement, if shorter. No stock options were issued to non-employees other than options granted to non-employee members of the Board of Directors for service as Board members.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Changes and Error Corrections</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June 2005, the FASB issued Statement of Financial Accounting Standards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“SFAS 154). SFAS 154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and SFAS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SFAS 154 requires that a voluntary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change in accounting principle be applied retrospectively with all prior period financial statements presented on the new accounting principle. SFAS 154 also requires that a change in method of depreciating or amortizing a long- lived non-financial asset be accounted for prospectively as a change in estimate, and correction of errors in previously issued financial statements should be termed a restatement. SFAS 154 is effective for accounting changes and correction of errors made in fiscal years beginning after December 15, 2005. The implementation of SFAS 154 is not expected to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RENEURON LICENSE AND SETTLEMENT AGREEMENT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July 2005, the Company entered into a license and settlement agreement with ReNeuron Limited, a wholly owned subsidiary of ReNeuron Group plc,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publicly listed UK corporation (collectively referred to as “ReNeuron”). As part of the agreement, the Company granted ReNeuron a license that allows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ReNeuron to exploit their “c-mycER” conditionally immortalized adult human neural stem cell technology for therapy and other purposes. In return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StemCells received a 7.5% fully-diluted equity interest in ReNeuron, subject to certain anti-dilution provisions, and a cross-license to the exclusive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of ReNeuron’s technology for certain diseases and conditions, including lysosomal storage diseases, spinal cord injury, cerebral palsy and multiple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sclerosis. The agreement also provides for full settlement of any potential claims that either StemCells or ReNeuron might have had against the other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putative infringement of certain of each party’s patent rights prior to the effective date of the agreement. The agreement is Exhibit 10.71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Company’s Quarterly Report on Form 10-Q for the quarter ended June 30, 2005. An amendment to the agreement was entered on April 3, 2006,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which was attached as Exhibit 10.1 to the Company’s Quarterly Report on Form 10-Q for the quarter ended March 31, 2006. On June 29, 2006, ReNeuron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additional shares of common stock, of which StemCells was entitled to 439,071 shares because of the anti-dilution provisions within the agreement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of shares due to Neurospheres Ltd., an Alberta corporation from which StemCells has licensed some of the patent rights that are the subject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with ReNeuron. The Company recorded approximately $103,000 as other income for the additional shares. The fair market value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holdings in ReNeuron common stock as of December 31, 2005 (8,835,766 shares) and June 30, 2006 (9,274,837 shares)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$3,721,000 and $2,101,000 respectively. Changes in market value as a result of changes in market price per share or the exchange rate between the US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British pound are accounted for under “other comprehensive loss” if deemed temporary, as in this case, and are not recorded as “other income or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the shares are disposed of and a gain or loss realized. The unrealized loss as of June 30, 2006, is approximately $1,977,000. A decline in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that is deemed other than temporary would be charged to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bonds totaling $5,000,000 to finance the construction of a pilot manufacturing facility related to its former encapsulated cell technology. The related leases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structured such that lease payments will fully fund all semiannual interest payments and annual principal payments through maturity in August 2014.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rates vary with the respective bonds’ maturities, ranging currently from 8.1% to 9.5%. The outstanding principal at June 30, 2006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$1,480,000. The bonds contain certain restrictive covenants, which limit among other things, the payment of cash dividends and the sale of the related assets.</w:t>
      </w:r>
    </w:p>
    <w:p>
      <w:pPr>
        <w:spacing w:after="0" w:line="12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2005 and June 30, 2006, the Company had deferred rent liability for this facility of approximately $1,208,000 and $1,223,000 respectively; the deferred rent liability is presented as part of the wind-down accrual.</w:t>
      </w:r>
    </w:p>
    <w:p>
      <w:pPr>
        <w:spacing w:after="0" w:line="79" w:lineRule="exact"/>
        <w:rPr>
          <w:sz w:val="20"/>
          <w:szCs w:val="20"/>
          <w:color w:val="auto"/>
        </w:rPr>
      </w:pPr>
    </w:p>
    <w:p>
      <w:pPr>
        <w:ind w:right="60" w:firstLine="215"/>
        <w:spacing w:after="0" w:line="293"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that the Company will be able to dispose of these properties in a reasonable time, if at all, or to terminate its lease obligations without the payment of substantial consideration</w:t>
      </w:r>
    </w:p>
    <w:p>
      <w:pPr>
        <w:spacing w:after="0" w:line="62" w:lineRule="exact"/>
        <w:rPr>
          <w:sz w:val="20"/>
          <w:szCs w:val="20"/>
          <w:color w:val="auto"/>
        </w:rPr>
      </w:pPr>
    </w:p>
    <w:p>
      <w:pPr>
        <w:ind w:right="20" w:firstLine="215"/>
        <w:spacing w:after="0" w:line="286" w:lineRule="auto"/>
        <w:rPr>
          <w:sz w:val="20"/>
          <w:szCs w:val="20"/>
          <w:color w:val="auto"/>
        </w:rPr>
      </w:pPr>
      <w:r>
        <w:rPr>
          <w:rFonts w:ascii="Arial" w:cs="Arial" w:eastAsia="Arial" w:hAnsi="Arial"/>
          <w:sz w:val="16"/>
          <w:szCs w:val="16"/>
          <w:color w:val="auto"/>
        </w:rPr>
        <w:t>As of February 1, 2001, the Company entered into a 5-year lease for 40,000 square feet of an approximately 68,000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 amendment to the lease effective April 1, 2005, which extends the term of the lease through March 31, 2010, includes an immediate reduction in the rent per square foot, and provides for an expansion of the leased premises by approximately 28,000 additional square feet effective July 1, 2006. In addition, the Company sublet some of the additional space for the period from April 1, 2005 through June 30, 2006. The average annual rent due from the Company under its lease for the period commencing April 1, 2005 to March 31, 2010 is approximately $2 million before subtenant income. The lease has escalating rent payments, which the Company is recognizing on a straight-line basis. At June 30, 2006, the Company had deferred rent liability for this facility of approximately $1,055,000. At June 30, 2006 the Company has a space-sharing agreement covering in total approximately 11,000 square feet of this facility. The Company receives the amount of base rent plus the proportionate share of the operating expenses that it pays for such space over the term of these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RELOCATION TO CALIFORNIA FROM RHODE ISLAND</w:t>
      </w:r>
    </w:p>
    <w:p>
      <w:pPr>
        <w:spacing w:after="0" w:line="12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 Company intends to dispose of the facility at the earliest possible time, the Company’s management cannot determine with certainty a fixed date by which such disposal will occur. In light of this uncertainty, the Company periodically re-evaluates and adjusts the reserve. The Company considers various factors such as the Company’s lease payments through to the end of the lease, operating expenses, the current real estate market in Rhode Island, and estimated subtenant income based on actual and projected occupancy. At December 31, 2005 the reserve was approximately $6,098,000. For the three and six-month period ended June 30, 2006, the Company incurred approximately $298,000 and $582,000 in operating expenses, which was recorded against the reserve. After evaluating the afore-mentioned factors the Company re-valued the reserve to $5,847,000 at June 30, 2006 by booking an additional $156,000 and $175,100 at March 31, 2006 and June 30, 2006, respectively, as wind-down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jc w:val="center"/>
              <w:ind w:left="197"/>
              <w:spacing w:after="0"/>
              <w:rPr>
                <w:sz w:val="20"/>
                <w:szCs w:val="20"/>
                <w:color w:val="auto"/>
              </w:rPr>
            </w:pPr>
            <w:r>
              <w:rPr>
                <w:rFonts w:ascii="Arial" w:cs="Arial" w:eastAsia="Arial" w:hAnsi="Arial"/>
                <w:sz w:val="14"/>
                <w:szCs w:val="14"/>
                <w:color w:val="auto"/>
                <w:w w:val="91"/>
              </w:rPr>
              <w:t>January to</w:t>
            </w: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right"/>
              <w:ind w:right="222"/>
              <w:spacing w:after="0" w:line="149" w:lineRule="exact"/>
              <w:rPr>
                <w:sz w:val="20"/>
                <w:szCs w:val="20"/>
                <w:color w:val="auto"/>
              </w:rPr>
            </w:pPr>
            <w:r>
              <w:rPr>
                <w:rFonts w:ascii="Arial" w:cs="Arial" w:eastAsia="Arial" w:hAnsi="Arial"/>
                <w:sz w:val="14"/>
                <w:szCs w:val="14"/>
                <w:color w:val="auto"/>
                <w:w w:val="92"/>
              </w:rPr>
              <w:t>January to March</w:t>
            </w:r>
          </w:p>
        </w:tc>
        <w:tc>
          <w:tcPr>
            <w:tcW w:w="1400" w:type="dxa"/>
            <w:vAlign w:val="bottom"/>
          </w:tcPr>
          <w:p>
            <w:pPr>
              <w:jc w:val="right"/>
              <w:ind w:right="255"/>
              <w:spacing w:after="0" w:line="149" w:lineRule="exact"/>
              <w:rPr>
                <w:sz w:val="20"/>
                <w:szCs w:val="20"/>
                <w:color w:val="auto"/>
              </w:rPr>
            </w:pPr>
            <w:r>
              <w:rPr>
                <w:rFonts w:ascii="Arial" w:cs="Arial" w:eastAsia="Arial" w:hAnsi="Arial"/>
                <w:sz w:val="14"/>
                <w:szCs w:val="14"/>
                <w:color w:val="auto"/>
              </w:rPr>
              <w:t>April to June</w:t>
            </w:r>
          </w:p>
        </w:tc>
        <w:tc>
          <w:tcPr>
            <w:tcW w:w="1500" w:type="dxa"/>
            <w:vAlign w:val="bottom"/>
          </w:tcPr>
          <w:p>
            <w:pPr>
              <w:jc w:val="right"/>
              <w:ind w:right="195"/>
              <w:spacing w:after="0" w:line="149" w:lineRule="exact"/>
              <w:rPr>
                <w:sz w:val="20"/>
                <w:szCs w:val="20"/>
                <w:color w:val="auto"/>
              </w:rPr>
            </w:pPr>
            <w:r>
              <w:rPr>
                <w:rFonts w:ascii="Arial" w:cs="Arial" w:eastAsia="Arial" w:hAnsi="Arial"/>
                <w:sz w:val="14"/>
                <w:szCs w:val="14"/>
                <w:color w:val="auto"/>
              </w:rPr>
              <w:t>January to June</w:t>
            </w:r>
          </w:p>
        </w:tc>
        <w:tc>
          <w:tcPr>
            <w:tcW w:w="1280" w:type="dxa"/>
            <w:vAlign w:val="bottom"/>
          </w:tcPr>
          <w:p>
            <w:pPr>
              <w:jc w:val="center"/>
              <w:ind w:left="197"/>
              <w:spacing w:after="0" w:line="149" w:lineRule="exact"/>
              <w:rPr>
                <w:sz w:val="20"/>
                <w:szCs w:val="20"/>
                <w:color w:val="auto"/>
              </w:rPr>
            </w:pPr>
            <w:r>
              <w:rPr>
                <w:rFonts w:ascii="Arial" w:cs="Arial" w:eastAsia="Arial" w:hAnsi="Arial"/>
                <w:sz w:val="14"/>
                <w:szCs w:val="14"/>
                <w:color w:val="auto"/>
                <w:w w:val="90"/>
              </w:rPr>
              <w:t>December 31,</w:t>
            </w: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31, 2006</w:t>
            </w:r>
          </w:p>
        </w:tc>
        <w:tc>
          <w:tcPr>
            <w:tcW w:w="14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30, 2006</w:t>
            </w:r>
          </w:p>
        </w:tc>
        <w:tc>
          <w:tcPr>
            <w:tcW w:w="15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30, 2006</w:t>
            </w:r>
          </w:p>
        </w:tc>
        <w:tc>
          <w:tcPr>
            <w:tcW w:w="128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color w:val="auto"/>
                <w:w w:val="89"/>
              </w:rPr>
              <w:t>2005</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76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$6,098,000</w:t>
            </w: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5,970,000</w:t>
            </w:r>
          </w:p>
        </w:tc>
        <w:tc>
          <w:tcPr>
            <w:tcW w:w="15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$6,098,000</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$ 4,350,000</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0"/>
              </w:rPr>
              <w:t>Less actual expenses recorded against estimated reserve during the period</w:t>
            </w:r>
          </w:p>
        </w:tc>
        <w:tc>
          <w:tcPr>
            <w:tcW w:w="1760" w:type="dxa"/>
            <w:vAlign w:val="bottom"/>
            <w:gridSpan w:val="2"/>
          </w:tcPr>
          <w:p>
            <w:pPr>
              <w:jc w:val="right"/>
              <w:ind w:right="322"/>
              <w:spacing w:after="0"/>
              <w:rPr>
                <w:sz w:val="20"/>
                <w:szCs w:val="20"/>
                <w:color w:val="auto"/>
              </w:rPr>
            </w:pPr>
            <w:r>
              <w:rPr>
                <w:rFonts w:ascii="Arial" w:cs="Arial" w:eastAsia="Arial" w:hAnsi="Arial"/>
                <w:sz w:val="18"/>
                <w:szCs w:val="18"/>
                <w:color w:val="auto"/>
              </w:rPr>
              <w:t>(284,000)</w:t>
            </w:r>
          </w:p>
        </w:tc>
        <w:tc>
          <w:tcPr>
            <w:tcW w:w="1400" w:type="dxa"/>
            <w:vAlign w:val="bottom"/>
          </w:tcPr>
          <w:p>
            <w:pPr>
              <w:jc w:val="right"/>
              <w:ind w:right="215"/>
              <w:spacing w:after="0"/>
              <w:rPr>
                <w:sz w:val="20"/>
                <w:szCs w:val="20"/>
                <w:color w:val="auto"/>
              </w:rPr>
            </w:pPr>
            <w:r>
              <w:rPr>
                <w:rFonts w:ascii="Arial" w:cs="Arial" w:eastAsia="Arial" w:hAnsi="Arial"/>
                <w:sz w:val="18"/>
                <w:szCs w:val="18"/>
                <w:color w:val="auto"/>
              </w:rPr>
              <w:t>(298,000)</w:t>
            </w:r>
          </w:p>
        </w:tc>
        <w:tc>
          <w:tcPr>
            <w:tcW w:w="1500" w:type="dxa"/>
            <w:vAlign w:val="bottom"/>
          </w:tcPr>
          <w:p>
            <w:pPr>
              <w:jc w:val="right"/>
              <w:ind w:right="215"/>
              <w:spacing w:after="0"/>
              <w:rPr>
                <w:sz w:val="20"/>
                <w:szCs w:val="20"/>
                <w:color w:val="auto"/>
              </w:rPr>
            </w:pPr>
            <w:r>
              <w:rPr>
                <w:rFonts w:ascii="Arial" w:cs="Arial" w:eastAsia="Arial" w:hAnsi="Arial"/>
                <w:sz w:val="18"/>
                <w:szCs w:val="18"/>
                <w:color w:val="auto"/>
              </w:rPr>
              <w:t>(582,000)</w:t>
            </w:r>
          </w:p>
        </w:tc>
        <w:tc>
          <w:tcPr>
            <w:tcW w:w="1280" w:type="dxa"/>
            <w:vAlign w:val="bottom"/>
          </w:tcPr>
          <w:p>
            <w:pPr>
              <w:jc w:val="right"/>
              <w:spacing w:after="0"/>
              <w:rPr>
                <w:sz w:val="20"/>
                <w:szCs w:val="20"/>
                <w:color w:val="auto"/>
              </w:rPr>
            </w:pPr>
            <w:r>
              <w:rPr>
                <w:rFonts w:ascii="Arial" w:cs="Arial" w:eastAsia="Arial" w:hAnsi="Arial"/>
                <w:sz w:val="18"/>
                <w:szCs w:val="18"/>
                <w:color w:val="auto"/>
              </w:rPr>
              <w:t>(1,079,000)</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Additional expense recorded to revise estimated reserve at period-end</w:t>
            </w:r>
          </w:p>
        </w:tc>
        <w:tc>
          <w:tcPr>
            <w:tcW w:w="176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156,000</w:t>
            </w: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175,000</w:t>
            </w:r>
          </w:p>
        </w:tc>
        <w:tc>
          <w:tcPr>
            <w:tcW w:w="15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331,000</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2,827,000</w:t>
            </w: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440" w:type="dxa"/>
            <w:vAlign w:val="bottom"/>
          </w:tcPr>
          <w:p>
            <w:pPr>
              <w:spacing w:after="0"/>
              <w:rPr>
                <w:sz w:val="19"/>
                <w:szCs w:val="19"/>
                <w:color w:val="auto"/>
              </w:rPr>
            </w:pPr>
          </w:p>
        </w:tc>
        <w:tc>
          <w:tcPr>
            <w:tcW w:w="1320" w:type="dxa"/>
            <w:vAlign w:val="bottom"/>
            <w:tcBorders>
              <w:top w:val="single" w:sz="8" w:color="auto"/>
            </w:tcBorders>
          </w:tcPr>
          <w:p>
            <w:pPr>
              <w:jc w:val="right"/>
              <w:ind w:right="382"/>
              <w:spacing w:after="0"/>
              <w:rPr>
                <w:sz w:val="20"/>
                <w:szCs w:val="20"/>
                <w:color w:val="auto"/>
              </w:rPr>
            </w:pPr>
            <w:r>
              <w:rPr>
                <w:rFonts w:ascii="Arial" w:cs="Arial" w:eastAsia="Arial" w:hAnsi="Arial"/>
                <w:sz w:val="18"/>
                <w:szCs w:val="18"/>
                <w:color w:val="auto"/>
              </w:rPr>
              <w:t>5,970,000</w:t>
            </w:r>
          </w:p>
        </w:tc>
        <w:tc>
          <w:tcPr>
            <w:tcW w:w="140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rPr>
              <w:t>5,847,000</w:t>
            </w:r>
          </w:p>
        </w:tc>
        <w:tc>
          <w:tcPr>
            <w:tcW w:w="150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rPr>
              <w:t>5,847,000</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6,098,000</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(See Note 3)</w:t>
            </w:r>
          </w:p>
        </w:tc>
        <w:tc>
          <w:tcPr>
            <w:tcW w:w="176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1,215,000</w:t>
            </w: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1,223,000</w:t>
            </w:r>
          </w:p>
        </w:tc>
        <w:tc>
          <w:tcPr>
            <w:tcW w:w="15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1,223,000</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1,208,000</w:t>
            </w:r>
          </w:p>
        </w:tc>
      </w:tr>
      <w:tr>
        <w:trPr>
          <w:trHeight w:val="412"/>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jc w:val="center"/>
              <w:ind w:left="178"/>
              <w:spacing w:after="0"/>
              <w:rPr>
                <w:sz w:val="20"/>
                <w:szCs w:val="20"/>
                <w:color w:val="auto"/>
              </w:rPr>
            </w:pPr>
            <w:r>
              <w:rPr>
                <w:rFonts w:ascii="Arial" w:cs="Arial" w:eastAsia="Arial" w:hAnsi="Arial"/>
                <w:sz w:val="14"/>
                <w:szCs w:val="14"/>
                <w:color w:val="auto"/>
                <w:w w:val="91"/>
              </w:rPr>
              <w:t>January to</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280" w:type="dxa"/>
            <w:vAlign w:val="bottom"/>
          </w:tcPr>
          <w:p>
            <w:pPr>
              <w:jc w:val="right"/>
              <w:ind w:right="196"/>
              <w:spacing w:after="0" w:line="149" w:lineRule="exact"/>
              <w:rPr>
                <w:sz w:val="20"/>
                <w:szCs w:val="20"/>
                <w:color w:val="auto"/>
              </w:rPr>
            </w:pPr>
            <w:r>
              <w:rPr>
                <w:rFonts w:ascii="Arial" w:cs="Arial" w:eastAsia="Arial" w:hAnsi="Arial"/>
                <w:sz w:val="14"/>
                <w:szCs w:val="14"/>
                <w:color w:val="auto"/>
                <w:w w:val="90"/>
              </w:rPr>
              <w:t>January to March</w:t>
            </w:r>
          </w:p>
        </w:tc>
        <w:tc>
          <w:tcPr>
            <w:tcW w:w="1420" w:type="dxa"/>
            <w:vAlign w:val="bottom"/>
          </w:tcPr>
          <w:p>
            <w:pPr>
              <w:jc w:val="right"/>
              <w:ind w:right="236"/>
              <w:spacing w:after="0" w:line="149" w:lineRule="exact"/>
              <w:rPr>
                <w:sz w:val="20"/>
                <w:szCs w:val="20"/>
                <w:color w:val="auto"/>
              </w:rPr>
            </w:pPr>
            <w:r>
              <w:rPr>
                <w:rFonts w:ascii="Arial" w:cs="Arial" w:eastAsia="Arial" w:hAnsi="Arial"/>
                <w:sz w:val="14"/>
                <w:szCs w:val="14"/>
                <w:color w:val="auto"/>
              </w:rPr>
              <w:t>April to June</w:t>
            </w:r>
          </w:p>
        </w:tc>
        <w:tc>
          <w:tcPr>
            <w:tcW w:w="1520" w:type="dxa"/>
            <w:vAlign w:val="bottom"/>
          </w:tcPr>
          <w:p>
            <w:pPr>
              <w:jc w:val="right"/>
              <w:ind w:right="216"/>
              <w:spacing w:after="0" w:line="149" w:lineRule="exact"/>
              <w:rPr>
                <w:sz w:val="20"/>
                <w:szCs w:val="20"/>
                <w:color w:val="auto"/>
              </w:rPr>
            </w:pPr>
            <w:r>
              <w:rPr>
                <w:rFonts w:ascii="Arial" w:cs="Arial" w:eastAsia="Arial" w:hAnsi="Arial"/>
                <w:sz w:val="14"/>
                <w:szCs w:val="14"/>
                <w:color w:val="auto"/>
              </w:rPr>
              <w:t>January to June</w:t>
            </w:r>
          </w:p>
        </w:tc>
        <w:tc>
          <w:tcPr>
            <w:tcW w:w="1220" w:type="dxa"/>
            <w:vAlign w:val="bottom"/>
          </w:tcPr>
          <w:p>
            <w:pPr>
              <w:jc w:val="center"/>
              <w:ind w:left="198"/>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accrued wind-down expenses at period-end (current and non current</w:t>
            </w: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31, 2006</w:t>
            </w:r>
          </w:p>
        </w:tc>
        <w:tc>
          <w:tcPr>
            <w:tcW w:w="14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30, 2006</w:t>
            </w:r>
          </w:p>
        </w:tc>
        <w:tc>
          <w:tcPr>
            <w:tcW w:w="15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30, 2006</w:t>
            </w:r>
          </w:p>
        </w:tc>
        <w:tc>
          <w:tcPr>
            <w:tcW w:w="1220" w:type="dxa"/>
            <w:vAlign w:val="bottom"/>
            <w:tcBorders>
              <w:bottom w:val="single" w:sz="8" w:color="auto"/>
            </w:tcBorders>
          </w:tcPr>
          <w:p>
            <w:pPr>
              <w:jc w:val="center"/>
              <w:ind w:left="198"/>
              <w:spacing w:after="0"/>
              <w:rPr>
                <w:sz w:val="20"/>
                <w:szCs w:val="20"/>
                <w:color w:val="auto"/>
              </w:rPr>
            </w:pPr>
            <w:r>
              <w:rPr>
                <w:rFonts w:ascii="Arial" w:cs="Arial" w:eastAsia="Arial" w:hAnsi="Arial"/>
                <w:sz w:val="14"/>
                <w:szCs w:val="14"/>
                <w:color w:val="auto"/>
                <w:w w:val="96"/>
              </w:rPr>
              <w:t>2005</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portion)</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3"/>
              </w:rPr>
              <w:t>$7,185,000</w:t>
            </w: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$7,070,000</w:t>
            </w: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$7,070,000</w:t>
            </w: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$7,306,000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Current portion</w:t>
            </w:r>
          </w:p>
        </w:tc>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3"/>
              </w:rPr>
              <w:t>$1,182,000</w:t>
            </w: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$1,255,000</w:t>
            </w: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$1,255,000</w:t>
            </w: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$1,119,000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current portion</w:t>
            </w:r>
          </w:p>
        </w:tc>
        <w:tc>
          <w:tcPr>
            <w:tcW w:w="1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6,003,000</w:t>
            </w:r>
          </w:p>
        </w:tc>
        <w:tc>
          <w:tcPr>
            <w:tcW w:w="1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5,815,000</w:t>
            </w: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5,815,000</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6,187,000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Accrued wind-down expenses</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3"/>
              </w:rPr>
              <w:t>$7,185,000</w:t>
            </w: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$7,070,000</w:t>
            </w: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$7,070,000</w:t>
            </w: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$7,306,000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GRANTS</w:t>
      </w:r>
    </w:p>
    <w:p>
      <w:pPr>
        <w:spacing w:after="0" w:line="121"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In September 2004, the National Institutes of Health (NIH) awarded the Company a Small Business Technology Transfer grant of $464,000 for studies in Alzheimer’s disease, consisting of approximately $308,000 for the first year and approximately $156,000 for the remainder of the grant term, September 30, 2005 through March 31, 2006. The studies have been conducted by Dr. George A. Carlson of the McLaughlin Research Institute (MRI) in Great Falls, Montana, which will receive approximately $222,000 of the total award. The remaining $242,000 has been recognized by the Company as grant revenue as and when resources were expended for this study. For the six month period ended June 30, 2006, the Company recognized approximately $38,000; the Company has now drawn down in full its share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March 2006, a warrant issued as part of the June 16, 2004 financing arrangement was exercised to purchase an aggregate of 526,400 shares of the Company’s common stock at $1.89 per share. The Company issued 526,400 shares of its common stock and received proceeds of approximately $995,000. On April 6, 2006, the Company sold 11,750,820 shares of its common stock to a limited number of institutional investors at a price of $3.05 per share, for gross proceeds of approximately $35,840,000. The shares were offered as a registered direct placement under the Company’s effective shelf registration statement previously filed with the Securities and Exchange Commission. For the three and six month period ended June 30, 2006, the Company issued 43,308 and 103,932 shares from activity related to its stock option plans. The following table presents the activity of the Company’s stock option plans for the six month periods ended June 30, 2006 and 2005.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2006</w:t>
            </w:r>
          </w:p>
        </w:tc>
        <w:tc>
          <w:tcPr>
            <w:tcW w:w="1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2005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tcPr>
          <w:p>
            <w:pPr>
              <w:jc w:val="right"/>
              <w:ind w:right="774"/>
              <w:spacing w:after="0" w:line="123" w:lineRule="exact"/>
              <w:rPr>
                <w:sz w:val="20"/>
                <w:szCs w:val="20"/>
                <w:color w:val="auto"/>
              </w:rPr>
            </w:pPr>
            <w:r>
              <w:rPr>
                <w:rFonts w:ascii="Arial" w:cs="Arial" w:eastAsia="Arial" w:hAnsi="Arial"/>
                <w:sz w:val="14"/>
                <w:szCs w:val="14"/>
                <w:color w:val="auto"/>
                <w:w w:val="97"/>
              </w:rPr>
              <w:t>Weighted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jc w:val="right"/>
              <w:ind w:right="154"/>
              <w:spacing w:after="0" w:line="123" w:lineRule="exact"/>
              <w:rPr>
                <w:sz w:val="20"/>
                <w:szCs w:val="20"/>
                <w:color w:val="auto"/>
              </w:rPr>
            </w:pPr>
            <w:r>
              <w:rPr>
                <w:rFonts w:ascii="Arial" w:cs="Arial" w:eastAsia="Arial" w:hAnsi="Arial"/>
                <w:sz w:val="14"/>
                <w:szCs w:val="14"/>
                <w:color w:val="auto"/>
                <w:w w:val="97"/>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Average Exercise</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ind w:left="480"/>
              <w:spacing w:after="0" w:line="149" w:lineRule="exact"/>
              <w:rPr>
                <w:sz w:val="20"/>
                <w:szCs w:val="20"/>
                <w:color w:val="auto"/>
              </w:rPr>
            </w:pPr>
            <w:r>
              <w:rPr>
                <w:rFonts w:ascii="Arial" w:cs="Arial" w:eastAsia="Arial" w:hAnsi="Arial"/>
                <w:sz w:val="14"/>
                <w:szCs w:val="14"/>
                <w:color w:val="auto"/>
                <w:w w:val="98"/>
              </w:rPr>
              <w:t>Average 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Options</w:t>
            </w:r>
          </w:p>
        </w:tc>
        <w:tc>
          <w:tcPr>
            <w:tcW w:w="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Price</w:t>
            </w: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Options</w:t>
            </w: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2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6,608,109</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3.02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6,682,201</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2840" w:type="dxa"/>
            <w:vAlign w:val="bottom"/>
            <w:gridSpan w:val="3"/>
          </w:tcPr>
          <w:p>
            <w:pPr>
              <w:jc w:val="right"/>
              <w:ind w:right="140"/>
              <w:spacing w:after="0"/>
              <w:rPr>
                <w:sz w:val="20"/>
                <w:szCs w:val="20"/>
                <w:color w:val="auto"/>
              </w:rPr>
            </w:pPr>
            <w:r>
              <w:rPr>
                <w:rFonts w:ascii="Arial" w:cs="Arial" w:eastAsia="Arial" w:hAnsi="Arial"/>
                <w:sz w:val="18"/>
                <w:szCs w:val="18"/>
                <w:color w:val="auto"/>
              </w:rPr>
              <w:t>746,887</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4"/>
              <w:spacing w:after="0"/>
              <w:rPr>
                <w:sz w:val="20"/>
                <w:szCs w:val="20"/>
                <w:color w:val="auto"/>
              </w:rPr>
            </w:pPr>
            <w:r>
              <w:rPr>
                <w:rFonts w:ascii="Arial" w:cs="Arial" w:eastAsia="Arial" w:hAnsi="Arial"/>
                <w:sz w:val="18"/>
                <w:szCs w:val="18"/>
                <w:color w:val="auto"/>
              </w:rPr>
              <w:t>3.33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384,895</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(103,932)</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1.91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(194,475)</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Canceled</w:t>
            </w:r>
          </w:p>
        </w:tc>
        <w:tc>
          <w:tcPr>
            <w:tcW w:w="18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(202,844)</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4"/>
              <w:spacing w:after="0"/>
              <w:rPr>
                <w:sz w:val="20"/>
                <w:szCs w:val="20"/>
                <w:color w:val="auto"/>
              </w:rPr>
            </w:pPr>
            <w:r>
              <w:rPr>
                <w:rFonts w:ascii="Arial" w:cs="Arial" w:eastAsia="Arial" w:hAnsi="Arial"/>
                <w:sz w:val="18"/>
                <w:szCs w:val="18"/>
                <w:color w:val="auto"/>
              </w:rPr>
              <w:t>2.18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(130,834)</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w:t>
            </w:r>
          </w:p>
        </w:tc>
        <w:tc>
          <w:tcPr>
            <w:tcW w:w="18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7,048,220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3.10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6,741,787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June 30</w:t>
            </w:r>
          </w:p>
        </w:tc>
        <w:tc>
          <w:tcPr>
            <w:tcW w:w="2840" w:type="dxa"/>
            <w:vAlign w:val="bottom"/>
            <w:gridSpan w:val="3"/>
          </w:tcPr>
          <w:p>
            <w:pPr>
              <w:spacing w:after="0" w:line="20" w:lineRule="exact"/>
              <w:rPr>
                <w:sz w:val="1"/>
                <w:szCs w:val="1"/>
                <w:color w:val="auto"/>
              </w:rPr>
            </w:pPr>
          </w:p>
        </w:tc>
        <w:tc>
          <w:tcPr>
            <w:tcW w:w="6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534"/>
              <w:spacing w:after="0"/>
              <w:rPr>
                <w:sz w:val="20"/>
                <w:szCs w:val="20"/>
                <w:color w:val="auto"/>
              </w:rPr>
            </w:pPr>
            <w:r>
              <w:rPr>
                <w:rFonts w:ascii="Arial" w:cs="Arial" w:eastAsia="Arial" w:hAnsi="Arial"/>
                <w:sz w:val="18"/>
                <w:szCs w:val="18"/>
                <w:color w:val="auto"/>
              </w:rPr>
              <w:t>2.98</w:t>
            </w:r>
          </w:p>
        </w:tc>
        <w:tc>
          <w:tcPr>
            <w:tcW w:w="980" w:type="dxa"/>
            <w:vAlign w:val="bottom"/>
            <w:gridSpan w:val="2"/>
          </w:tcPr>
          <w:p>
            <w:pPr>
              <w:spacing w:after="0" w:line="20" w:lineRule="exact"/>
              <w:rPr>
                <w:sz w:val="1"/>
                <w:szCs w:val="1"/>
                <w:color w:val="auto"/>
              </w:rPr>
            </w:pPr>
          </w:p>
        </w:tc>
        <w:tc>
          <w:tcPr>
            <w:tcW w:w="6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line="20" w:lineRule="exact"/>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4,583,297</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3,687,643</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00" w:type="dxa"/>
            <w:vAlign w:val="bottom"/>
            <w:gridSpan w:val="2"/>
          </w:tcPr>
          <w:p>
            <w:pPr>
              <w:jc w:val="right"/>
              <w:ind w:right="734"/>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34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six month periods ended June 30, 2006 and 2005 should be read in conjunction with the accompanying unaudited condensed consolidated financial statements and the related footnotes thereto.</w:t>
      </w:r>
    </w:p>
    <w:p>
      <w:pPr>
        <w:spacing w:after="0" w:line="16"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will permit us to proceed to clinical testing of proposed products despite the novel and unproven nature of our technology; the risk that, even if approved, our initial clinical trial could be substantially delayed beyond its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failure to obtain a corporate partner or partners if needed to support the development and commercialization of our stem cell programs; the uncertainty regarding the outcome of the Phase I clinical trial and any other trials we may conduct in the future; the uncertainty regarding the validity and enforceability of issued patents; the uncertainty whether any products that may be generated in our stem cell programs will prove clinically effective and not cause tumors or other side effects; the uncertainty whether we will achieve revenues from product sales or become profitable; uncertainties regarding our obligations in regard to our former encapsulated cell therapy facilities in Rhode Island; obsolescence of our technology; competition from third parties; intellectual property rights of third parties; litigation and other risks to which we are subject. All forward-looking statements attributable to us or to persons acting on our behalf are expressly qualified in their entirety by the cautionary statements and risk factors set forth in Item 1A (Risk Factors) and elsewhere in our Form 10-K for the year ended December 31, 2005 and the risk factors set forth in Part II, Item 1A (Risk Factors) and elsewhere in this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Since the second half of 1999, our sole focus has been on our stem cell technology. In March 2006, we initiated a Phase I clinical trial of our human neural stem cells as a treatment for the infantile and late infantile forms of neuronal ceroid lipofuscinosis (NCL) at Doernbecher Children’s Hospital at Oregon Health &amp; Science University (OHSU) in Portland, Oregon. NCL, which is often referred to as Batten disease, is a rare, fatal neurodegenerative disease afflicting infants and young children. We are currently enrolling patients in the trial and expect to dose the first patient later this year.</w:t>
      </w:r>
    </w:p>
    <w:p>
      <w:pPr>
        <w:spacing w:after="0" w:line="64"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toxicology and other studies in preparation for submitting the Batten disease IND to the FDA and getting it cleared by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58"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Our results of operations have varied significantly from year to year and quarter to quarter and may vary significantly in the future due to the occurrence of material recurring and nonrecurring events, including without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support to our Research and Development programs, we will need to hire more personnel, which will lead to higher operating expenses.</w:t>
      </w:r>
    </w:p>
    <w:p>
      <w:pPr>
        <w:spacing w:after="0" w:line="5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program in neural stem and progenitor cells ranges from the preclinical stage, in which we test human neural stem cells in small animal models of human diseases both in-house and through external academic collaborators, through the development phase, in which we evaluate improvements to expansion methods and the toxicology of the cells, through the clinical development phase, with respect to the Phase I clinical trial in Batten disease mentioned above. In our liver cell program, we are engaged in evaluating our proprietary human liver engrafting cell in various in vivo assays. We plan to advance our liver cell program into product development as rapidly as we can. Our pancreas program is still in the discovery stage and further evaluation of the therapeutic potential of the candidate human pancreatic stem/progenitor cell will be required.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 and the grant date fair value of share based awards recognized as compensation expense in accordance with the provisions of SFAS 123R.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In December 2004, FASB issued SFAS 123R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This Statement is a revision of SFAS 123 “</w:t>
      </w:r>
      <w:r>
        <w:rPr>
          <w:rFonts w:ascii="Arial" w:cs="Arial" w:eastAsia="Arial" w:hAnsi="Arial"/>
          <w:sz w:val="17"/>
          <w:szCs w:val="17"/>
          <w:i w:val="1"/>
          <w:iCs w:val="1"/>
          <w:color w:val="auto"/>
        </w:rPr>
        <w:t>Accounting for 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and amends SFAS No. 95</w:t>
      </w:r>
      <w:r>
        <w:rPr>
          <w:rFonts w:ascii="Arial" w:cs="Arial" w:eastAsia="Arial" w:hAnsi="Arial"/>
          <w:sz w:val="17"/>
          <w:szCs w:val="17"/>
          <w:i w:val="1"/>
          <w:iCs w:val="1"/>
          <w:color w:val="auto"/>
        </w:rPr>
        <w:t xml:space="preserve"> “Statement of Cash Flows.” </w:t>
      </w:r>
      <w:r>
        <w:rPr>
          <w:rFonts w:ascii="Arial" w:cs="Arial" w:eastAsia="Arial" w:hAnsi="Arial"/>
          <w:sz w:val="17"/>
          <w:szCs w:val="17"/>
          <w:color w:val="auto"/>
        </w:rPr>
        <w:t>SFAS 123R supersedes APB Opinion No. 25</w:t>
      </w:r>
      <w:r>
        <w:rPr>
          <w:rFonts w:ascii="Arial" w:cs="Arial" w:eastAsia="Arial" w:hAnsi="Arial"/>
          <w:sz w:val="17"/>
          <w:szCs w:val="17"/>
          <w:i w:val="1"/>
          <w:iCs w:val="1"/>
          <w:color w:val="auto"/>
        </w:rPr>
        <w:t xml:space="preserve"> “Accounting for Stock Issued to Employees” </w:t>
      </w:r>
      <w:r>
        <w:rPr>
          <w:rFonts w:ascii="Arial" w:cs="Arial" w:eastAsia="Arial" w:hAnsi="Arial"/>
          <w:sz w:val="17"/>
          <w:szCs w:val="17"/>
          <w:color w:val="auto"/>
        </w:rPr>
        <w:t>and its related implementation guidance. SFAS 123R covers a wide range of share-based compensation arrangements including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 plans, performance-based awards, share appreciation rights, and employee share purchase plans. The new standard is effective as of the beginning of the first interim or annual reporting period that begins after December 15, 2005. We adopted SFAS 123R effective January 1, 2006. Adoption of the expensing requirements will reduce our reported earnings. See “Stock Based Compensation” under Note 1 for the current and potential impact on net loss and net loss per share attributable to common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Arial" w:cs="Arial" w:eastAsia="Arial" w:hAnsi="Arial"/>
          <w:sz w:val="18"/>
          <w:szCs w:val="18"/>
          <w:i w:val="1"/>
          <w:iCs w:val="1"/>
          <w:color w:val="auto"/>
        </w:rPr>
        <w:t>Other Cost to Exit an Activity.</w:t>
      </w:r>
      <w:r>
        <w:rPr>
          <w:rFonts w:ascii="Arial" w:cs="Arial" w:eastAsia="Arial" w:hAnsi="Arial"/>
          <w:sz w:val="18"/>
          <w:szCs w:val="18"/>
          <w:color w:val="auto"/>
        </w:rPr>
        <w:t>”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the Company’s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2005 was approximately 64%, varying from 49% to 80%. As of June 30, 2006, based on current information available to management, the vacancy rate is projected to be 91% for the remainder of 2006, 84% for 2007, and approximately 70% from 2008 through the end of the lease. These estimates are based on actual occupancy in 2006, expiration of subleases in 2006 and 2008, predicted lead time for acquiring new subtenants, historical vacancy rates for the area and assessments by our broker/realtor of future real estate market conditions. If the assumed vacancy rate for 2008 to the end of the Lease had been five percentage points higher or lower at June 30, 2006, then the reserve would have increased or decreased by approximately $230,000. Similarly, a 5% increase or decrease in the operating expenses for the facility from 2006 would have increased or decreased the reserve by approximately $124,000, and a 5% increase or decrease in the assumed average rental charge per square foot would have increased or decreased the reserve by approximately $66,000. Management does not wait for specific events to change its estimate, but instead uses its best efforts to anticipate them on a quarterly basis.</w:t>
      </w:r>
    </w:p>
    <w:p>
      <w:pPr>
        <w:spacing w:after="0" w:line="6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wind-down reserve at the end of December 31, 2005 was $6,098,000. For the three and six-month period ended June 30, 2006, we recorded actual expenses against this reserve of approximately $298,000 and $582,000 respectively. Based on management’s evaluation of the factors mentioned, and particularly the projected vacancy rates described above, we adjusted the reserve to $5,847,,000 by recording an additional $331,000 for the six month period ended June 30, 2006. See Note 4 for a breakdown of these figures by quarter.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 the second quarter of 2006, as compared with the same quarter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2006</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2005</w:t>
            </w:r>
          </w:p>
        </w:tc>
        <w:tc>
          <w:tcPr>
            <w:tcW w:w="232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Borders>
              <w:bottom w:val="single" w:sz="8" w:color="auto"/>
            </w:tcBorders>
          </w:tcPr>
          <w:p>
            <w:pPr>
              <w:jc w:val="right"/>
              <w:ind w:right="757"/>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Revenue from grants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40"/>
              <w:spacing w:after="0"/>
              <w:rPr>
                <w:sz w:val="20"/>
                <w:szCs w:val="20"/>
                <w:color w:val="auto"/>
              </w:rPr>
            </w:pPr>
            <w:r>
              <w:rPr>
                <w:rFonts w:ascii="Arial" w:cs="Arial" w:eastAsia="Arial" w:hAnsi="Arial"/>
                <w:sz w:val="18"/>
                <w:szCs w:val="18"/>
                <w:color w:val="auto"/>
              </w:rPr>
              <w:t>26,092</w:t>
            </w: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($26,092)</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licensing agreements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4"/>
              </w:rPr>
              <w:t>20,535</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10,677</w:t>
            </w:r>
          </w:p>
        </w:tc>
        <w:tc>
          <w:tcPr>
            <w:tcW w:w="126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9,858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9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94"/>
              </w:rPr>
              <w:t>20,535</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36,769</w:t>
            </w:r>
          </w:p>
        </w:tc>
        <w:tc>
          <w:tcPr>
            <w:tcW w:w="1260" w:type="dxa"/>
            <w:vAlign w:val="bottom"/>
            <w:tcBorders>
              <w:top w:val="single" w:sz="8" w:color="auto"/>
            </w:tcBorders>
          </w:tcPr>
          <w:p>
            <w:pPr>
              <w:jc w:val="right"/>
              <w:ind w:right="357"/>
              <w:spacing w:after="0"/>
              <w:rPr>
                <w:sz w:val="20"/>
                <w:szCs w:val="20"/>
                <w:color w:val="auto"/>
              </w:rPr>
            </w:pPr>
            <w:r>
              <w:rPr>
                <w:rFonts w:ascii="Arial" w:cs="Arial" w:eastAsia="Arial" w:hAnsi="Arial"/>
                <w:sz w:val="18"/>
                <w:szCs w:val="18"/>
                <w:color w:val="auto"/>
              </w:rPr>
              <w:t>($16,234)</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For the three months ended June 30, 2005, revenue from grants totaled approximately $26,000. The revenue from grants was part of a $464,000 Small Business Technology Transfer grant for studies in Alzheimer’s disease. By March 31, 2006, the Company had drawn down in full its share of the grant. Total revenue includes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licensing revenue of approximately $20,000, and $11,000 for the three-month periods ended June 30, 2006 and 2005,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expenses in the second quarter of 2006, as compared with the same quarter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100" w:type="dxa"/>
            <w:vAlign w:val="bottom"/>
            <w:gridSpan w:val="2"/>
          </w:tcPr>
          <w:p>
            <w:pPr>
              <w:jc w:val="right"/>
              <w:ind w:right="600"/>
              <w:spacing w:after="0"/>
              <w:rPr>
                <w:sz w:val="20"/>
                <w:szCs w:val="20"/>
                <w:color w:val="auto"/>
              </w:rPr>
            </w:pPr>
            <w:r>
              <w:rPr>
                <w:rFonts w:ascii="Arial" w:cs="Arial" w:eastAsia="Arial" w:hAnsi="Arial"/>
                <w:sz w:val="14"/>
                <w:szCs w:val="14"/>
                <w:color w:val="auto"/>
              </w:rPr>
              <w:t>2006</w:t>
            </w:r>
          </w:p>
        </w:tc>
        <w:tc>
          <w:tcPr>
            <w:tcW w:w="1460" w:type="dxa"/>
            <w:vAlign w:val="bottom"/>
          </w:tcPr>
          <w:p>
            <w:pPr>
              <w:jc w:val="right"/>
              <w:ind w:right="494"/>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5"/>
                <w:szCs w:val="15"/>
                <w:color w:val="auto"/>
              </w:rPr>
            </w:pPr>
          </w:p>
        </w:tc>
        <w:tc>
          <w:tcPr>
            <w:tcW w:w="2460" w:type="dxa"/>
            <w:vAlign w:val="bottom"/>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right"/>
              <w:ind w:right="84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100" w:type="dxa"/>
            <w:vAlign w:val="bottom"/>
            <w:gridSpan w:val="2"/>
          </w:tcPr>
          <w:p>
            <w:pPr>
              <w:jc w:val="right"/>
              <w:ind w:right="320"/>
              <w:spacing w:after="0"/>
              <w:rPr>
                <w:sz w:val="20"/>
                <w:szCs w:val="20"/>
                <w:color w:val="auto"/>
              </w:rPr>
            </w:pPr>
            <w:r>
              <w:rPr>
                <w:rFonts w:ascii="Arial" w:cs="Arial" w:eastAsia="Arial" w:hAnsi="Arial"/>
                <w:sz w:val="18"/>
                <w:szCs w:val="18"/>
                <w:color w:val="auto"/>
              </w:rPr>
              <w:t>$ 3,187,513</w:t>
            </w:r>
          </w:p>
        </w:tc>
        <w:tc>
          <w:tcPr>
            <w:tcW w:w="1460" w:type="dxa"/>
            <w:vAlign w:val="bottom"/>
          </w:tcPr>
          <w:p>
            <w:pPr>
              <w:jc w:val="right"/>
              <w:ind w:right="234"/>
              <w:spacing w:after="0"/>
              <w:rPr>
                <w:sz w:val="20"/>
                <w:szCs w:val="20"/>
                <w:color w:val="auto"/>
              </w:rPr>
            </w:pPr>
            <w:r>
              <w:rPr>
                <w:rFonts w:ascii="Arial" w:cs="Arial" w:eastAsia="Arial" w:hAnsi="Arial"/>
                <w:sz w:val="18"/>
                <w:szCs w:val="18"/>
                <w:color w:val="auto"/>
              </w:rPr>
              <w:t>$ 1,969,096</w:t>
            </w:r>
          </w:p>
        </w:tc>
        <w:tc>
          <w:tcPr>
            <w:tcW w:w="1720" w:type="dxa"/>
            <w:vAlign w:val="bottom"/>
            <w:gridSpan w:val="2"/>
          </w:tcPr>
          <w:p>
            <w:pPr>
              <w:jc w:val="right"/>
              <w:ind w:right="428"/>
              <w:spacing w:after="0"/>
              <w:rPr>
                <w:sz w:val="20"/>
                <w:szCs w:val="20"/>
                <w:color w:val="auto"/>
              </w:rPr>
            </w:pPr>
            <w:r>
              <w:rPr>
                <w:rFonts w:ascii="Arial" w:cs="Arial" w:eastAsia="Arial" w:hAnsi="Arial"/>
                <w:sz w:val="18"/>
                <w:szCs w:val="18"/>
                <w:color w:val="auto"/>
              </w:rPr>
              <w:t>$ 1,218,417</w:t>
            </w: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1,412,513</w:t>
            </w: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954,542</w:t>
            </w:r>
          </w:p>
        </w:tc>
        <w:tc>
          <w:tcPr>
            <w:tcW w:w="17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457,971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3100" w:type="dxa"/>
            <w:vAlign w:val="bottom"/>
            <w:gridSpan w:val="2"/>
          </w:tcPr>
          <w:p>
            <w:pPr>
              <w:jc w:val="right"/>
              <w:ind w:right="320"/>
              <w:spacing w:after="0"/>
              <w:rPr>
                <w:sz w:val="20"/>
                <w:szCs w:val="20"/>
                <w:color w:val="auto"/>
              </w:rPr>
            </w:pPr>
            <w:r>
              <w:rPr>
                <w:rFonts w:ascii="Arial" w:cs="Arial" w:eastAsia="Arial" w:hAnsi="Arial"/>
                <w:sz w:val="18"/>
                <w:szCs w:val="18"/>
                <w:color w:val="auto"/>
              </w:rPr>
              <w:t>174,901</w:t>
            </w:r>
          </w:p>
        </w:tc>
        <w:tc>
          <w:tcPr>
            <w:tcW w:w="1460" w:type="dxa"/>
            <w:vAlign w:val="bottom"/>
          </w:tcPr>
          <w:p>
            <w:pPr>
              <w:jc w:val="right"/>
              <w:ind w:right="234"/>
              <w:spacing w:after="0"/>
              <w:rPr>
                <w:sz w:val="20"/>
                <w:szCs w:val="20"/>
                <w:color w:val="auto"/>
              </w:rPr>
            </w:pPr>
            <w:r>
              <w:rPr>
                <w:rFonts w:ascii="Arial" w:cs="Arial" w:eastAsia="Arial" w:hAnsi="Arial"/>
                <w:sz w:val="18"/>
                <w:szCs w:val="18"/>
                <w:color w:val="auto"/>
              </w:rPr>
              <w:t>1,197,226</w:t>
            </w:r>
          </w:p>
        </w:tc>
        <w:tc>
          <w:tcPr>
            <w:tcW w:w="1720" w:type="dxa"/>
            <w:vAlign w:val="bottom"/>
            <w:gridSpan w:val="2"/>
          </w:tcPr>
          <w:p>
            <w:pPr>
              <w:jc w:val="right"/>
              <w:ind w:right="368"/>
              <w:spacing w:after="0"/>
              <w:rPr>
                <w:sz w:val="20"/>
                <w:szCs w:val="20"/>
                <w:color w:val="auto"/>
              </w:rPr>
            </w:pPr>
            <w:r>
              <w:rPr>
                <w:rFonts w:ascii="Arial" w:cs="Arial" w:eastAsia="Arial" w:hAnsi="Arial"/>
                <w:sz w:val="18"/>
                <w:szCs w:val="18"/>
                <w:color w:val="auto"/>
              </w:rPr>
              <w:t>(1,022,325)</w:t>
            </w: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$ 4,774,927</w:t>
            </w: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$ 4,120,864</w:t>
            </w:r>
          </w:p>
        </w:tc>
        <w:tc>
          <w:tcPr>
            <w:tcW w:w="17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   654,063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totaled approximately $3,188,000 for the three months ended June 30, 2006,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$1,969,000 for the same period in 2005. The increase of $1,218,000, or approximately 62%, from 2005 to 2006 was primarily attributable to expansion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in cell processing and clinical development, which consisted of an increase in personnel costs of approximately $585,000 and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external services of approximately $399,000, with the remainder due to increases in supplies, rent and other operating expenses. Of the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$585,000 increase in personnel costs, approximately $311,000 was attributable to the expensing of stock option compensation as required by the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pronouncement SFAS 123R (see “Stock Based Compensation” under Note 1 above), with the balance attributable to an increase in head count.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2006, we had 36 full-time employees working in research and development and laboratory support services as compared to 30 at June 30, 2005.</w:t>
      </w:r>
    </w:p>
    <w:p>
      <w:pPr>
        <w:spacing w:after="0" w:line="126"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General and administrative expenses were approximately $1,413,000 for the three months ended June 30, 2006, compared with approximately $955,000 for the same period in 2005. The increase of $458,000, or approximately 48%, from 2005 to 2006 was primarily attributable to an increase in personnel costs of approximately $332,000, of which approximately $235,000 was attributable to the expensing of stock option compensation as required by the new accounting pronouncement SFAS 123R (see “Stock Based Compensation” under Note 1 above) with the balance attributable to an increase in head count. The remaining increase in costs was attributable to an increase in costs related to auditor’s fees, investor relations, listing fees, facilities and other expenses.</w:t>
      </w:r>
    </w:p>
    <w:p>
      <w:pPr>
        <w:spacing w:after="0" w:line="50"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March 31, 2006, the reserve was approximately $5,970,000. For the three months ended June 30, 2006, expenses of $298,000 net of subtenant income were recorded against this reserve (see Note 4 for a breakdown of these figures by quarter). At June 30, 2006, we re-evaluated the estimate and adjusted the reserve to approximately $5,847,000 by recording an additional $175,000 as wind-down expenses. Wind-down expenses recorded for the same period in 2005 were $1,197,000.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income in the second quarter of 2006, as compared with the same quarter in 2005, is summarized in the table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2780" w:type="dxa"/>
            <w:vAlign w:val="bottom"/>
            <w:gridSpan w:val="2"/>
          </w:tcPr>
          <w:p>
            <w:pPr>
              <w:jc w:val="right"/>
              <w:ind w:right="470"/>
              <w:spacing w:after="0"/>
              <w:rPr>
                <w:sz w:val="20"/>
                <w:szCs w:val="20"/>
                <w:color w:val="auto"/>
              </w:rPr>
            </w:pPr>
            <w:r>
              <w:rPr>
                <w:rFonts w:ascii="Arial" w:cs="Arial" w:eastAsia="Arial" w:hAnsi="Arial"/>
                <w:sz w:val="14"/>
                <w:szCs w:val="14"/>
                <w:color w:val="auto"/>
              </w:rPr>
              <w:t>2006</w:t>
            </w:r>
          </w:p>
        </w:tc>
        <w:tc>
          <w:tcPr>
            <w:tcW w:w="420" w:type="dxa"/>
            <w:vAlign w:val="bottom"/>
          </w:tcPr>
          <w:p>
            <w:pPr>
              <w:spacing w:after="0"/>
              <w:rPr>
                <w:sz w:val="15"/>
                <w:szCs w:val="15"/>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5"/>
                <w:szCs w:val="15"/>
                <w:color w:val="auto"/>
              </w:rPr>
            </w:pPr>
          </w:p>
        </w:tc>
        <w:tc>
          <w:tcPr>
            <w:tcW w:w="2260" w:type="dxa"/>
            <w:vAlign w:val="bottom"/>
            <w:gridSpan w:val="2"/>
          </w:tcPr>
          <w:p>
            <w:pPr>
              <w:jc w:val="right"/>
              <w:ind w:right="373"/>
              <w:spacing w:after="0"/>
              <w:rPr>
                <w:sz w:val="20"/>
                <w:szCs w:val="20"/>
                <w:color w:val="auto"/>
              </w:rPr>
            </w:pPr>
            <w:r>
              <w:rPr>
                <w:rFonts w:ascii="Arial" w:cs="Arial" w:eastAsia="Arial" w:hAnsi="Arial"/>
                <w:sz w:val="14"/>
                <w:szCs w:val="14"/>
                <w:color w:val="auto"/>
              </w:rPr>
              <w:t>Change from previous year</w:t>
            </w:r>
          </w:p>
        </w:tc>
      </w:tr>
      <w:tr>
        <w:trPr>
          <w:trHeight w:val="142"/>
        </w:trPr>
        <w:tc>
          <w:tcPr>
            <w:tcW w:w="4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74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413"/>
              <w:spacing w:after="0" w:line="142" w:lineRule="exact"/>
              <w:rPr>
                <w:sz w:val="20"/>
                <w:szCs w:val="20"/>
                <w:color w:val="auto"/>
              </w:rPr>
            </w:pPr>
            <w:r>
              <w:rPr>
                <w:rFonts w:ascii="Arial" w:cs="Arial" w:eastAsia="Arial" w:hAnsi="Arial"/>
                <w:sz w:val="14"/>
                <w:szCs w:val="14"/>
                <w:color w:val="auto"/>
              </w:rPr>
              <w:t>%</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License and settlement agreement, net</w:t>
            </w:r>
          </w:p>
        </w:tc>
        <w:tc>
          <w:tcPr>
            <w:tcW w:w="2780" w:type="dxa"/>
            <w:vAlign w:val="bottom"/>
            <w:gridSpan w:val="2"/>
          </w:tcPr>
          <w:p>
            <w:pPr>
              <w:jc w:val="right"/>
              <w:ind w:right="270"/>
              <w:spacing w:after="0"/>
              <w:rPr>
                <w:sz w:val="20"/>
                <w:szCs w:val="20"/>
                <w:color w:val="auto"/>
              </w:rPr>
            </w:pPr>
            <w:r>
              <w:rPr>
                <w:rFonts w:ascii="Arial" w:cs="Arial" w:eastAsia="Arial" w:hAnsi="Arial"/>
                <w:sz w:val="18"/>
                <w:szCs w:val="18"/>
                <w:color w:val="auto"/>
              </w:rPr>
              <w:t>$ 103,359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8"/>
              <w:spacing w:after="0"/>
              <w:rPr>
                <w:sz w:val="20"/>
                <w:szCs w:val="20"/>
                <w:color w:val="auto"/>
              </w:rPr>
            </w:pPr>
            <w:r>
              <w:rPr>
                <w:rFonts w:ascii="Arial" w:cs="Arial" w:eastAsia="Arial" w:hAnsi="Arial"/>
                <w:sz w:val="18"/>
                <w:szCs w:val="18"/>
                <w:color w:val="auto"/>
              </w:rPr>
              <w:t>$ 103,359</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7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703,551</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9"/>
              </w:rPr>
              <w:t>261,389</w:t>
            </w:r>
          </w:p>
        </w:tc>
        <w:tc>
          <w:tcPr>
            <w:tcW w:w="15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442,162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780" w:type="dxa"/>
            <w:vAlign w:val="bottom"/>
            <w:gridSpan w:val="2"/>
          </w:tcPr>
          <w:p>
            <w:pPr>
              <w:jc w:val="right"/>
              <w:ind w:right="210"/>
              <w:spacing w:after="0"/>
              <w:rPr>
                <w:sz w:val="20"/>
                <w:szCs w:val="20"/>
                <w:color w:val="auto"/>
              </w:rPr>
            </w:pPr>
            <w:r>
              <w:rPr>
                <w:rFonts w:ascii="Arial" w:cs="Arial" w:eastAsia="Arial" w:hAnsi="Arial"/>
                <w:sz w:val="18"/>
                <w:szCs w:val="18"/>
                <w:color w:val="auto"/>
              </w:rPr>
              <w:t>(38,505)</w:t>
            </w:r>
          </w:p>
        </w:tc>
        <w:tc>
          <w:tcPr>
            <w:tcW w:w="42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w w:val="95"/>
              </w:rPr>
              <w:t>(45,345)</w:t>
            </w:r>
          </w:p>
        </w:tc>
        <w:tc>
          <w:tcPr>
            <w:tcW w:w="1520" w:type="dxa"/>
            <w:vAlign w:val="bottom"/>
            <w:gridSpan w:val="2"/>
          </w:tcPr>
          <w:p>
            <w:pPr>
              <w:jc w:val="right"/>
              <w:ind w:right="428"/>
              <w:spacing w:after="0"/>
              <w:rPr>
                <w:sz w:val="20"/>
                <w:szCs w:val="20"/>
                <w:color w:val="auto"/>
              </w:rPr>
            </w:pPr>
            <w:r>
              <w:rPr>
                <w:rFonts w:ascii="Arial" w:cs="Arial" w:eastAsia="Arial" w:hAnsi="Arial"/>
                <w:sz w:val="18"/>
                <w:szCs w:val="18"/>
                <w:color w:val="auto"/>
              </w:rPr>
              <w:t>6,840</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17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(3,372)</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(235)</w:t>
            </w:r>
          </w:p>
        </w:tc>
        <w:tc>
          <w:tcPr>
            <w:tcW w:w="1520" w:type="dxa"/>
            <w:vAlign w:val="bottom"/>
            <w:tcBorders>
              <w:bottom w:val="single" w:sz="8" w:color="auto"/>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(3,137)</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439"/>
        </w:trPr>
        <w:tc>
          <w:tcPr>
            <w:tcW w:w="46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780" w:type="dxa"/>
            <w:vAlign w:val="bottom"/>
            <w:gridSpan w:val="2"/>
          </w:tcPr>
          <w:p>
            <w:pPr>
              <w:jc w:val="right"/>
              <w:ind w:right="270"/>
              <w:spacing w:after="0"/>
              <w:rPr>
                <w:sz w:val="20"/>
                <w:szCs w:val="20"/>
                <w:color w:val="auto"/>
              </w:rPr>
            </w:pPr>
            <w:r>
              <w:rPr>
                <w:rFonts w:ascii="Arial" w:cs="Arial" w:eastAsia="Arial" w:hAnsi="Arial"/>
                <w:sz w:val="18"/>
                <w:szCs w:val="18"/>
                <w:color w:val="auto"/>
              </w:rPr>
              <w:t>$ 765,033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3"/>
              <w:spacing w:after="0"/>
              <w:rPr>
                <w:sz w:val="20"/>
                <w:szCs w:val="20"/>
                <w:color w:val="auto"/>
              </w:rPr>
            </w:pPr>
            <w:r>
              <w:rPr>
                <w:rFonts w:ascii="Arial" w:cs="Arial" w:eastAsia="Arial" w:hAnsi="Arial"/>
                <w:sz w:val="18"/>
                <w:szCs w:val="18"/>
                <w:color w:val="auto"/>
                <w:w w:val="89"/>
              </w:rPr>
              <w:t>215,809</w:t>
            </w:r>
          </w:p>
        </w:tc>
        <w:tc>
          <w:tcPr>
            <w:tcW w:w="1520" w:type="dxa"/>
            <w:vAlign w:val="bottom"/>
            <w:gridSpan w:val="2"/>
          </w:tcPr>
          <w:p>
            <w:pPr>
              <w:jc w:val="right"/>
              <w:ind w:right="428"/>
              <w:spacing w:after="0"/>
              <w:rPr>
                <w:sz w:val="20"/>
                <w:szCs w:val="20"/>
                <w:color w:val="auto"/>
              </w:rPr>
            </w:pPr>
            <w:r>
              <w:rPr>
                <w:rFonts w:ascii="Arial" w:cs="Arial" w:eastAsia="Arial" w:hAnsi="Arial"/>
                <w:sz w:val="18"/>
                <w:szCs w:val="18"/>
                <w:color w:val="auto"/>
              </w:rPr>
              <w:t>$ 549,224</w:t>
            </w:r>
          </w:p>
        </w:tc>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For the three months ended June 30, 2006, under the terms of a license and settlement agreement with ReNeuron (see Note 2 for details), we recorded approximately $103,000 as other income upon receipt of additional shares of ReNeuron common stock due to us because of an anti-dilution provision within the agreement.</w:t>
      </w:r>
    </w:p>
    <w:p>
      <w:pPr>
        <w:spacing w:after="0" w:line="73"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Interest income for the three months ended June 30, 2006 and 2005 was approximately $704,000 and $261,000, respectively. The increase in interest income in 2006 was primarily attributable to higher yield on investments.</w:t>
      </w:r>
    </w:p>
    <w:p>
      <w:pPr>
        <w:spacing w:after="0" w:line="62"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Interest expense for the three months ended June 30, 2006 and 2005 was approximately $39,000 and $45,000 respectively. The decrease in interest expense in 2006 was attributable to lower outstanding debt and capital lease balances in 2006 compared to 2005.</w:t>
      </w:r>
    </w:p>
    <w:p>
      <w:pPr>
        <w:spacing w:after="0" w:line="62"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Increase in other expense in 2006 was primarily attributable to an approximate $1,000 loss on write-off of equipment and an increase of $2,000 in franchise tax paid.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for the six months ended June 30, 2006, as compared with the same period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2006</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2005</w:t>
            </w:r>
          </w:p>
        </w:tc>
        <w:tc>
          <w:tcPr>
            <w:tcW w:w="232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Borders>
              <w:bottom w:val="single" w:sz="8" w:color="auto"/>
            </w:tcBorders>
          </w:tcPr>
          <w:p>
            <w:pPr>
              <w:jc w:val="right"/>
              <w:ind w:right="757"/>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Revenue from grants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0"/>
              <w:spacing w:after="0"/>
              <w:rPr>
                <w:sz w:val="20"/>
                <w:szCs w:val="20"/>
                <w:color w:val="auto"/>
              </w:rPr>
            </w:pPr>
            <w:r>
              <w:rPr>
                <w:rFonts w:ascii="Arial" w:cs="Arial" w:eastAsia="Arial" w:hAnsi="Arial"/>
                <w:sz w:val="18"/>
                <w:szCs w:val="18"/>
                <w:color w:val="auto"/>
              </w:rPr>
              <w:t>37,550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40"/>
              <w:spacing w:after="0"/>
              <w:rPr>
                <w:sz w:val="20"/>
                <w:szCs w:val="20"/>
                <w:color w:val="auto"/>
              </w:rPr>
            </w:pPr>
            <w:r>
              <w:rPr>
                <w:rFonts w:ascii="Arial" w:cs="Arial" w:eastAsia="Arial" w:hAnsi="Arial"/>
                <w:sz w:val="18"/>
                <w:szCs w:val="18"/>
                <w:color w:val="auto"/>
              </w:rPr>
              <w:t>52,184</w:t>
            </w: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($14,634)</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licensing agreements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24,535</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19,906</w:t>
            </w:r>
          </w:p>
        </w:tc>
        <w:tc>
          <w:tcPr>
            <w:tcW w:w="126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4,629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9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62,085</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72,090</w:t>
            </w:r>
          </w:p>
        </w:tc>
        <w:tc>
          <w:tcPr>
            <w:tcW w:w="1260" w:type="dxa"/>
            <w:vAlign w:val="bottom"/>
            <w:tcBorders>
              <w:top w:val="single" w:sz="8" w:color="auto"/>
            </w:tcBorders>
          </w:tcPr>
          <w:p>
            <w:pPr>
              <w:jc w:val="right"/>
              <w:ind w:right="357"/>
              <w:spacing w:after="0"/>
              <w:rPr>
                <w:sz w:val="20"/>
                <w:szCs w:val="20"/>
                <w:color w:val="auto"/>
              </w:rPr>
            </w:pPr>
            <w:r>
              <w:rPr>
                <w:rFonts w:ascii="Arial" w:cs="Arial" w:eastAsia="Arial" w:hAnsi="Arial"/>
                <w:sz w:val="18"/>
                <w:szCs w:val="18"/>
                <w:color w:val="auto"/>
              </w:rPr>
              <w:t>($10,005)</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For the six months ended June 30, 2006 and June30, 2005, revenue from grants totaled approximately $38,000 and $52,000 respectively. The revenue from grants was part of a $464,000 Small Business Technology Transfer grant for studies in Alzheimer’s disease. By March 31, 2006, we had drawn down in full our share of the grant. Total revenue includes licensing revenue of $25,000 and $20,000 for the six-month periods ended June 30, 2006 and 2005,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expenses for the six months ended June 30, 2006, as compared with the same period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3380" w:type="dxa"/>
            <w:vAlign w:val="bottom"/>
            <w:gridSpan w:val="2"/>
          </w:tcPr>
          <w:p>
            <w:pPr>
              <w:jc w:val="right"/>
              <w:ind w:right="600"/>
              <w:spacing w:after="0"/>
              <w:rPr>
                <w:sz w:val="20"/>
                <w:szCs w:val="20"/>
                <w:color w:val="auto"/>
              </w:rPr>
            </w:pPr>
            <w:r>
              <w:rPr>
                <w:rFonts w:ascii="Arial" w:cs="Arial" w:eastAsia="Arial" w:hAnsi="Arial"/>
                <w:sz w:val="14"/>
                <w:szCs w:val="14"/>
                <w:color w:val="auto"/>
              </w:rPr>
              <w:t>2006</w:t>
            </w:r>
          </w:p>
        </w:tc>
        <w:tc>
          <w:tcPr>
            <w:tcW w:w="1480" w:type="dxa"/>
            <w:vAlign w:val="bottom"/>
          </w:tcPr>
          <w:p>
            <w:pPr>
              <w:jc w:val="right"/>
              <w:ind w:right="519"/>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2340" w:type="dxa"/>
            <w:vAlign w:val="bottom"/>
            <w:gridSpan w:val="2"/>
          </w:tcPr>
          <w:p>
            <w:pPr>
              <w:jc w:val="right"/>
              <w:ind w:right="399"/>
              <w:spacing w:after="0"/>
              <w:rPr>
                <w:sz w:val="20"/>
                <w:szCs w:val="20"/>
                <w:color w:val="auto"/>
              </w:rPr>
            </w:pPr>
            <w:r>
              <w:rPr>
                <w:rFonts w:ascii="Arial" w:cs="Arial" w:eastAsia="Arial" w:hAnsi="Arial"/>
                <w:sz w:val="14"/>
                <w:szCs w:val="14"/>
                <w:color w:val="auto"/>
              </w:rPr>
              <w:t>Change from previous year</w:t>
            </w:r>
          </w:p>
        </w:tc>
      </w:tr>
      <w:tr>
        <w:trPr>
          <w:trHeight w:val="142"/>
        </w:trPr>
        <w:tc>
          <w:tcPr>
            <w:tcW w:w="3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788"/>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color w:val="auto"/>
              </w:rPr>
              <w:t>%</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380" w:type="dxa"/>
            <w:vAlign w:val="bottom"/>
            <w:gridSpan w:val="2"/>
          </w:tcPr>
          <w:p>
            <w:pPr>
              <w:jc w:val="right"/>
              <w:ind w:right="320"/>
              <w:spacing w:after="0"/>
              <w:rPr>
                <w:sz w:val="20"/>
                <w:szCs w:val="20"/>
                <w:color w:val="auto"/>
              </w:rPr>
            </w:pPr>
            <w:r>
              <w:rPr>
                <w:rFonts w:ascii="Arial" w:cs="Arial" w:eastAsia="Arial" w:hAnsi="Arial"/>
                <w:sz w:val="18"/>
                <w:szCs w:val="18"/>
                <w:color w:val="auto"/>
              </w:rPr>
              <w:t>$ 5,879,394</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$ 3,588,029</w:t>
            </w:r>
          </w:p>
        </w:tc>
        <w:tc>
          <w:tcPr>
            <w:tcW w:w="1640" w:type="dxa"/>
            <w:vAlign w:val="bottom"/>
            <w:gridSpan w:val="2"/>
          </w:tcPr>
          <w:p>
            <w:pPr>
              <w:jc w:val="right"/>
              <w:ind w:right="408"/>
              <w:spacing w:after="0"/>
              <w:rPr>
                <w:sz w:val="20"/>
                <w:szCs w:val="20"/>
                <w:color w:val="auto"/>
              </w:rPr>
            </w:pPr>
            <w:r>
              <w:rPr>
                <w:rFonts w:ascii="Arial" w:cs="Arial" w:eastAsia="Arial" w:hAnsi="Arial"/>
                <w:sz w:val="18"/>
                <w:szCs w:val="18"/>
                <w:color w:val="auto"/>
              </w:rPr>
              <w:t>$ 2,291,365</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77"/>
        </w:trPr>
        <w:tc>
          <w:tcPr>
            <w:tcW w:w="3880" w:type="dxa"/>
            <w:vAlign w:val="bottom"/>
          </w:tcPr>
          <w:p>
            <w:pPr>
              <w:spacing w:after="0"/>
              <w:rPr>
                <w:sz w:val="24"/>
                <w:szCs w:val="24"/>
                <w:color w:val="auto"/>
              </w:rPr>
            </w:pPr>
          </w:p>
        </w:tc>
        <w:tc>
          <w:tcPr>
            <w:tcW w:w="2220" w:type="dxa"/>
            <w:vAlign w:val="bottom"/>
          </w:tcPr>
          <w:p>
            <w:pPr>
              <w:jc w:val="right"/>
              <w:ind w:right="216"/>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38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100" w:type="dxa"/>
            <w:vAlign w:val="bottom"/>
            <w:gridSpan w:val="2"/>
          </w:tcPr>
          <w:p>
            <w:pPr>
              <w:jc w:val="right"/>
              <w:ind w:right="600"/>
              <w:spacing w:after="0"/>
              <w:rPr>
                <w:sz w:val="20"/>
                <w:szCs w:val="20"/>
                <w:color w:val="auto"/>
              </w:rPr>
            </w:pPr>
            <w:r>
              <w:rPr>
                <w:rFonts w:ascii="Arial" w:cs="Arial" w:eastAsia="Arial" w:hAnsi="Arial"/>
                <w:sz w:val="14"/>
                <w:szCs w:val="14"/>
                <w:color w:val="auto"/>
              </w:rPr>
              <w:t>2006</w:t>
            </w:r>
          </w:p>
        </w:tc>
        <w:tc>
          <w:tcPr>
            <w:tcW w:w="1460" w:type="dxa"/>
            <w:vAlign w:val="bottom"/>
          </w:tcPr>
          <w:p>
            <w:pPr>
              <w:jc w:val="right"/>
              <w:ind w:right="494"/>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5"/>
                <w:szCs w:val="15"/>
                <w:color w:val="auto"/>
              </w:rPr>
            </w:pPr>
          </w:p>
        </w:tc>
        <w:tc>
          <w:tcPr>
            <w:tcW w:w="2460" w:type="dxa"/>
            <w:vAlign w:val="bottom"/>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84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3,089,837</w:t>
            </w: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2,459,744</w:t>
            </w:r>
          </w:p>
        </w:tc>
        <w:tc>
          <w:tcPr>
            <w:tcW w:w="17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630,093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3100" w:type="dxa"/>
            <w:vAlign w:val="bottom"/>
            <w:gridSpan w:val="2"/>
          </w:tcPr>
          <w:p>
            <w:pPr>
              <w:jc w:val="right"/>
              <w:ind w:right="320"/>
              <w:spacing w:after="0"/>
              <w:rPr>
                <w:sz w:val="20"/>
                <w:szCs w:val="20"/>
                <w:color w:val="auto"/>
              </w:rPr>
            </w:pPr>
            <w:r>
              <w:rPr>
                <w:rFonts w:ascii="Arial" w:cs="Arial" w:eastAsia="Arial" w:hAnsi="Arial"/>
                <w:sz w:val="18"/>
                <w:szCs w:val="18"/>
                <w:color w:val="auto"/>
              </w:rPr>
              <w:t>331,018</w:t>
            </w:r>
          </w:p>
        </w:tc>
        <w:tc>
          <w:tcPr>
            <w:tcW w:w="1460" w:type="dxa"/>
            <w:vAlign w:val="bottom"/>
          </w:tcPr>
          <w:p>
            <w:pPr>
              <w:jc w:val="right"/>
              <w:ind w:right="234"/>
              <w:spacing w:after="0"/>
              <w:rPr>
                <w:sz w:val="20"/>
                <w:szCs w:val="20"/>
                <w:color w:val="auto"/>
              </w:rPr>
            </w:pPr>
            <w:r>
              <w:rPr>
                <w:rFonts w:ascii="Arial" w:cs="Arial" w:eastAsia="Arial" w:hAnsi="Arial"/>
                <w:sz w:val="18"/>
                <w:szCs w:val="18"/>
                <w:color w:val="auto"/>
              </w:rPr>
              <w:t>1,718,200</w:t>
            </w:r>
          </w:p>
        </w:tc>
        <w:tc>
          <w:tcPr>
            <w:tcW w:w="1720" w:type="dxa"/>
            <w:vAlign w:val="bottom"/>
            <w:gridSpan w:val="2"/>
          </w:tcPr>
          <w:p>
            <w:pPr>
              <w:jc w:val="right"/>
              <w:ind w:right="368"/>
              <w:spacing w:after="0"/>
              <w:rPr>
                <w:sz w:val="20"/>
                <w:szCs w:val="20"/>
                <w:color w:val="auto"/>
              </w:rPr>
            </w:pPr>
            <w:r>
              <w:rPr>
                <w:rFonts w:ascii="Arial" w:cs="Arial" w:eastAsia="Arial" w:hAnsi="Arial"/>
                <w:sz w:val="18"/>
                <w:szCs w:val="18"/>
                <w:color w:val="auto"/>
              </w:rPr>
              <w:t>(1,387,182)</w:t>
            </w: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$ 9,300,249</w:t>
            </w: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$ 7,765,973</w:t>
            </w:r>
          </w:p>
        </w:tc>
        <w:tc>
          <w:tcPr>
            <w:tcW w:w="17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$ 1,534,276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94"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Research and development expenses totaled approximately $5,879,000 for the six months ended June 30, 2006, compared with approximately $3,588,000 for the same period in 2005. The increase of $2,291,000, or approximately 64%, from 2005 to 2006 was primarily attributable to expansion of our operations in cell processing and clinical development, which consisted of an increase in personnel costs of approximately $1,127,000 and an increase in external services of approximately $596,000, with the remainder attributable to increases in supplies, rent and other operating expenses. Of the approximately $1,127,000 increase in personnel costs, approximately $528,000 was attributable to the expensing of stock option compensation as required by the new accounting pronouncement SFAS 123R (see “Stock Based Compensation” under Note 1 above), with the balance attributable to an increase in head count. At June 30, 2006, we had 36 full-time employees working in research and development and laboratory support services as compared to 30 at June 30, 2005.</w:t>
      </w:r>
    </w:p>
    <w:p>
      <w:pPr>
        <w:spacing w:after="0" w:line="5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General and administrative expenses were approximately $3,090,000 for the six months ended June 30, 2006, compared with approximately $2,460,000 for the same period in 2005. The increase of $630,000, or approximately 26%, from 2005 to 2006 was primarily attributable to an increase in personnel costs of approximately $713,000, of which approximately $434,000 was attributable to the expensing of stock option compensation as required by the new accounting pronouncement SFAS 123R (see “Stock Based Compensation” under Note 1 above) with the balance attributable to an increase in head count. The increase in personnel costs was partially offset by a decrease of approximately $83,000 in other operating expenses mainly attributable to a decrease in recruiting fees.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related to it. The reserve has been re-evaluated and adjusted based on assumptions relevant to real estate market conditions and the estimated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we could either fully sublease, assign or sell our remaining interests in the property. At December 31, 2005 the reserve was approximately $6,098,000.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2006, expenses of $582,000 net of subtenant income were recorded against this reserve. At June 30, 2006 we re-evaluated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estimate and adjusted the reserve to approximately $5,847,000 by recording an additional $331,000 (including the March 31, 2006 adjustment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$156,000) as wind-down expenses (see Note 4 for a breakdown of these figures by quarter). Wind-down expenses recorded for the same period in 2005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$1,197,000. Expenses for this facility will fluctuate based on changes in tenant occupancy rates and other operating expenses related to the lease. Even though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 is our intent to sublease, assign, sell or otherwise divest ourselves of our interests in the facility at the earliest possible time, we cannot determine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certainty a fixed date by which such events will occur. In light of this uncertainty, based on estimates, we will periodically re-evaluate and adjust the reserve,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income for the six months ended June 30, 2006, as compared with the same period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2006</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4"/>
                <w:szCs w:val="14"/>
                <w:color w:val="auto"/>
              </w:rPr>
              <w:t>Change from previous year</w:t>
            </w:r>
          </w:p>
        </w:tc>
      </w:tr>
      <w:tr>
        <w:trPr>
          <w:trHeight w:val="142"/>
        </w:trPr>
        <w:tc>
          <w:tcPr>
            <w:tcW w:w="4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gridSpan w:val="2"/>
          </w:tcPr>
          <w:p>
            <w:pPr>
              <w:jc w:val="right"/>
              <w:ind w:right="728"/>
              <w:spacing w:after="0" w:line="142"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413"/>
              <w:spacing w:after="0" w:line="142" w:lineRule="exact"/>
              <w:rPr>
                <w:sz w:val="20"/>
                <w:szCs w:val="20"/>
                <w:color w:val="auto"/>
              </w:rPr>
            </w:pPr>
            <w:r>
              <w:rPr>
                <w:rFonts w:ascii="Arial" w:cs="Arial" w:eastAsia="Arial" w:hAnsi="Arial"/>
                <w:sz w:val="14"/>
                <w:szCs w:val="14"/>
                <w:color w:val="auto"/>
              </w:rPr>
              <w:t>%</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License and settlement agreement, net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103,359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$ 103,359</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7"/>
              </w:rPr>
              <w:t>1,043,365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6"/>
              </w:rPr>
              <w:t>489,152</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554,213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(77,098)</w:t>
            </w:r>
          </w:p>
        </w:tc>
        <w:tc>
          <w:tcPr>
            <w:tcW w:w="42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92"/>
              </w:rPr>
              <w:t>(91,756)</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14,658</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(13,947)</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92"/>
              </w:rPr>
              <w:t>(20,632)</w:t>
            </w:r>
          </w:p>
        </w:tc>
        <w:tc>
          <w:tcPr>
            <w:tcW w:w="1480" w:type="dxa"/>
            <w:vAlign w:val="bottom"/>
            <w:tcBorders>
              <w:bottom w:val="single" w:sz="8" w:color="auto"/>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6,685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439"/>
        </w:trPr>
        <w:tc>
          <w:tcPr>
            <w:tcW w:w="43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3"/>
              <w:spacing w:after="0"/>
              <w:rPr>
                <w:sz w:val="20"/>
                <w:szCs w:val="20"/>
                <w:color w:val="auto"/>
              </w:rPr>
            </w:pPr>
            <w:r>
              <w:rPr>
                <w:rFonts w:ascii="Arial" w:cs="Arial" w:eastAsia="Arial" w:hAnsi="Arial"/>
                <w:sz w:val="18"/>
                <w:szCs w:val="18"/>
                <w:color w:val="auto"/>
                <w:w w:val="87"/>
              </w:rPr>
              <w:t>1,055,679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w w:val="86"/>
              </w:rPr>
              <w:t>376,764</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$ 678,915</w:t>
            </w: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405"/>
        </w:trPr>
        <w:tc>
          <w:tcPr>
            <w:tcW w:w="4300" w:type="dxa"/>
            <w:vAlign w:val="bottom"/>
          </w:tcPr>
          <w:p>
            <w:pPr>
              <w:spacing w:after="0"/>
              <w:rPr>
                <w:sz w:val="24"/>
                <w:szCs w:val="24"/>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43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For the six months ended June 30, 2006, as part of a license and settlement agreement with ReNeuron (see Note 2 for details), we recorded approximately $103,000 as other income for additional shares of ReNeuron common stock due to us because of an anti-dilution provision within the agreement.</w:t>
      </w:r>
    </w:p>
    <w:p>
      <w:pPr>
        <w:spacing w:after="0" w:line="16"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Interest income for the six months ended June 30, 2006 and 2005 was approximately $1,043,000 and $489,000 respectively. The increase in interest income in 2006 was primarily attributable to higher yield on investments.</w:t>
      </w:r>
    </w:p>
    <w:p>
      <w:pPr>
        <w:spacing w:after="0" w:line="62"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Interest expense for the six months ended June 30, 2006 and 2005 was approximately $77,000 and $92,000 respectively. The decrease in interest expense in 2006 was attributable to lower outstanding debt and capital lease balances in 2006 compared to 2005. Decrease in other expense from approximately $21,000 to $14,000 was primarily attributable to a decrease in estimated franchise tax payable in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We had cash and cash equivalents totaling $59,907,207 at June 30, 2006. Cash equivalents are invested in US Treasury debt securities with maturities of less than 90 days. The table below summarizes our cash flows for the respective six month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2520" w:type="dxa"/>
            <w:vAlign w:val="bottom"/>
            <w:gridSpan w:val="2"/>
          </w:tcPr>
          <w:p>
            <w:pPr>
              <w:jc w:val="right"/>
              <w:ind w:right="650"/>
              <w:spacing w:after="0"/>
              <w:rPr>
                <w:sz w:val="20"/>
                <w:szCs w:val="20"/>
                <w:color w:val="auto"/>
              </w:rPr>
            </w:pPr>
            <w:r>
              <w:rPr>
                <w:rFonts w:ascii="Arial" w:cs="Arial" w:eastAsia="Arial" w:hAnsi="Arial"/>
                <w:sz w:val="14"/>
                <w:szCs w:val="14"/>
                <w:color w:val="auto"/>
              </w:rPr>
              <w:t>2006</w:t>
            </w:r>
          </w:p>
        </w:tc>
        <w:tc>
          <w:tcPr>
            <w:tcW w:w="1800" w:type="dxa"/>
            <w:vAlign w:val="bottom"/>
          </w:tcPr>
          <w:p>
            <w:pPr>
              <w:jc w:val="right"/>
              <w:ind w:right="854"/>
              <w:spacing w:after="0"/>
              <w:rPr>
                <w:sz w:val="20"/>
                <w:szCs w:val="20"/>
                <w:color w:val="auto"/>
              </w:rPr>
            </w:pPr>
            <w:r>
              <w:rPr>
                <w:rFonts w:ascii="Arial" w:cs="Arial" w:eastAsia="Arial" w:hAnsi="Arial"/>
                <w:sz w:val="14"/>
                <w:szCs w:val="14"/>
                <w:color w:val="auto"/>
              </w:rPr>
              <w:t>2005</w:t>
            </w:r>
          </w:p>
        </w:tc>
        <w:tc>
          <w:tcPr>
            <w:tcW w:w="2480" w:type="dxa"/>
            <w:vAlign w:val="bottom"/>
            <w:gridSpan w:val="3"/>
          </w:tcPr>
          <w:p>
            <w:pPr>
              <w:jc w:val="right"/>
              <w:ind w:right="540"/>
              <w:spacing w:after="0"/>
              <w:rPr>
                <w:sz w:val="20"/>
                <w:szCs w:val="20"/>
                <w:color w:val="auto"/>
              </w:rPr>
            </w:pPr>
            <w:r>
              <w:rPr>
                <w:rFonts w:ascii="Arial" w:cs="Arial" w:eastAsia="Arial" w:hAnsi="Arial"/>
                <w:sz w:val="14"/>
                <w:szCs w:val="14"/>
                <w:color w:val="auto"/>
              </w:rPr>
              <w:t>Change from previous year</w:t>
            </w:r>
          </w:p>
        </w:tc>
      </w:tr>
      <w:tr>
        <w:trPr>
          <w:trHeight w:val="142"/>
        </w:trPr>
        <w:tc>
          <w:tcPr>
            <w:tcW w:w="4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1036"/>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2"/>
                <w:szCs w:val="12"/>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($7,868,586)</w:t>
            </w:r>
          </w:p>
        </w:tc>
        <w:tc>
          <w:tcPr>
            <w:tcW w:w="180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($6,480,046)</w:t>
            </w:r>
          </w:p>
        </w:tc>
        <w:tc>
          <w:tcPr>
            <w:tcW w:w="166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($1,388,540)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gridSpan w:val="2"/>
          </w:tcPr>
          <w:p>
            <w:pPr>
              <w:jc w:val="right"/>
              <w:ind w:right="250"/>
              <w:spacing w:after="0"/>
              <w:rPr>
                <w:sz w:val="20"/>
                <w:szCs w:val="20"/>
                <w:color w:val="auto"/>
              </w:rPr>
            </w:pPr>
            <w:r>
              <w:rPr>
                <w:rFonts w:ascii="Arial" w:cs="Arial" w:eastAsia="Arial" w:hAnsi="Arial"/>
                <w:sz w:val="18"/>
                <w:szCs w:val="18"/>
                <w:color w:val="auto"/>
              </w:rPr>
              <w:t>(1,179,732)</w:t>
            </w:r>
          </w:p>
        </w:tc>
        <w:tc>
          <w:tcPr>
            <w:tcW w:w="1800" w:type="dxa"/>
            <w:vAlign w:val="bottom"/>
          </w:tcPr>
          <w:p>
            <w:pPr>
              <w:jc w:val="right"/>
              <w:ind w:right="454"/>
              <w:spacing w:after="0"/>
              <w:rPr>
                <w:sz w:val="20"/>
                <w:szCs w:val="20"/>
                <w:color w:val="auto"/>
              </w:rPr>
            </w:pPr>
            <w:r>
              <w:rPr>
                <w:rFonts w:ascii="Arial" w:cs="Arial" w:eastAsia="Arial" w:hAnsi="Arial"/>
                <w:sz w:val="18"/>
                <w:szCs w:val="18"/>
                <w:color w:val="auto"/>
              </w:rPr>
              <w:t>(285,280)</w:t>
            </w:r>
          </w:p>
        </w:tc>
        <w:tc>
          <w:tcPr>
            <w:tcW w:w="1660" w:type="dxa"/>
            <w:vAlign w:val="bottom"/>
          </w:tcPr>
          <w:p>
            <w:pPr>
              <w:jc w:val="right"/>
              <w:ind w:right="516"/>
              <w:spacing w:after="0"/>
              <w:rPr>
                <w:sz w:val="20"/>
                <w:szCs w:val="20"/>
                <w:color w:val="auto"/>
              </w:rPr>
            </w:pPr>
            <w:r>
              <w:rPr>
                <w:rFonts w:ascii="Arial" w:cs="Arial" w:eastAsia="Arial" w:hAnsi="Arial"/>
                <w:sz w:val="18"/>
                <w:szCs w:val="18"/>
                <w:color w:val="auto"/>
              </w:rPr>
              <w:t>(894,452)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25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34,414,616</w:t>
            </w:r>
          </w:p>
        </w:tc>
        <w:tc>
          <w:tcPr>
            <w:tcW w:w="18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2,101,339</w:t>
            </w:r>
          </w:p>
        </w:tc>
        <w:tc>
          <w:tcPr>
            <w:tcW w:w="16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32,313,277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140" w:type="dxa"/>
            <w:vAlign w:val="bottom"/>
          </w:tcPr>
          <w:p>
            <w:pPr>
              <w:spacing w:after="0"/>
              <w:rPr>
                <w:sz w:val="19"/>
                <w:szCs w:val="19"/>
                <w:color w:val="auto"/>
              </w:rPr>
            </w:pP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1"/>
              </w:rPr>
              <w:t>$ 25,366,298</w:t>
            </w:r>
          </w:p>
        </w:tc>
        <w:tc>
          <w:tcPr>
            <w:tcW w:w="1800" w:type="dxa"/>
            <w:vAlign w:val="bottom"/>
            <w:tcBorders>
              <w:top w:val="single" w:sz="8" w:color="auto"/>
            </w:tcBorders>
          </w:tcPr>
          <w:p>
            <w:pPr>
              <w:jc w:val="right"/>
              <w:ind w:right="454"/>
              <w:spacing w:after="0"/>
              <w:rPr>
                <w:sz w:val="20"/>
                <w:szCs w:val="20"/>
                <w:color w:val="auto"/>
              </w:rPr>
            </w:pPr>
            <w:r>
              <w:rPr>
                <w:rFonts w:ascii="Arial" w:cs="Arial" w:eastAsia="Arial" w:hAnsi="Arial"/>
                <w:sz w:val="18"/>
                <w:szCs w:val="18"/>
                <w:color w:val="auto"/>
              </w:rPr>
              <w:t>($4,663,987)</w:t>
            </w:r>
          </w:p>
        </w:tc>
        <w:tc>
          <w:tcPr>
            <w:tcW w:w="16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93"/>
              </w:rPr>
              <w:t>$ 30,030,285</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increase from 2005 to 2006 of approximately $1,389,000, or 21%, in cash used in operating activities was primarily attributable to an increase in personnel costs and external services, and the increase of $894,000, or 314%, in cash used in investing activities was primarily attributable to an increase in equipment costs, all resulting from the expansion of our operations in cell processing and clinical development.</w:t>
      </w:r>
    </w:p>
    <w:p>
      <w:pPr>
        <w:spacing w:after="0" w:line="7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On April 6, 2006, we sold 11,750,820 shares of our common stock to a limited number of institutional investors at a price of $3.05 per share, for gross proceeds of approximately $35,840,000. The shares were offered as a registered direct placement under the Company’s effective shelf registration statement previously filed with the U.S. Securities and Exchange Commission (SEC). We received total proceeds, net of offering expenses and placement agency fees, of approximately $33,200,000. UBS Investment Bank (UBS) acted as placement agent in this offering. For acting as our placement agent, UBS received fees of approximately $2,150,000 and expense reimbursement of approximately $50,000. No warrants were issued as part of this financing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financing arrangements in the previous three years include the following</w:t>
      </w:r>
      <w:r>
        <w:rPr>
          <w:rFonts w:ascii="Arial" w:cs="Arial" w:eastAsia="Arial" w:hAnsi="Arial"/>
          <w:sz w:val="18"/>
          <w:szCs w:val="18"/>
          <w:color w:val="auto"/>
        </w:rPr>
        <w:t>:</w:t>
      </w:r>
    </w:p>
    <w:p>
      <w:pPr>
        <w:spacing w:after="0" w:line="121" w:lineRule="exact"/>
        <w:rPr>
          <w:sz w:val="20"/>
          <w:szCs w:val="20"/>
          <w:color w:val="auto"/>
        </w:rPr>
      </w:pPr>
    </w:p>
    <w:p>
      <w:pPr>
        <w:ind w:left="1120" w:right="280" w:hanging="437"/>
        <w:spacing w:after="0" w:line="257" w:lineRule="auto"/>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 October 26, 2004, we entered into an agreement with institutional investors with respect to the registered direct placement of 7,500,000 shares of our common stock at a purchase price of $3.00 per share, for gross proceeds of $22,500,000. C.E. Unterberg, Towbin LLC (Unterberg) and Shoreline Pacific, LLC (Shoreline) served as placement agents for the transaction. We sold these shares under a shelf registration statement previously filed with and declared effective by the SEC. For acting as our placement agent Unterberg and Shoreline received fees of approximately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$1,350,000 and expense reimbursement of approximately $40,000. No warrants were issued as part of this financing transaction.</w:t>
      </w:r>
    </w:p>
    <w:p>
      <w:pPr>
        <w:spacing w:after="0" w:line="117" w:lineRule="exact"/>
        <w:rPr>
          <w:sz w:val="20"/>
          <w:szCs w:val="20"/>
          <w:color w:val="auto"/>
        </w:rPr>
      </w:pPr>
    </w:p>
    <w:p>
      <w:pPr>
        <w:ind w:left="1120" w:right="280" w:hanging="437"/>
        <w:spacing w:after="0" w:line="273" w:lineRule="auto"/>
        <w:tabs>
          <w:tab w:leader="none" w:pos="11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83" w:lineRule="exact"/>
        <w:rPr>
          <w:rFonts w:ascii="Arial" w:cs="Arial" w:eastAsia="Arial" w:hAnsi="Arial"/>
          <w:sz w:val="17"/>
          <w:szCs w:val="17"/>
          <w:b w:val="1"/>
          <w:bCs w:val="1"/>
          <w:color w:val="auto"/>
        </w:rPr>
      </w:pPr>
    </w:p>
    <w:p>
      <w:pPr>
        <w:jc w:val="both"/>
        <w:ind w:left="1120" w:right="400" w:hanging="437"/>
        <w:spacing w:after="0" w:line="342" w:lineRule="auto"/>
        <w:tabs>
          <w:tab w:leader="none" w:pos="112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On December 10, 2003 we completed a $9.5 million financing transaction with Riverview Group L.L.C. (Riverview), through the sale of 5,000,000 shares of common stock at a price of $1.90 per share. The closing price of our common stock on that date was $2.00 per share.</w:t>
      </w:r>
    </w:p>
    <w:p>
      <w:pPr>
        <w:spacing w:after="0" w:line="29" w:lineRule="exact"/>
        <w:rPr>
          <w:rFonts w:ascii="Arial" w:cs="Arial" w:eastAsia="Arial" w:hAnsi="Arial"/>
          <w:sz w:val="16"/>
          <w:szCs w:val="16"/>
          <w:b w:val="1"/>
          <w:bCs w:val="1"/>
          <w:color w:val="auto"/>
        </w:rPr>
      </w:pPr>
    </w:p>
    <w:p>
      <w:pPr>
        <w:ind w:left="1120" w:right="40" w:hanging="437"/>
        <w:spacing w:after="0" w:line="279" w:lineRule="auto"/>
        <w:tabs>
          <w:tab w:leader="none" w:pos="11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Pursuant to a Stock Purchase Agreement dated May 7, 2003, we issued 4,000,000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In November 2003 and May 2005, Riverview exercised this warrant, resulting in gross proceeds to us of $2,847,000.</w:t>
      </w:r>
    </w:p>
    <w:p>
      <w:pPr>
        <w:spacing w:after="0" w:line="76" w:lineRule="exact"/>
        <w:rPr>
          <w:rFonts w:ascii="Arial" w:cs="Arial" w:eastAsia="Arial" w:hAnsi="Arial"/>
          <w:sz w:val="17"/>
          <w:szCs w:val="17"/>
          <w:b w:val="1"/>
          <w:bCs w:val="1"/>
          <w:color w:val="auto"/>
        </w:rPr>
      </w:pPr>
    </w:p>
    <w:p>
      <w:pPr>
        <w:ind w:left="1120" w:right="100" w:hanging="437"/>
        <w:spacing w:after="0" w:line="277" w:lineRule="auto"/>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 disclosed above, on April 6, 2006, we sold 11,750,820 shares of our common stock to a limited number of institutional investors at a price of $3.05 per share, for net proceeds to us of approximately $33,200,000.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Contractual Cash Obligations</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2006, based on past experience and current assumptions, approximately $1,000,000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40"/>
              <w:spacing w:after="0"/>
              <w:rPr>
                <w:sz w:val="20"/>
                <w:szCs w:val="20"/>
                <w:color w:val="auto"/>
              </w:rPr>
            </w:pPr>
            <w:r>
              <w:rPr>
                <w:rFonts w:ascii="Arial" w:cs="Arial" w:eastAsia="Arial" w:hAnsi="Arial"/>
                <w:sz w:val="14"/>
                <w:szCs w:val="14"/>
                <w:color w:val="auto"/>
                <w:w w:val="90"/>
              </w:rPr>
              <w:t>Payable</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right="260"/>
              <w:spacing w:after="0" w:line="149" w:lineRule="exact"/>
              <w:rPr>
                <w:sz w:val="20"/>
                <w:szCs w:val="20"/>
                <w:color w:val="auto"/>
              </w:rPr>
            </w:pPr>
            <w:r>
              <w:rPr>
                <w:rFonts w:ascii="Arial" w:cs="Arial" w:eastAsia="Arial" w:hAnsi="Arial"/>
                <w:sz w:val="14"/>
                <w:szCs w:val="14"/>
                <w:color w:val="auto"/>
                <w:w w:val="98"/>
              </w:rPr>
              <w:t>July to</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right="260"/>
              <w:spacing w:after="0" w:line="149" w:lineRule="exact"/>
              <w:rPr>
                <w:sz w:val="20"/>
                <w:szCs w:val="20"/>
                <w:color w:val="auto"/>
              </w:rPr>
            </w:pPr>
            <w:r>
              <w:rPr>
                <w:rFonts w:ascii="Arial" w:cs="Arial" w:eastAsia="Arial" w:hAnsi="Arial"/>
                <w:sz w:val="14"/>
                <w:szCs w:val="14"/>
                <w:color w:val="auto"/>
                <w:w w:val="92"/>
              </w:rPr>
              <w:t>December</w:t>
            </w:r>
          </w:p>
        </w:tc>
        <w:tc>
          <w:tcPr>
            <w:tcW w:w="340" w:type="dxa"/>
            <w:vAlign w:val="bottom"/>
          </w:tcPr>
          <w:p>
            <w:pPr>
              <w:spacing w:after="0"/>
              <w:rPr>
                <w:sz w:val="12"/>
                <w:szCs w:val="12"/>
                <w:color w:val="auto"/>
              </w:rPr>
            </w:pPr>
          </w:p>
        </w:tc>
        <w:tc>
          <w:tcPr>
            <w:tcW w:w="960" w:type="dxa"/>
            <w:vAlign w:val="bottom"/>
          </w:tcPr>
          <w:p>
            <w:pPr>
              <w:jc w:val="right"/>
              <w:ind w:right="257"/>
              <w:spacing w:after="0" w:line="149" w:lineRule="exact"/>
              <w:rPr>
                <w:sz w:val="20"/>
                <w:szCs w:val="20"/>
                <w:color w:val="auto"/>
              </w:rPr>
            </w:pPr>
            <w:r>
              <w:rPr>
                <w:rFonts w:ascii="Arial" w:cs="Arial" w:eastAsia="Arial" w:hAnsi="Arial"/>
                <w:sz w:val="14"/>
                <w:szCs w:val="14"/>
                <w:color w:val="auto"/>
                <w:w w:val="91"/>
              </w:rPr>
              <w:t>Payable in</w:t>
            </w:r>
          </w:p>
        </w:tc>
        <w:tc>
          <w:tcPr>
            <w:tcW w:w="340" w:type="dxa"/>
            <w:vAlign w:val="bottom"/>
          </w:tcPr>
          <w:p>
            <w:pPr>
              <w:spacing w:after="0"/>
              <w:rPr>
                <w:sz w:val="12"/>
                <w:szCs w:val="12"/>
                <w:color w:val="auto"/>
              </w:rPr>
            </w:pPr>
          </w:p>
        </w:tc>
        <w:tc>
          <w:tcPr>
            <w:tcW w:w="98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1"/>
              </w:rPr>
              <w:t>Payable in</w:t>
            </w:r>
          </w:p>
        </w:tc>
        <w:tc>
          <w:tcPr>
            <w:tcW w:w="340" w:type="dxa"/>
            <w:vAlign w:val="bottom"/>
          </w:tcPr>
          <w:p>
            <w:pPr>
              <w:spacing w:after="0"/>
              <w:rPr>
                <w:sz w:val="12"/>
                <w:szCs w:val="12"/>
                <w:color w:val="auto"/>
              </w:rPr>
            </w:pPr>
          </w:p>
        </w:tc>
        <w:tc>
          <w:tcPr>
            <w:tcW w:w="960" w:type="dxa"/>
            <w:vAlign w:val="bottom"/>
          </w:tcPr>
          <w:p>
            <w:pPr>
              <w:jc w:val="right"/>
              <w:ind w:right="257"/>
              <w:spacing w:after="0" w:line="149" w:lineRule="exact"/>
              <w:rPr>
                <w:sz w:val="20"/>
                <w:szCs w:val="20"/>
                <w:color w:val="auto"/>
              </w:rPr>
            </w:pPr>
            <w:r>
              <w:rPr>
                <w:rFonts w:ascii="Arial" w:cs="Arial" w:eastAsia="Arial" w:hAnsi="Arial"/>
                <w:sz w:val="14"/>
                <w:szCs w:val="14"/>
                <w:color w:val="auto"/>
                <w:w w:val="91"/>
              </w:rPr>
              <w:t>Payable in</w:t>
            </w:r>
          </w:p>
        </w:tc>
        <w:tc>
          <w:tcPr>
            <w:tcW w:w="340" w:type="dxa"/>
            <w:vAlign w:val="bottom"/>
          </w:tcPr>
          <w:p>
            <w:pPr>
              <w:spacing w:after="0"/>
              <w:rPr>
                <w:sz w:val="12"/>
                <w:szCs w:val="12"/>
                <w:color w:val="auto"/>
              </w:rPr>
            </w:pPr>
          </w:p>
        </w:tc>
        <w:tc>
          <w:tcPr>
            <w:tcW w:w="98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1"/>
              </w:rPr>
              <w:t>Payable in</w:t>
            </w:r>
          </w:p>
        </w:tc>
        <w:tc>
          <w:tcPr>
            <w:tcW w:w="340" w:type="dxa"/>
            <w:vAlign w:val="bottom"/>
          </w:tcPr>
          <w:p>
            <w:pPr>
              <w:spacing w:after="0"/>
              <w:rPr>
                <w:sz w:val="12"/>
                <w:szCs w:val="12"/>
                <w:color w:val="auto"/>
              </w:rPr>
            </w:pPr>
          </w:p>
        </w:tc>
        <w:tc>
          <w:tcPr>
            <w:tcW w:w="84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88"/>
              </w:rPr>
              <w:t>2011 and</w:t>
            </w: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color w:val="auto"/>
                <w:w w:val="89"/>
              </w:rPr>
              <w:t>2006</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2007</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9"/>
              </w:rPr>
              <w:t>2,177,727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256,088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332,545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244,531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244,572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242,560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857,431</w:t>
            </w: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Operating lease payments</w:t>
            </w:r>
          </w:p>
        </w:tc>
        <w:tc>
          <w:tcPr>
            <w:tcW w:w="100" w:type="dxa"/>
            <w:vAlign w:val="bottom"/>
          </w:tcPr>
          <w:p>
            <w:pPr>
              <w:spacing w:after="0"/>
              <w:rPr>
                <w:sz w:val="20"/>
                <w:szCs w:val="20"/>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w w:val="88"/>
              </w:rPr>
              <w:t>16,571,954</w:t>
            </w:r>
          </w:p>
        </w:tc>
        <w:tc>
          <w:tcPr>
            <w:tcW w:w="320" w:type="dxa"/>
            <w:vAlign w:val="bottom"/>
          </w:tcPr>
          <w:p>
            <w:pPr>
              <w:spacing w:after="0"/>
              <w:rPr>
                <w:sz w:val="20"/>
                <w:szCs w:val="20"/>
                <w:color w:val="auto"/>
              </w:rPr>
            </w:pPr>
          </w:p>
        </w:tc>
        <w:tc>
          <w:tcPr>
            <w:tcW w:w="980" w:type="dxa"/>
            <w:vAlign w:val="bottom"/>
          </w:tcPr>
          <w:p>
            <w:pPr>
              <w:jc w:val="right"/>
              <w:ind w:right="160"/>
              <w:spacing w:after="0"/>
              <w:rPr>
                <w:sz w:val="20"/>
                <w:szCs w:val="20"/>
                <w:color w:val="auto"/>
              </w:rPr>
            </w:pPr>
            <w:r>
              <w:rPr>
                <w:rFonts w:ascii="Arial" w:cs="Arial" w:eastAsia="Arial" w:hAnsi="Arial"/>
                <w:sz w:val="18"/>
                <w:szCs w:val="18"/>
                <w:color w:val="auto"/>
                <w:w w:val="89"/>
              </w:rPr>
              <w:t>1,557,456</w:t>
            </w:r>
          </w:p>
        </w:tc>
        <w:tc>
          <w:tcPr>
            <w:tcW w:w="340" w:type="dxa"/>
            <w:vAlign w:val="bottom"/>
          </w:tcPr>
          <w:p>
            <w:pPr>
              <w:spacing w:after="0"/>
              <w:rPr>
                <w:sz w:val="20"/>
                <w:szCs w:val="20"/>
                <w:color w:val="auto"/>
              </w:rPr>
            </w:pPr>
          </w:p>
        </w:tc>
        <w:tc>
          <w:tcPr>
            <w:tcW w:w="960" w:type="dxa"/>
            <w:vAlign w:val="bottom"/>
          </w:tcPr>
          <w:p>
            <w:pPr>
              <w:jc w:val="right"/>
              <w:ind w:right="137"/>
              <w:spacing w:after="0"/>
              <w:rPr>
                <w:sz w:val="20"/>
                <w:szCs w:val="20"/>
                <w:color w:val="auto"/>
              </w:rPr>
            </w:pPr>
            <w:r>
              <w:rPr>
                <w:rFonts w:ascii="Arial" w:cs="Arial" w:eastAsia="Arial" w:hAnsi="Arial"/>
                <w:sz w:val="18"/>
                <w:szCs w:val="18"/>
                <w:color w:val="auto"/>
                <w:w w:val="89"/>
              </w:rPr>
              <w:t>3,165,162</w:t>
            </w:r>
          </w:p>
        </w:tc>
        <w:tc>
          <w:tcPr>
            <w:tcW w:w="340" w:type="dxa"/>
            <w:vAlign w:val="bottom"/>
          </w:tcPr>
          <w:p>
            <w:pPr>
              <w:spacing w:after="0"/>
              <w:rPr>
                <w:sz w:val="20"/>
                <w:szCs w:val="20"/>
                <w:color w:val="auto"/>
              </w:rPr>
            </w:pPr>
          </w:p>
        </w:tc>
        <w:tc>
          <w:tcPr>
            <w:tcW w:w="980" w:type="dxa"/>
            <w:vAlign w:val="bottom"/>
          </w:tcPr>
          <w:p>
            <w:pPr>
              <w:jc w:val="right"/>
              <w:ind w:right="157"/>
              <w:spacing w:after="0"/>
              <w:rPr>
                <w:sz w:val="20"/>
                <w:szCs w:val="20"/>
                <w:color w:val="auto"/>
              </w:rPr>
            </w:pPr>
            <w:r>
              <w:rPr>
                <w:rFonts w:ascii="Arial" w:cs="Arial" w:eastAsia="Arial" w:hAnsi="Arial"/>
                <w:sz w:val="18"/>
                <w:szCs w:val="18"/>
                <w:color w:val="auto"/>
                <w:w w:val="89"/>
              </w:rPr>
              <w:t>3,469,017</w:t>
            </w:r>
          </w:p>
        </w:tc>
        <w:tc>
          <w:tcPr>
            <w:tcW w:w="340" w:type="dxa"/>
            <w:vAlign w:val="bottom"/>
          </w:tcPr>
          <w:p>
            <w:pPr>
              <w:spacing w:after="0"/>
              <w:rPr>
                <w:sz w:val="20"/>
                <w:szCs w:val="20"/>
                <w:color w:val="auto"/>
              </w:rPr>
            </w:pPr>
          </w:p>
        </w:tc>
        <w:tc>
          <w:tcPr>
            <w:tcW w:w="960" w:type="dxa"/>
            <w:vAlign w:val="bottom"/>
          </w:tcPr>
          <w:p>
            <w:pPr>
              <w:jc w:val="right"/>
              <w:ind w:right="137"/>
              <w:spacing w:after="0"/>
              <w:rPr>
                <w:sz w:val="20"/>
                <w:szCs w:val="20"/>
                <w:color w:val="auto"/>
              </w:rPr>
            </w:pPr>
            <w:r>
              <w:rPr>
                <w:rFonts w:ascii="Arial" w:cs="Arial" w:eastAsia="Arial" w:hAnsi="Arial"/>
                <w:sz w:val="18"/>
                <w:szCs w:val="18"/>
                <w:color w:val="auto"/>
                <w:w w:val="89"/>
              </w:rPr>
              <w:t>3,536,843</w:t>
            </w:r>
          </w:p>
        </w:tc>
        <w:tc>
          <w:tcPr>
            <w:tcW w:w="340" w:type="dxa"/>
            <w:vAlign w:val="bottom"/>
          </w:tcPr>
          <w:p>
            <w:pPr>
              <w:spacing w:after="0"/>
              <w:rPr>
                <w:sz w:val="20"/>
                <w:szCs w:val="20"/>
                <w:color w:val="auto"/>
              </w:rPr>
            </w:pPr>
          </w:p>
        </w:tc>
        <w:tc>
          <w:tcPr>
            <w:tcW w:w="980" w:type="dxa"/>
            <w:vAlign w:val="bottom"/>
          </w:tcPr>
          <w:p>
            <w:pPr>
              <w:jc w:val="right"/>
              <w:ind w:right="157"/>
              <w:spacing w:after="0"/>
              <w:rPr>
                <w:sz w:val="20"/>
                <w:szCs w:val="20"/>
                <w:color w:val="auto"/>
              </w:rPr>
            </w:pPr>
            <w:r>
              <w:rPr>
                <w:rFonts w:ascii="Arial" w:cs="Arial" w:eastAsia="Arial" w:hAnsi="Arial"/>
                <w:sz w:val="18"/>
                <w:szCs w:val="18"/>
                <w:color w:val="auto"/>
                <w:w w:val="89"/>
              </w:rPr>
              <w:t>1,767,304</w:t>
            </w:r>
          </w:p>
        </w:tc>
        <w:tc>
          <w:tcPr>
            <w:tcW w:w="3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8"/>
                <w:szCs w:val="18"/>
                <w:color w:val="auto"/>
                <w:w w:val="89"/>
              </w:rPr>
              <w:t>3,076,172</w:t>
            </w:r>
          </w:p>
        </w:tc>
      </w:tr>
      <w:tr>
        <w:trPr>
          <w:trHeight w:val="209"/>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88"/>
              </w:rPr>
              <w:t>18,749,681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w w:val="89"/>
              </w:rPr>
              <w:t>1,813,544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3,497,707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89"/>
              </w:rPr>
              <w:t>3,713,548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3,781,415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89"/>
              </w:rPr>
              <w:t>2,009,864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89"/>
              </w:rPr>
              <w:t>3,933,603</w:t>
            </w:r>
          </w:p>
        </w:tc>
      </w:tr>
    </w:tbl>
    <w:p>
      <w:pPr>
        <w:spacing w:after="0" w:line="107" w:lineRule="exact"/>
        <w:rPr>
          <w:sz w:val="20"/>
          <w:szCs w:val="20"/>
          <w:color w:val="auto"/>
        </w:rPr>
      </w:pPr>
    </w:p>
    <w:p>
      <w:pPr>
        <w:ind w:right="240" w:firstLine="222"/>
        <w:spacing w:after="0" w:line="286"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0"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We have a shelf registration covering shares of our common stock up to a value of approximately $64 million that could be available for financings.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Lack of necessary funds may require us to delay, scale back or eliminate some or all of our research and product development programs, planned clinical trials, and/or our capital expenditures or to license our potential products or technologies to third parties.</w:t>
      </w:r>
    </w:p>
    <w:p>
      <w:pPr>
        <w:spacing w:after="0" w:line="70"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In July 2005, the Company entered into a license and settlement agreement with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w:t>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Exhibit 10.71 to the Company’s Quarterly Report on Form 10-Q for the quarter ended June 30, 2005. An amendment to the agreement was entered on April 3, 2006, a copy of which is attached as an exhibit to this Report on Form 10-Q. On June 29, 2006, ReNeuron issued additional shares of common stock, of which StemCells was entitled to 439,071 shares because of the anti-dilution provisions within the agreement and net of shares due to Neurospheres Ltd., an Alberta corporation from which StemCells has licensed some of the patent rights that are the subject of the agreement with ReNeuron. The Company recorded approximately $103,000 as other income for the additional shares. The fair market value of the StemCells holdings in ReNeuron’s common stock as of December 31, 2005 (8,835,766 shares) and June 30, 2006 (9,274,837 shares) was approximately $3,721,000 and $2,101,000 respectively. Changes in market value as a result of changes in market price per share or the exchange rate between the US dollar and the British pound are accounted for under “other comprehensive loss” if deemed temporary, and are not recorded as “other income or loss” until the shares are disposed of and a gain or loss realized. The unrealized loss as of June 30, 2006, is approximately $1,977,000. A decline in the fair value of securities that is deemed other than temporary would be charged to earnings.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 price at</w:t>
            </w:r>
          </w:p>
        </w:tc>
        <w:tc>
          <w:tcPr>
            <w:tcW w:w="1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Exchange Rate at</w:t>
            </w:r>
          </w:p>
        </w:tc>
        <w:tc>
          <w:tcPr>
            <w:tcW w:w="1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 Value in</w:t>
            </w:r>
          </w:p>
        </w:tc>
        <w:tc>
          <w:tcPr>
            <w:tcW w:w="18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Company/Stock</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No. of Shares at</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2"/>
                <w:szCs w:val="12"/>
                <w:color w:val="auto"/>
              </w:rPr>
            </w:pPr>
          </w:p>
        </w:tc>
        <w:tc>
          <w:tcPr>
            <w:tcW w:w="15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Associated Risks</w:t>
            </w:r>
          </w:p>
        </w:tc>
        <w:tc>
          <w:tcPr>
            <w:tcW w:w="1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30,2006 in</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 2006</w:t>
            </w: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USD at June 30,</w:t>
            </w:r>
          </w:p>
        </w:tc>
        <w:tc>
          <w:tcPr>
            <w:tcW w:w="18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ind w:left="140"/>
              <w:spacing w:after="0"/>
              <w:rPr>
                <w:sz w:val="20"/>
                <w:szCs w:val="20"/>
                <w:color w:val="auto"/>
              </w:rPr>
            </w:pPr>
            <w:r>
              <w:rPr>
                <w:rFonts w:ascii="Arial" w:cs="Arial" w:eastAsia="Arial" w:hAnsi="Arial"/>
                <w:sz w:val="14"/>
                <w:szCs w:val="14"/>
                <w:b w:val="1"/>
                <w:bCs w:val="1"/>
                <w:color w:val="auto"/>
              </w:rPr>
              <w:t>Symbol</w:t>
            </w: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June 30, 2006</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GBP (£)</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1 GBP = USD</w:t>
            </w:r>
          </w:p>
        </w:tc>
        <w:tc>
          <w:tcPr>
            <w:tcW w:w="1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Flows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ReNeuron Group</w:t>
            </w:r>
          </w:p>
        </w:tc>
        <w:tc>
          <w:tcPr>
            <w:tcW w:w="16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AIM (AIM is the</w:t>
            </w:r>
          </w:p>
        </w:tc>
        <w:tc>
          <w:tcPr>
            <w:tcW w:w="180" w:type="dxa"/>
            <w:vAlign w:val="bottom"/>
          </w:tcPr>
          <w:p>
            <w:pPr>
              <w:spacing w:after="0"/>
              <w:rPr>
                <w:sz w:val="16"/>
                <w:szCs w:val="16"/>
                <w:color w:val="auto"/>
              </w:rPr>
            </w:pPr>
          </w:p>
        </w:tc>
        <w:tc>
          <w:tcPr>
            <w:tcW w:w="1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 Lower share price</w:t>
            </w:r>
          </w:p>
        </w:tc>
        <w:tc>
          <w:tcPr>
            <w:tcW w:w="160" w:type="dxa"/>
            <w:vAlign w:val="bottom"/>
          </w:tcPr>
          <w:p>
            <w:pPr>
              <w:spacing w:after="0"/>
              <w:rPr>
                <w:sz w:val="16"/>
                <w:szCs w:val="16"/>
                <w:color w:val="auto"/>
              </w:rPr>
            </w:pPr>
          </w:p>
        </w:tc>
        <w:tc>
          <w:tcPr>
            <w:tcW w:w="158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9,274,837</w:t>
            </w:r>
          </w:p>
        </w:tc>
        <w:tc>
          <w:tcPr>
            <w:tcW w:w="180" w:type="dxa"/>
            <w:vAlign w:val="bottom"/>
          </w:tcPr>
          <w:p>
            <w:pPr>
              <w:spacing w:after="0"/>
              <w:rPr>
                <w:sz w:val="16"/>
                <w:szCs w:val="16"/>
                <w:color w:val="auto"/>
              </w:rPr>
            </w:pPr>
          </w:p>
        </w:tc>
        <w:tc>
          <w:tcPr>
            <w:tcW w:w="1200" w:type="dxa"/>
            <w:vAlign w:val="bottom"/>
            <w:tcBorders>
              <w:top w:val="single" w:sz="8" w:color="auto"/>
            </w:tcBorders>
          </w:tcPr>
          <w:p>
            <w:pPr>
              <w:jc w:val="right"/>
              <w:ind w:right="384"/>
              <w:spacing w:after="0" w:line="195" w:lineRule="exact"/>
              <w:rPr>
                <w:sz w:val="20"/>
                <w:szCs w:val="20"/>
                <w:color w:val="auto"/>
              </w:rPr>
            </w:pPr>
            <w:r>
              <w:rPr>
                <w:rFonts w:ascii="Arial" w:cs="Arial" w:eastAsia="Arial" w:hAnsi="Arial"/>
                <w:sz w:val="18"/>
                <w:szCs w:val="18"/>
                <w:color w:val="auto"/>
              </w:rPr>
              <w:t>0.1225</w:t>
            </w:r>
          </w:p>
        </w:tc>
        <w:tc>
          <w:tcPr>
            <w:tcW w:w="180" w:type="dxa"/>
            <w:vAlign w:val="bottom"/>
          </w:tcPr>
          <w:p>
            <w:pPr>
              <w:spacing w:after="0"/>
              <w:rPr>
                <w:sz w:val="16"/>
                <w:szCs w:val="16"/>
                <w:color w:val="auto"/>
              </w:rPr>
            </w:pPr>
          </w:p>
        </w:tc>
        <w:tc>
          <w:tcPr>
            <w:tcW w:w="1120" w:type="dxa"/>
            <w:vAlign w:val="bottom"/>
            <w:tcBorders>
              <w:top w:val="single" w:sz="8" w:color="auto"/>
            </w:tcBorders>
          </w:tcPr>
          <w:p>
            <w:pPr>
              <w:jc w:val="right"/>
              <w:ind w:right="344"/>
              <w:spacing w:after="0" w:line="195" w:lineRule="exact"/>
              <w:rPr>
                <w:sz w:val="20"/>
                <w:szCs w:val="20"/>
                <w:color w:val="auto"/>
              </w:rPr>
            </w:pPr>
            <w:r>
              <w:rPr>
                <w:rFonts w:ascii="Arial" w:cs="Arial" w:eastAsia="Arial" w:hAnsi="Arial"/>
                <w:sz w:val="18"/>
                <w:szCs w:val="18"/>
                <w:color w:val="auto"/>
              </w:rPr>
              <w:t>1.8491</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362"/>
              <w:spacing w:after="0" w:line="195" w:lineRule="exact"/>
              <w:rPr>
                <w:sz w:val="20"/>
                <w:szCs w:val="20"/>
                <w:color w:val="auto"/>
              </w:rPr>
            </w:pPr>
            <w:r>
              <w:rPr>
                <w:rFonts w:ascii="Arial" w:cs="Arial" w:eastAsia="Arial" w:hAnsi="Arial"/>
                <w:sz w:val="18"/>
                <w:szCs w:val="18"/>
                <w:color w:val="auto"/>
              </w:rPr>
              <w:t>$2,100,887</w:t>
            </w:r>
          </w:p>
        </w:tc>
        <w:tc>
          <w:tcPr>
            <w:tcW w:w="180" w:type="dxa"/>
            <w:vAlign w:val="bottom"/>
          </w:tcPr>
          <w:p>
            <w:pPr>
              <w:spacing w:after="0"/>
              <w:rPr>
                <w:sz w:val="16"/>
                <w:szCs w:val="16"/>
                <w:color w:val="auto"/>
              </w:rPr>
            </w:pPr>
          </w:p>
        </w:tc>
        <w:tc>
          <w:tcPr>
            <w:tcW w:w="560" w:type="dxa"/>
            <w:vAlign w:val="bottom"/>
            <w:tcBorders>
              <w:top w:val="single" w:sz="8" w:color="auto"/>
            </w:tcBorders>
          </w:tcPr>
          <w:p>
            <w:pPr>
              <w:jc w:val="right"/>
              <w:ind w:right="44"/>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plc/RENE</w:t>
            </w:r>
          </w:p>
        </w:tc>
        <w:tc>
          <w:tcPr>
            <w:tcW w:w="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London Stock</w:t>
            </w:r>
          </w:p>
        </w:tc>
        <w:tc>
          <w:tcPr>
            <w:tcW w:w="1700" w:type="dxa"/>
            <w:vAlign w:val="bottom"/>
            <w:gridSpan w:val="2"/>
          </w:tcPr>
          <w:p>
            <w:pPr>
              <w:ind w:left="180"/>
              <w:spacing w:after="0"/>
              <w:rPr>
                <w:sz w:val="20"/>
                <w:szCs w:val="20"/>
                <w:color w:val="auto"/>
              </w:rPr>
            </w:pPr>
            <w:r>
              <w:rPr>
                <w:rFonts w:ascii="Arial" w:cs="Arial" w:eastAsia="Arial" w:hAnsi="Arial"/>
                <w:sz w:val="18"/>
                <w:szCs w:val="18"/>
                <w:color w:val="auto"/>
                <w:w w:val="95"/>
              </w:rPr>
              <w:t>- - Foreign currency</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Exchange’s</w:t>
            </w:r>
          </w:p>
        </w:tc>
        <w:tc>
          <w:tcPr>
            <w:tcW w:w="180" w:type="dxa"/>
            <w:vAlign w:val="bottom"/>
          </w:tcPr>
          <w:p>
            <w:pPr>
              <w:spacing w:after="0"/>
              <w:rPr>
                <w:sz w:val="18"/>
                <w:szCs w:val="18"/>
                <w:color w:val="auto"/>
              </w:rPr>
            </w:pPr>
          </w:p>
        </w:tc>
        <w:tc>
          <w:tcPr>
            <w:tcW w:w="1520" w:type="dxa"/>
            <w:vAlign w:val="bottom"/>
          </w:tcPr>
          <w:p>
            <w:pPr>
              <w:ind w:left="220"/>
              <w:spacing w:after="0"/>
              <w:rPr>
                <w:sz w:val="20"/>
                <w:szCs w:val="20"/>
                <w:color w:val="auto"/>
              </w:rPr>
            </w:pPr>
            <w:r>
              <w:rPr>
                <w:rFonts w:ascii="Arial" w:cs="Arial" w:eastAsia="Arial" w:hAnsi="Arial"/>
                <w:sz w:val="18"/>
                <w:szCs w:val="18"/>
                <w:color w:val="auto"/>
              </w:rPr>
              <w:t>translation</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Alternative</w:t>
            </w:r>
          </w:p>
        </w:tc>
        <w:tc>
          <w:tcPr>
            <w:tcW w:w="1700" w:type="dxa"/>
            <w:vAlign w:val="bottom"/>
            <w:gridSpan w:val="2"/>
          </w:tcPr>
          <w:p>
            <w:pPr>
              <w:ind w:left="180"/>
              <w:spacing w:after="0"/>
              <w:rPr>
                <w:sz w:val="20"/>
                <w:szCs w:val="20"/>
                <w:color w:val="auto"/>
              </w:rPr>
            </w:pPr>
            <w:r>
              <w:rPr>
                <w:rFonts w:ascii="Arial" w:cs="Arial" w:eastAsia="Arial" w:hAnsi="Arial"/>
                <w:sz w:val="18"/>
                <w:szCs w:val="18"/>
                <w:color w:val="auto"/>
              </w:rPr>
              <w:t>- - Liquidity</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Investment</w:t>
            </w:r>
          </w:p>
        </w:tc>
        <w:tc>
          <w:tcPr>
            <w:tcW w:w="1700" w:type="dxa"/>
            <w:vAlign w:val="bottom"/>
            <w:gridSpan w:val="2"/>
          </w:tcPr>
          <w:p>
            <w:pPr>
              <w:ind w:left="180"/>
              <w:spacing w:after="0"/>
              <w:rPr>
                <w:sz w:val="20"/>
                <w:szCs w:val="20"/>
                <w:color w:val="auto"/>
              </w:rPr>
            </w:pPr>
            <w:r>
              <w:rPr>
                <w:rFonts w:ascii="Arial" w:cs="Arial" w:eastAsia="Arial" w:hAnsi="Arial"/>
                <w:sz w:val="18"/>
                <w:szCs w:val="18"/>
                <w:color w:val="auto"/>
              </w:rPr>
              <w:t>- - Bankruptcy</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Market)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0" w:right="32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formally adopted a liquidation plan for this investment. Liquidation may be necessary in the future to meet operating cash flow requirements. Although we are not legally restricted from selling the stock, the share price is subject to change and the volume traded has been very small since the stock was listed on the AIM on August 12, 2005. The performance of ReNeuron Group plc stock since its listing does not predict its future value.</w:t>
      </w:r>
    </w:p>
    <w:p>
      <w:pPr>
        <w:spacing w:after="0" w:line="79"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Other than the above, no significant changes have occurred in our quantitative and qualitative information about market risks disclosed in our Annual Report on Form 10-K for the fiscal year ending December 31, 2005.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Geron Corporation has opposed two of our European patents that relate to neural stem cells and their uses, alleging that each patent should be revoked on multiple grounds. The oppositions were filed with the European Patent Office on December 11, 2003 (Patent No. EP-B-0594669) and February 13, 2004 (Patent No. EP-B-0669973). We filed responses to both oppositions on September 23, 2004. Both oppositions were heard in 2005, and the patents were maintained in somewhat altered form by the Opposition Division of the European Patent Office. The written opinion was issued on May 24, 2006 in the case concerning Patent No. EP-B-0669973, but the time for appeal has not yet expired. The written opinion has not yet been issued in the case concerning Patent No. EP-B-0594669; the time for appeal will begin to run in that case when the Opposition Division opinion issues. There can be no assurance that Geron will not appeal in either or both cases. While we are confident that, should either decision be appealed by Geron, the decision will be upheld, there can be no guarantee of this. If we were ultimately unsuccessful in our defense of the opposed patents, all claimed rights in the opposed patents would be lost in Europe. U.S. counterparts to these patents are part of our issued patent portfolio; they are not subject to opposition, since that procedure does not exist under U.S. patent law, but other types of proceedings may be available to third parties to contest our U.S. patents.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1, Item 1A, of our Annual Report on Form 10-K for the fiscal year ending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CHANGES IN SECURITIES, USE OF PROCEEDS AND ISSUER PURCHASES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June 21, 2006, we held our Annual Meeting of Shareholders. Martin McGlynn, President and CEO of StemCells, and Roger Perlmutter, M.D., Ph.D., were re-elected to the Board as Class III directors, with terms expiring in 2009. The remaining members of the Board, whose terms continued after the Annual Meeting, are Eric Bjerkholt, Ricardo Levy, Ph.D., John Schwartz, Ph.D., and Irving Weissman, M.D. The shareholders also ratified the selection of Grant Thornton LLP as StemCells’ independent public accountants for the fiscal year ending December 31, 2006 and adopted the Company’s 2006 Equity Incentive Plan.</w:t>
      </w:r>
    </w:p>
    <w:p>
      <w:pPr>
        <w:spacing w:after="0" w:line="8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number of proxies finally tabulated represented 71,617,330 of the 77,733,866 eligible shares, or 92.131 percent of eligible shares. The votes on each of the proposals were as follows: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Arial" w:cs="Arial" w:eastAsia="Arial" w:hAnsi="Arial"/>
                <w:sz w:val="14"/>
                <w:szCs w:val="14"/>
                <w:color w:val="auto"/>
              </w:rPr>
              <w:t>Authority</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For</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Withheld</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Against</w:t>
            </w:r>
          </w:p>
        </w:tc>
        <w:tc>
          <w:tcPr>
            <w:tcW w:w="640" w:type="dxa"/>
            <w:vAlign w:val="bottom"/>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Abstain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Election of Martin McGlynn as director</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69,057,032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2,560,298</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Election of Roger Perlmutter, M.D., Ph.D., as director</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69,078,635</w:t>
            </w:r>
          </w:p>
        </w:tc>
        <w:tc>
          <w:tcPr>
            <w:tcW w:w="840" w:type="dxa"/>
            <w:vAlign w:val="bottom"/>
          </w:tcPr>
          <w:p>
            <w:pPr>
              <w:jc w:val="right"/>
              <w:spacing w:after="0"/>
              <w:rPr>
                <w:sz w:val="20"/>
                <w:szCs w:val="20"/>
                <w:color w:val="auto"/>
              </w:rPr>
            </w:pPr>
            <w:r>
              <w:rPr>
                <w:rFonts w:ascii="Arial" w:cs="Arial" w:eastAsia="Arial" w:hAnsi="Arial"/>
                <w:sz w:val="18"/>
                <w:szCs w:val="18"/>
                <w:color w:val="auto"/>
              </w:rPr>
              <w:t>2,538,695</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Ratification of Grant Thornton LLP as independent accountants for 2006</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69,871,355</w:t>
            </w:r>
          </w:p>
        </w:tc>
        <w:tc>
          <w:tcPr>
            <w:tcW w:w="84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1,446,519</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299,455</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Adoption of 2006 Equity Incentive Plan</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10,905,995</w:t>
            </w:r>
          </w:p>
        </w:tc>
        <w:tc>
          <w:tcPr>
            <w:tcW w:w="840" w:type="dxa"/>
            <w:vAlign w:val="bottom"/>
          </w:tcPr>
          <w:p>
            <w:pPr>
              <w:spacing w:after="0"/>
              <w:rPr>
                <w:sz w:val="24"/>
                <w:szCs w:val="24"/>
                <w:color w:val="auto"/>
              </w:rPr>
            </w:pPr>
          </w:p>
        </w:tc>
        <w:tc>
          <w:tcPr>
            <w:tcW w:w="2120" w:type="dxa"/>
            <w:vAlign w:val="bottom"/>
            <w:gridSpan w:val="3"/>
          </w:tcPr>
          <w:p>
            <w:pPr>
              <w:jc w:val="right"/>
              <w:ind w:right="640"/>
              <w:spacing w:after="0"/>
              <w:rPr>
                <w:sz w:val="20"/>
                <w:szCs w:val="20"/>
                <w:color w:val="auto"/>
              </w:rPr>
            </w:pPr>
            <w:r>
              <w:rPr>
                <w:rFonts w:ascii="Arial" w:cs="Arial" w:eastAsia="Arial" w:hAnsi="Arial"/>
                <w:sz w:val="18"/>
                <w:szCs w:val="18"/>
                <w:color w:val="auto"/>
              </w:rPr>
              <w:t>2,741,322</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330,391</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ind w:right="364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July 31, 2006</w:t>
      </w:r>
      <w:r>
        <w:rPr>
          <w:sz w:val="20"/>
          <w:szCs w:val="20"/>
          <w:color w:val="auto"/>
        </w:rPr>
        <w:tab/>
      </w:r>
      <w:r>
        <w:rPr>
          <w:rFonts w:ascii="Arial" w:cs="Arial" w:eastAsia="Arial" w:hAnsi="Arial"/>
          <w:sz w:val="16"/>
          <w:szCs w:val="16"/>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 EXHIBITS</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left="1160" w:right="280" w:hanging="1147"/>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left="1160" w:hanging="1147"/>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ectPr>
          <w:pgSz w:w="11900" w:h="16838" w:orient="portrait"/>
          <w:cols w:equalWidth="0" w:num="1">
            <w:col w:w="11340"/>
          </w:cols>
          <w:pgMar w:left="240" w:top="419"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28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40" w:firstLine="9"/>
        <w:spacing w:after="0" w:line="264" w:lineRule="auto"/>
        <w:tabs>
          <w:tab w:leader="none" w:pos="138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40" w:firstLine="9"/>
        <w:spacing w:after="0" w:line="264" w:lineRule="auto"/>
        <w:tabs>
          <w:tab w:leader="none" w:pos="139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40" w:right="360" w:firstLine="9"/>
        <w:spacing w:after="0" w:line="342" w:lineRule="auto"/>
        <w:tabs>
          <w:tab w:leader="none" w:pos="138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00" w:hanging="251"/>
        <w:spacing w:after="0"/>
        <w:tabs>
          <w:tab w:leader="none" w:pos="1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w:t>
      </w:r>
    </w:p>
    <w:p>
      <w:pPr>
        <w:spacing w:after="0" w:line="46" w:lineRule="exact"/>
        <w:rPr>
          <w:rFonts w:ascii="Arial" w:cs="Arial" w:eastAsia="Arial" w:hAnsi="Arial"/>
          <w:sz w:val="16"/>
          <w:szCs w:val="16"/>
          <w:color w:val="auto"/>
        </w:rPr>
      </w:pPr>
    </w:p>
    <w:p>
      <w:pPr>
        <w:ind w:left="1140" w:right="60"/>
        <w:spacing w:after="0" w:line="261" w:lineRule="auto"/>
        <w:rPr>
          <w:rFonts w:ascii="Arial" w:cs="Arial" w:eastAsia="Arial" w:hAnsi="Arial"/>
          <w:sz w:val="16"/>
          <w:szCs w:val="16"/>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660" w:right="240" w:hanging="436"/>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580" w:firstLine="9"/>
        <w:spacing w:after="0" w:line="342" w:lineRule="auto"/>
        <w:tabs>
          <w:tab w:leader="none" w:pos="1385"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260" w:firstLine="9"/>
        <w:spacing w:after="0" w:line="277" w:lineRule="auto"/>
        <w:tabs>
          <w:tab w:leader="none" w:pos="139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280" w:hanging="43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40" w:firstLine="9"/>
        <w:spacing w:after="0" w:line="264" w:lineRule="auto"/>
        <w:tabs>
          <w:tab w:leader="none" w:pos="138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40" w:firstLine="9"/>
        <w:spacing w:after="0" w:line="264" w:lineRule="auto"/>
        <w:tabs>
          <w:tab w:leader="none" w:pos="139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40" w:right="360" w:firstLine="9"/>
        <w:spacing w:after="0" w:line="342" w:lineRule="auto"/>
        <w:tabs>
          <w:tab w:leader="none" w:pos="138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00" w:hanging="251"/>
        <w:spacing w:after="0"/>
        <w:tabs>
          <w:tab w:leader="none" w:pos="14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w:t>
      </w:r>
    </w:p>
    <w:p>
      <w:pPr>
        <w:spacing w:after="0" w:line="46" w:lineRule="exact"/>
        <w:rPr>
          <w:rFonts w:ascii="Arial" w:cs="Arial" w:eastAsia="Arial" w:hAnsi="Arial"/>
          <w:sz w:val="16"/>
          <w:szCs w:val="16"/>
          <w:color w:val="auto"/>
        </w:rPr>
      </w:pPr>
    </w:p>
    <w:p>
      <w:pPr>
        <w:ind w:left="1140" w:right="60"/>
        <w:spacing w:after="0" w:line="261" w:lineRule="auto"/>
        <w:rPr>
          <w:rFonts w:ascii="Arial" w:cs="Arial" w:eastAsia="Arial" w:hAnsi="Arial"/>
          <w:sz w:val="16"/>
          <w:szCs w:val="16"/>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660" w:right="240" w:hanging="436"/>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580" w:firstLine="9"/>
        <w:spacing w:after="0" w:line="342" w:lineRule="auto"/>
        <w:tabs>
          <w:tab w:leader="none" w:pos="1385"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260" w:firstLine="9"/>
        <w:spacing w:after="0" w:line="277" w:lineRule="auto"/>
        <w:tabs>
          <w:tab w:leader="none" w:pos="139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June 30, 2006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1120" w:right="32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540" w:firstLine="21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03"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June 30, 2006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1120" w:right="32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5"/>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2019-12-13T21:52:00Z</dcterms:created>
  <dcterms:modified xsi:type="dcterms:W3CDTF">2019-12-13T21:52:00Z</dcterms:modified>
</cp:coreProperties>
</file>