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________________</w:t>
      </w:r>
    </w:p>
    <w:p>
      <w:pPr>
        <w:spacing w:after="0" w:line="20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ind w:left="2740"/>
        <w:spacing w:after="0" w:line="238" w:lineRule="auto"/>
        <w:rPr>
          <w:sz w:val="20"/>
          <w:szCs w:val="20"/>
          <w:color w:val="auto"/>
        </w:rPr>
      </w:pPr>
      <w:r>
        <w:rPr>
          <w:rFonts w:ascii="Courier New" w:cs="Courier New" w:eastAsia="Courier New" w:hAnsi="Courier New"/>
          <w:sz w:val="18"/>
          <w:szCs w:val="18"/>
          <w:color w:val="auto"/>
        </w:rPr>
        <w:t>________________</w:t>
      </w:r>
    </w:p>
    <w:p>
      <w:pPr>
        <w:spacing w:after="0" w:line="202"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jc w:val="center"/>
        <w:ind w:right="29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 $.01 par value</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232923 10 2</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207" w:lineRule="exact"/>
        <w:rPr>
          <w:sz w:val="24"/>
          <w:szCs w:val="24"/>
          <w:color w:val="auto"/>
        </w:rPr>
      </w:pPr>
    </w:p>
    <w:p>
      <w:pPr>
        <w:ind w:left="540" w:right="231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rFonts w:ascii="Courier New" w:cs="Courier New" w:eastAsia="Courier New" w:hAnsi="Courier New"/>
          <w:sz w:val="16"/>
          <w:szCs w:val="16"/>
          <w:color w:val="auto"/>
        </w:rPr>
      </w:pPr>
    </w:p>
    <w:p>
      <w:pPr>
        <w:ind w:left="540"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37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232923 10 2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sz w:val="24"/>
          <w:szCs w:val="24"/>
          <w:color w:val="auto"/>
        </w:rPr>
      </w:pPr>
    </w:p>
    <w:p>
      <w:pPr>
        <w:ind w:left="1060" w:right="5679" w:firstLine="1"/>
        <w:spacing w:after="0" w:line="235" w:lineRule="auto"/>
        <w:tabs>
          <w:tab w:leader="none" w:pos="158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Ardsley Advisory Partners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4"/>
          <w:szCs w:val="24"/>
          <w:color w:val="auto"/>
        </w:rPr>
      </w:pPr>
    </w:p>
    <w:p>
      <w:pPr>
        <w:ind w:left="1160" w:right="5359" w:hanging="625"/>
        <w:spacing w:after="0" w:line="235" w:lineRule="auto"/>
        <w:tabs>
          <w:tab w:leader="none" w:pos="105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Connecticut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65" w:orient="portrait"/>
          <w:cols w:equalWidth="0" w:num="1">
            <w:col w:w="10219"/>
          </w:cols>
          <w:pgMar w:left="240" w:top="447" w:right="1440" w:bottom="0" w:gutter="0" w:footer="0" w:header="0"/>
        </w:sectPr>
      </w:pPr>
    </w:p>
    <w:p>
      <w:pPr>
        <w:spacing w:after="0" w:line="224" w:lineRule="exact"/>
        <w:rPr>
          <w:sz w:val="24"/>
          <w:szCs w:val="24"/>
          <w:color w:val="auto"/>
        </w:rPr>
      </w:pPr>
    </w:p>
    <w:p>
      <w:pPr>
        <w:spacing w:after="0" w:line="536" w:lineRule="auto"/>
        <w:rPr>
          <w:sz w:val="20"/>
          <w:szCs w:val="20"/>
          <w:color w:val="auto"/>
        </w:rPr>
      </w:pPr>
      <w:r>
        <w:rPr>
          <w:rFonts w:ascii="Courier New" w:cs="Courier New" w:eastAsia="Courier New" w:hAnsi="Courier New"/>
          <w:sz w:val="16"/>
          <w:szCs w:val="16"/>
          <w:color w:val="auto"/>
        </w:rPr>
        <w:t>NUMBER OF SHARES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ind w:left="6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w:t>
      </w:r>
    </w:p>
    <w:p>
      <w:pPr>
        <w:spacing w:after="0" w:line="224" w:lineRule="exact"/>
        <w:rPr>
          <w:sz w:val="24"/>
          <w:szCs w:val="24"/>
          <w:color w:val="auto"/>
        </w:rPr>
      </w:pPr>
    </w:p>
    <w:p>
      <w:pPr>
        <w:sectPr>
          <w:pgSz w:w="11900" w:h="16865" w:orient="portrait"/>
          <w:cols w:equalWidth="0" w:num="2">
            <w:col w:w="960" w:space="620"/>
            <w:col w:w="8639"/>
          </w:cols>
          <w:pgMar w:left="240" w:top="447" w:right="1440" w:bottom="0" w:gutter="0" w:footer="0" w:header="0"/>
          <w:type w:val="continuous"/>
        </w:sectPr>
      </w:pPr>
    </w:p>
    <w:p>
      <w:pPr>
        <w:spacing w:after="0" w:line="558" w:lineRule="auto"/>
        <w:rPr>
          <w:sz w:val="20"/>
          <w:szCs w:val="20"/>
          <w:color w:val="auto"/>
        </w:rPr>
      </w:pPr>
      <w:r>
        <w:rPr>
          <w:rFonts w:ascii="Courier New" w:cs="Courier New" w:eastAsia="Courier New" w:hAnsi="Courier New"/>
          <w:sz w:val="16"/>
          <w:szCs w:val="16"/>
          <w:color w:val="auto"/>
        </w:rPr>
        <w:t>BENEFICIALLY OWNED BY</w:t>
      </w:r>
    </w:p>
    <w:p>
      <w:pPr>
        <w:spacing w:after="0" w:line="20" w:lineRule="exact"/>
        <w:rPr>
          <w:sz w:val="24"/>
          <w:szCs w:val="24"/>
          <w:color w:val="auto"/>
        </w:rPr>
      </w:pPr>
      <w:r>
        <w:rPr>
          <w:sz w:val="24"/>
          <w:szCs w:val="24"/>
          <w:color w:val="auto"/>
        </w:rPr>
        <w:br w:type="column"/>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ind w:left="640"/>
        <w:spacing w:after="0" w:line="238" w:lineRule="auto"/>
        <w:rPr>
          <w:sz w:val="20"/>
          <w:szCs w:val="20"/>
          <w:color w:val="auto"/>
        </w:rPr>
      </w:pPr>
      <w:r>
        <w:rPr>
          <w:rFonts w:ascii="Courier New" w:cs="Courier New" w:eastAsia="Courier New" w:hAnsi="Courier New"/>
          <w:sz w:val="18"/>
          <w:szCs w:val="18"/>
          <w:color w:val="auto"/>
        </w:rPr>
        <w:t>931,500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w:t>
      </w:r>
    </w:p>
    <w:p>
      <w:pPr>
        <w:sectPr>
          <w:pgSz w:w="11900" w:h="16865" w:orient="portrait"/>
          <w:cols w:equalWidth="0" w:num="2">
            <w:col w:w="1280" w:space="300"/>
            <w:col w:w="863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931,500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p>
      <w:pPr>
        <w:ind w:left="1060"/>
        <w:spacing w:after="0" w:line="238" w:lineRule="auto"/>
        <w:rPr>
          <w:sz w:val="20"/>
          <w:szCs w:val="20"/>
          <w:color w:val="auto"/>
        </w:rPr>
      </w:pPr>
      <w:r>
        <w:rPr>
          <w:rFonts w:ascii="Courier New" w:cs="Courier New" w:eastAsia="Courier New" w:hAnsi="Courier New"/>
          <w:sz w:val="18"/>
          <w:szCs w:val="18"/>
          <w:color w:val="auto"/>
        </w:rPr>
        <w:t>BY EACH REPORTING PERSON</w:t>
      </w:r>
    </w:p>
    <w:p>
      <w:pPr>
        <w:ind w:left="1160"/>
        <w:spacing w:after="0"/>
        <w:rPr>
          <w:sz w:val="20"/>
          <w:szCs w:val="20"/>
          <w:color w:val="auto"/>
        </w:rPr>
      </w:pPr>
      <w:r>
        <w:rPr>
          <w:rFonts w:ascii="Courier New" w:cs="Courier New" w:eastAsia="Courier New" w:hAnsi="Courier New"/>
          <w:sz w:val="18"/>
          <w:szCs w:val="18"/>
          <w:color w:val="auto"/>
        </w:rPr>
        <w:t>931,500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199" w:hanging="631"/>
        <w:spacing w:after="0" w:line="268"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160" w:right="6319" w:hanging="731"/>
        <w:spacing w:after="0" w:line="235" w:lineRule="auto"/>
        <w:tabs>
          <w:tab w:leader="none" w:pos="105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2740" w:right="4519" w:hanging="1152"/>
        <w:spacing w:after="0" w:line="470" w:lineRule="auto"/>
        <w:tabs>
          <w:tab w:leader="none" w:pos="189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 PAGE 2 OF 5 PAGES</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232923 10 2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w:t>
      </w:r>
    </w:p>
    <w:p>
      <w:pPr>
        <w:ind w:left="1060"/>
        <w:spacing w:after="0"/>
        <w:rPr>
          <w:sz w:val="20"/>
          <w:szCs w:val="20"/>
          <w:color w:val="auto"/>
        </w:rPr>
      </w:pPr>
      <w:r>
        <w:rPr>
          <w:rFonts w:ascii="Courier New" w:cs="Courier New" w:eastAsia="Courier New" w:hAnsi="Courier New"/>
          <w:sz w:val="18"/>
          <w:szCs w:val="18"/>
          <w:color w:val="auto"/>
        </w:rPr>
        <w:t>OF ABOVE PERSON</w:t>
      </w:r>
    </w:p>
    <w:p>
      <w:pPr>
        <w:ind w:left="1160"/>
        <w:spacing w:after="0" w:line="237" w:lineRule="auto"/>
        <w:rPr>
          <w:sz w:val="20"/>
          <w:szCs w:val="20"/>
          <w:color w:val="auto"/>
        </w:rPr>
      </w:pPr>
      <w:r>
        <w:rPr>
          <w:rFonts w:ascii="Courier New" w:cs="Courier New" w:eastAsia="Courier New" w:hAnsi="Courier New"/>
          <w:sz w:val="18"/>
          <w:szCs w:val="18"/>
          <w:color w:val="auto"/>
        </w:rPr>
        <w:t>Philip J. Hempleman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160" w:right="5359" w:hanging="625"/>
        <w:spacing w:after="0" w:line="235" w:lineRule="auto"/>
        <w:tabs>
          <w:tab w:leader="none" w:pos="105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931,500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931,500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160"/>
        <w:spacing w:after="0"/>
        <w:rPr>
          <w:sz w:val="20"/>
          <w:szCs w:val="20"/>
          <w:color w:val="auto"/>
        </w:rPr>
      </w:pPr>
      <w:r>
        <w:rPr>
          <w:rFonts w:ascii="Courier New" w:cs="Courier New" w:eastAsia="Courier New" w:hAnsi="Courier New"/>
          <w:sz w:val="18"/>
          <w:szCs w:val="18"/>
          <w:color w:val="auto"/>
        </w:rPr>
        <w:t>931,500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199" w:hanging="631"/>
        <w:spacing w:after="0" w:line="268" w:lineRule="auto"/>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160"/>
        <w:spacing w:after="0" w:line="233" w:lineRule="auto"/>
        <w:rPr>
          <w:sz w:val="20"/>
          <w:szCs w:val="20"/>
          <w:color w:val="auto"/>
        </w:rPr>
      </w:pPr>
      <w:r>
        <w:rPr>
          <w:rFonts w:ascii="Courier New" w:cs="Courier New" w:eastAsia="Courier New" w:hAnsi="Courier New"/>
          <w:sz w:val="18"/>
          <w:szCs w:val="18"/>
          <w:color w:val="auto"/>
        </w:rPr>
        <w:t>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ind w:left="116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2740" w:right="4519" w:hanging="1152"/>
        <w:spacing w:after="0" w:line="470" w:lineRule="auto"/>
        <w:tabs>
          <w:tab w:leader="none" w:pos="189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 PAGE 3 OF 5 PAGES</w:t>
      </w:r>
    </w:p>
    <w:p>
      <w:pPr>
        <w:sectPr>
          <w:pgSz w:w="11900" w:h="16838" w:orient="portrait"/>
          <w:cols w:equalWidth="0" w:num="1">
            <w:col w:w="10219"/>
          </w:cols>
          <w:pgMar w:left="240" w:top="717" w:right="1440" w:bottom="1440" w:gutter="0" w:footer="0" w:header="0"/>
        </w:sectPr>
      </w:pPr>
    </w:p>
    <w:bookmarkStart w:id="3" w:name="page4"/>
    <w:bookmarkEnd w:id="3"/>
    <w:p>
      <w:pPr>
        <w:ind w:right="1999" w:firstLine="1159"/>
        <w:spacing w:after="0" w:line="268" w:lineRule="auto"/>
        <w:rPr>
          <w:sz w:val="20"/>
          <w:szCs w:val="20"/>
          <w:color w:val="auto"/>
        </w:rPr>
      </w:pPr>
      <w:r>
        <w:rPr>
          <w:rFonts w:ascii="Courier New" w:cs="Courier New" w:eastAsia="Courier New" w:hAnsi="Courier New"/>
          <w:sz w:val="16"/>
          <w:szCs w:val="16"/>
          <w:color w:val="auto"/>
        </w:rPr>
        <w:t>The Schedule 13G initially filed for the year ended December 31, 1993 of (i) Ardsley Advisory Partners and (ii) Philip J. Hempleman relating to the common stock, par value of $.01 per share (the "Common Stock"), issued by CytoTherapeutics, Inc. (the "Company") is hereby amended by this Amendment No.</w:t>
      </w:r>
    </w:p>
    <w:p>
      <w:pPr>
        <w:spacing w:after="0" w:line="234" w:lineRule="auto"/>
        <w:rPr>
          <w:sz w:val="20"/>
          <w:szCs w:val="20"/>
          <w:color w:val="auto"/>
        </w:rPr>
      </w:pPr>
      <w:r>
        <w:rPr>
          <w:rFonts w:ascii="Courier New" w:cs="Courier New" w:eastAsia="Courier New" w:hAnsi="Courier New"/>
          <w:sz w:val="18"/>
          <w:szCs w:val="18"/>
          <w:color w:val="auto"/>
        </w:rPr>
        <w:t>2 to the Schedule 13G as follows: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Item 4 is hereby replaced in its entirety by the following:</w:t>
      </w:r>
    </w:p>
    <w:p>
      <w:pPr>
        <w:spacing w:after="0" w:line="207" w:lineRule="exact"/>
        <w:rPr>
          <w:sz w:val="20"/>
          <w:szCs w:val="20"/>
          <w:color w:val="auto"/>
        </w:rPr>
      </w:pPr>
    </w:p>
    <w:p>
      <w:pPr>
        <w:ind w:left="1700" w:right="5779" w:hanging="533"/>
        <w:spacing w:after="0" w:line="470" w:lineRule="auto"/>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931,500</w:t>
      </w:r>
    </w:p>
    <w:p>
      <w:pPr>
        <w:spacing w:after="0" w:line="6"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left="1160" w:right="2199"/>
        <w:spacing w:after="0" w:line="237" w:lineRule="auto"/>
        <w:rPr>
          <w:sz w:val="20"/>
          <w:szCs w:val="20"/>
          <w:color w:val="auto"/>
        </w:rPr>
      </w:pPr>
      <w:r>
        <w:rPr>
          <w:rFonts w:ascii="Courier New" w:cs="Courier New" w:eastAsia="Courier New" w:hAnsi="Courier New"/>
          <w:sz w:val="18"/>
          <w:szCs w:val="18"/>
          <w:color w:val="auto"/>
        </w:rPr>
        <w:t>6.2% (based on the 15,149,582 shares of Common Stock reported to be outstanding as of November 1, 1995, as reflected in the Company's quarterly report on Form 10-Q filed with the Securities and Exchange Commission by the Company for the quarter ended September 30, 1995.)</w:t>
      </w:r>
    </w:p>
    <w:p>
      <w:pPr>
        <w:spacing w:after="0" w:line="203" w:lineRule="exact"/>
        <w:rPr>
          <w:sz w:val="20"/>
          <w:szCs w:val="20"/>
          <w:color w:val="auto"/>
        </w:rPr>
      </w:pPr>
    </w:p>
    <w:p>
      <w:pPr>
        <w:ind w:left="1700" w:hanging="533"/>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220" w:right="3779" w:hanging="527"/>
        <w:spacing w:after="0" w:line="470" w:lineRule="auto"/>
        <w:tabs>
          <w:tab w:leader="none" w:pos="22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11" w:lineRule="exact"/>
        <w:rPr>
          <w:rFonts w:ascii="Courier New" w:cs="Courier New" w:eastAsia="Courier New" w:hAnsi="Courier New"/>
          <w:sz w:val="18"/>
          <w:szCs w:val="18"/>
          <w:color w:val="auto"/>
        </w:rPr>
      </w:pPr>
    </w:p>
    <w:p>
      <w:pPr>
        <w:ind w:left="2220" w:right="3579" w:hanging="527"/>
        <w:spacing w:after="0" w:line="470" w:lineRule="auto"/>
        <w:tabs>
          <w:tab w:leader="none" w:pos="22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931,500</w:t>
      </w:r>
    </w:p>
    <w:p>
      <w:pPr>
        <w:spacing w:after="0" w:line="11" w:lineRule="exact"/>
        <w:rPr>
          <w:rFonts w:ascii="Courier New" w:cs="Courier New" w:eastAsia="Courier New" w:hAnsi="Courier New"/>
          <w:sz w:val="18"/>
          <w:szCs w:val="18"/>
          <w:color w:val="auto"/>
        </w:rPr>
      </w:pPr>
    </w:p>
    <w:p>
      <w:pPr>
        <w:ind w:left="2220" w:right="2319" w:hanging="527"/>
        <w:spacing w:after="0" w:line="470" w:lineRule="auto"/>
        <w:tabs>
          <w:tab w:leader="none" w:pos="232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1" w:lineRule="exact"/>
        <w:rPr>
          <w:rFonts w:ascii="Courier New" w:cs="Courier New" w:eastAsia="Courier New" w:hAnsi="Courier New"/>
          <w:sz w:val="18"/>
          <w:szCs w:val="18"/>
          <w:color w:val="auto"/>
        </w:rPr>
      </w:pPr>
    </w:p>
    <w:p>
      <w:pPr>
        <w:ind w:left="2220" w:right="4199" w:hanging="527"/>
        <w:spacing w:after="0" w:line="235" w:lineRule="auto"/>
        <w:tabs>
          <w:tab w:leader="none" w:pos="22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931,500</w:t>
      </w:r>
    </w:p>
    <w:p>
      <w:pPr>
        <w:spacing w:after="0" w:line="207"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By virtue of Mr. Hempleman's position as managing partner of Ardsley Advisory Partners, Mr. Hempleman may be deemed to have the shared power to vote or direct the vote of, and the shared power to dispose or direct the disposition of, the 931,500 shares of Common Stock held by the discretionary accounts managed by Ardsley Advisory Partners, constituting 6.2% of the shares of Common Stock outstanding and, therefore, Mr. Hempleman may be deemed to be the beneficial owner of such shares.</w:t>
      </w: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520" w:right="1440" w:bottom="1440" w:gutter="0" w:footer="0" w:header="0"/>
        </w:sectPr>
      </w:pPr>
    </w:p>
    <w:bookmarkStart w:id="4" w:name="page5"/>
    <w:bookmarkEnd w:id="4"/>
    <w:p>
      <w:pPr>
        <w:spacing w:after="0"/>
        <w:tabs>
          <w:tab w:leader="none" w:pos="1140" w:val="left"/>
          <w:tab w:leader="none" w:pos="2840" w:val="left"/>
        </w:tabs>
        <w:rPr>
          <w:sz w:val="20"/>
          <w:szCs w:val="20"/>
          <w:color w:val="auto"/>
        </w:rPr>
      </w:pPr>
      <w:r>
        <w:rPr>
          <w:rFonts w:ascii="Courier New" w:cs="Courier New" w:eastAsia="Courier New" w:hAnsi="Courier New"/>
          <w:sz w:val="18"/>
          <w:szCs w:val="18"/>
          <w:color w:val="auto"/>
        </w:rPr>
        <w:t>ITEM 10.</w:t>
        <w:tab/>
        <w:t>CERTIFICATION.</w:t>
      </w:r>
      <w:r>
        <w:rPr>
          <w:sz w:val="20"/>
          <w:szCs w:val="20"/>
          <w:color w:val="auto"/>
        </w:rPr>
        <w:tab/>
      </w:r>
      <w:r>
        <w:rPr>
          <w:rFonts w:ascii="Courier New" w:cs="Courier New" w:eastAsia="Courier New" w:hAnsi="Courier New"/>
          <w:sz w:val="16"/>
          <w:szCs w:val="16"/>
          <w:color w:val="auto"/>
        </w:rPr>
        <w:t>(if filing pursuant to Rule 13d-1(b))</w:t>
      </w:r>
    </w:p>
    <w:p>
      <w:pPr>
        <w:spacing w:after="0" w:line="207"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By signing below Ardsley Advisory Partners and Philip J. Hempleman certify that, to the best of their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13,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PHILIP J. HEMPLEMAN</w:t>
      </w:r>
    </w:p>
    <w:p>
      <w:pPr>
        <w:ind w:left="3380"/>
        <w:spacing w:after="0" w:line="238" w:lineRule="auto"/>
        <w:rPr>
          <w:sz w:val="20"/>
          <w:szCs w:val="20"/>
          <w:color w:val="auto"/>
        </w:rPr>
      </w:pPr>
      <w:r>
        <w:rPr>
          <w:rFonts w:ascii="Courier New" w:cs="Courier New" w:eastAsia="Courier New" w:hAnsi="Courier New"/>
          <w:sz w:val="18"/>
          <w:szCs w:val="18"/>
          <w:color w:val="auto"/>
        </w:rPr>
        <w:t>Philip J. Hempleman, as</w:t>
      </w:r>
    </w:p>
    <w:p>
      <w:pPr>
        <w:ind w:left="3380"/>
        <w:spacing w:after="0"/>
        <w:rPr>
          <w:sz w:val="20"/>
          <w:szCs w:val="20"/>
          <w:color w:val="auto"/>
        </w:rPr>
      </w:pPr>
      <w:r>
        <w:rPr>
          <w:rFonts w:ascii="Courier New" w:cs="Courier New" w:eastAsia="Courier New" w:hAnsi="Courier New"/>
          <w:sz w:val="18"/>
          <w:szCs w:val="18"/>
          <w:color w:val="auto"/>
        </w:rPr>
        <w:t>Managing Partner of</w:t>
      </w:r>
    </w:p>
    <w:p>
      <w:pPr>
        <w:ind w:left="3380"/>
        <w:spacing w:after="0" w:line="237" w:lineRule="auto"/>
        <w:rPr>
          <w:sz w:val="20"/>
          <w:szCs w:val="20"/>
          <w:color w:val="auto"/>
        </w:rPr>
      </w:pPr>
      <w:r>
        <w:rPr>
          <w:rFonts w:ascii="Courier New" w:cs="Courier New" w:eastAsia="Courier New" w:hAnsi="Courier New"/>
          <w:sz w:val="18"/>
          <w:szCs w:val="18"/>
          <w:color w:val="auto"/>
        </w:rPr>
        <w:t>Ardsley Advisory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PHILIP J. HEMPLEMAN</w:t>
      </w:r>
    </w:p>
    <w:p>
      <w:pPr>
        <w:ind w:left="3380"/>
        <w:spacing w:after="0" w:line="238" w:lineRule="auto"/>
        <w:rPr>
          <w:sz w:val="20"/>
          <w:szCs w:val="20"/>
          <w:color w:val="auto"/>
        </w:rPr>
      </w:pPr>
      <w:r>
        <w:rPr>
          <w:rFonts w:ascii="Courier New" w:cs="Courier New" w:eastAsia="Courier New" w:hAnsi="Courier New"/>
          <w:sz w:val="18"/>
          <w:szCs w:val="18"/>
          <w:color w:val="auto"/>
        </w:rPr>
        <w:t>Philip J. Hempleman</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S.%1."/>
      <w:numFmt w:val="upperLetter"/>
      <w:start w:val="19"/>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9"/>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decimal"/>
      <w:start w:val="11"/>
    </w:lvl>
  </w:abstractNum>
  <w:abstractNum w:abstractNumId="16">
    <w:nsid w:val="3F2DBA31"/>
    <w:multiLevelType w:val="hybridMultilevel"/>
    <w:lvl w:ilvl="0">
      <w:lvlJc w:val="left"/>
      <w:lvlText w:val="(%1)"/>
      <w:numFmt w:val="decimal"/>
      <w:start w:val="12"/>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2019-12-13T21:51:57Z</dcterms:created>
  <dcterms:modified xsi:type="dcterms:W3CDTF">2019-12-13T21:51:57Z</dcterms:modified>
</cp:coreProperties>
</file>