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333-250966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142875</wp:posOffset>
            </wp:positionV>
            <wp:extent cx="2571750" cy="942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975,000 Shares of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Pre-Funded Warrants to purchase up to 234,500 Shares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234,500 Shares of Common Stock Underlying the Pre-Funded Warrants</w:t>
      </w:r>
    </w:p>
    <w:p>
      <w:pPr>
        <w:spacing w:after="0" w:line="211"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offering 975,000 shares of our common stock, par value $0.01 per share (“common stock”), to an institutional investor at an offering price of $2.20 per share, pursuant to this prospectus supplement and the accompanying prospectus.</w:t>
      </w:r>
    </w:p>
    <w:p>
      <w:pPr>
        <w:spacing w:after="0" w:line="170" w:lineRule="exact"/>
        <w:rPr>
          <w:sz w:val="24"/>
          <w:szCs w:val="24"/>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also offering pre-funded warrants to purchase 234,500 shares of our common stock (“pre-funded warrants”) in lieu of shares of common stock to the same institutional investor whose purchase of shares of common stock in this offering would otherwise result in the investor, together with its affiliates, beneficially owning more than 4.99% (or, at the election of the investor, 9.99%) of our common stock. Each pre-funded warrant will be sold in this offering at a purchase price equal to $2.1999 (equal to the purchase price per share of common stock sold in this offering, minus $0.0001). The per share exercise price for the pre-funded warrants will be $0.0001, and the pre-funded warrants are immediately exercisable and may be exercised at any time until all of the pre-funded warrants are exercised in full. This offering also relates to the shares of common stock issuable upon exercise of the pre-funded warrants sold in this offering.</w:t>
      </w:r>
    </w:p>
    <w:p>
      <w:pPr>
        <w:spacing w:after="0" w:line="195" w:lineRule="exact"/>
        <w:rPr>
          <w:sz w:val="24"/>
          <w:szCs w:val="24"/>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common stock is listed and trades on The Nasdaq Capital Market under the symbol “MBOT.” The last sale price of our shares of common stock on May 22, 2023 was $3.19 per share. There is no established trading market for the pre-funded warrants, and we do not expect a market to develop. We do not intend to apply for a listing for any such pre-funded warrants on any securities exchange or other nationally recognized trading system.</w:t>
      </w:r>
    </w:p>
    <w:p>
      <w:pPr>
        <w:spacing w:after="0" w:line="149" w:lineRule="exact"/>
        <w:rPr>
          <w:sz w:val="24"/>
          <w:szCs w:val="24"/>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the date of this prospectus supplement, the aggregate market value of our outstanding common stock held by non-affiliates, computed by reference to the price at which our common stock was last sold on The Nasdaq Capital Market on May 22, 2023, which was $3.19 per share, was approximately $26.8 million, based on 8,786,197 shares of our outstanding common stock as of the date of this prospectus supplement, of which 8,407,322 shares were held by non-affiliates. Pursuant to General Instruction I.B.6 of Form S-3, in no event will we sell securities in a public primary offering with a value exceeding one-third of our public float in any 12-month period so long as our public float remains below $75.0 million. During the 12 calendar months prior to and including the date of this prospectus supplement (excluding this offering), we have sold $6,046,253 in securities pursuant to General Instruction I.B.6 of Form S-3.</w:t>
      </w:r>
    </w:p>
    <w:p>
      <w:pPr>
        <w:spacing w:after="0" w:line="195" w:lineRule="exact"/>
        <w:rPr>
          <w:sz w:val="24"/>
          <w:szCs w:val="24"/>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engaged H.C. Wainwright &amp; Co., LLC, or Wainwright or the placement agent, to act as our exclusive placement agent for this offering. The placement agent has agreed to use its “reasonable best efforts” to arrange for the sale of shares of our common stock and pre-funded warrants offered by this prospectus supplement and the accompanying base prospectus, but the placement agent has no obligation to purchase or sell any of such securities or to arrange for the purchase or sale of any specific number or dollar amount of such securities. There is no required minimum number of securities that must be sold as a condition to completion of this offering. Because there is no minimum offering amount required as a condition to closing this offering, the actual offering amount, placement agent fees, and proceeds to us, if any, are not presently determinable and may be substantially less than the total maximum offering amounts set forth below. We have not arranged to place the funds from investors in an escrow, trust or similar account. We have agreed to pay the placement agent the fees set forth in the table below in connection with this offering, which assumes that we sell all of the shares of common stock and pre-funded warrants we are offering hereby.</w:t>
      </w:r>
    </w:p>
    <w:p>
      <w:pPr>
        <w:spacing w:after="0" w:line="177"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Per Pre-Funded</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Per Share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Warrant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Total</w:t>
            </w:r>
          </w:p>
        </w:tc>
      </w:tr>
      <w:tr>
        <w:trPr>
          <w:trHeight w:val="216"/>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Offering price</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2,660,877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8"/>
                <w:szCs w:val="18"/>
                <w:color w:val="auto"/>
              </w:rPr>
              <w:t>Placement agent’s fees (1)</w:t>
            </w:r>
          </w:p>
        </w:tc>
        <w:tc>
          <w:tcPr>
            <w:tcW w:w="8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0.154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0.153993</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186,261</w:t>
            </w: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us (2)</w:t>
            </w:r>
          </w:p>
        </w:tc>
        <w:tc>
          <w:tcPr>
            <w:tcW w:w="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2.045907</w:t>
            </w:r>
          </w:p>
        </w:tc>
        <w:tc>
          <w:tcPr>
            <w:tcW w:w="4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2,474,616</w:t>
            </w:r>
          </w:p>
        </w:tc>
      </w:tr>
    </w:tbl>
    <w:p>
      <w:pPr>
        <w:spacing w:after="0" w:line="202" w:lineRule="exact"/>
        <w:rPr>
          <w:sz w:val="24"/>
          <w:szCs w:val="24"/>
          <w:color w:val="auto"/>
        </w:rPr>
      </w:pPr>
    </w:p>
    <w:p>
      <w:pPr>
        <w:jc w:val="both"/>
        <w:ind w:left="660" w:hanging="652"/>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we have agreed to pay the placement agent for certain of its expenses and to issue warrants to purchase shares of common stock to the placement agent or its designees (the “placement agent warrants”). Neither the placement agent warrants nor the shares of our common stock issuable upon exercise of the placement agent warrants are being registered hereby. See “Plan of Distribution” beginning on page S-11 of this prospectus supplement for more information.</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Does not include proceeds from the exercise of the placement agent warrants to be issued to the placement agent in cash, if any.</w:t>
      </w:r>
    </w:p>
    <w:p>
      <w:pPr>
        <w:spacing w:after="0" w:line="225"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Delivery of the shares of common stock and pre-funded warrants offered hereby is expected to be made on or about May 24, 2023, subject to satisfaction of customary closing conditions.</w:t>
      </w:r>
    </w:p>
    <w:p>
      <w:pPr>
        <w:spacing w:after="0" w:line="166" w:lineRule="exact"/>
        <w:rPr>
          <w:sz w:val="24"/>
          <w:szCs w:val="24"/>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Investing in our securities involves a high degree of risk. Before making any investment decision, you should carefully review and consider all the information in this prospectus supplement, the accompanying base prospectus and the documents incorporated by reference herein and therein, including the risks and uncertainties described under “Risk Factors” beginning on page S-6 of this prospectus supplement and the risk factors incorporated by reference into this prospectus supplement and the accompanying base prospectus.</w:t>
      </w:r>
    </w:p>
    <w:p>
      <w:pPr>
        <w:sectPr>
          <w:pgSz w:w="11900" w:h="16838" w:orient="portrait"/>
          <w:cols w:equalWidth="0" w:num="1">
            <w:col w:w="11240"/>
          </w:cols>
          <w:pgMar w:left="320" w:top="445" w:right="339" w:bottom="0" w:gutter="0" w:footer="0" w:header="0"/>
        </w:sectPr>
      </w:pPr>
    </w:p>
    <w:bookmarkStart w:id="1" w:name="page2"/>
    <w:bookmarkEnd w:id="1"/>
    <w:p>
      <w:pPr>
        <w:ind w:firstLine="648"/>
        <w:spacing w:after="0" w:line="34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shares or determined if this prospectus supplement or the accompanying base prospectus is truthful or complete. Any representation to the contrary is a criminal offense.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H.C. Wainwright &amp; Co.</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supplement is May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40" w:type="dxa"/>
            <w:vAlign w:val="bottom"/>
            <w:gridSpan w:val="6"/>
          </w:tcPr>
          <w:p>
            <w:pPr>
              <w:ind w:left="10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r>
      <w:tr>
        <w:trPr>
          <w:trHeight w:val="473"/>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31"/>
            <w:shd w:val="clear" w:color="auto" w:fill="CCEEFF"/>
          </w:tcPr>
          <w:p>
            <w:pPr>
              <w:spacing w:after="0"/>
              <w:rPr>
                <w:sz w:val="20"/>
                <w:szCs w:val="20"/>
                <w:color w:val="auto"/>
              </w:rPr>
            </w:pPr>
            <w:r>
              <w:rPr>
                <w:rFonts w:ascii="Arial" w:cs="Arial" w:eastAsia="Arial" w:hAnsi="Arial"/>
                <w:sz w:val="18"/>
                <w:szCs w:val="18"/>
                <w:b w:val="1"/>
                <w:bCs w:val="1"/>
                <w:color w:val="auto"/>
              </w:rPr>
              <w:t>PROSPECTUS SUPPLEMENT</w:t>
            </w:r>
          </w:p>
        </w:tc>
        <w:tc>
          <w:tcPr>
            <w:tcW w:w="64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3440" w:type="dxa"/>
            <w:vAlign w:val="bottom"/>
            <w:tcBorders>
              <w:bottom w:val="single" w:sz="8" w:color="0000EE"/>
            </w:tcBorders>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3"/>
              </w:rPr>
              <w:t>ABOUT THIS PROSPECTUS SUPPLEMENT</w:t>
            </w:r>
          </w:p>
        </w:tc>
        <w:tc>
          <w:tcPr>
            <w:tcW w:w="716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w:t>
            </w:r>
          </w:p>
        </w:tc>
      </w:tr>
      <w:tr>
        <w:trPr>
          <w:trHeight w:val="176"/>
        </w:trPr>
        <w:tc>
          <w:tcPr>
            <w:tcW w:w="10600" w:type="dxa"/>
            <w:vAlign w:val="bottom"/>
            <w:gridSpan w:val="31"/>
          </w:tcPr>
          <w:p>
            <w:pPr>
              <w:spacing w:after="0" w:line="176" w:lineRule="exact"/>
              <w:rPr>
                <w:sz w:val="20"/>
                <w:szCs w:val="20"/>
                <w:color w:val="auto"/>
              </w:rPr>
            </w:pPr>
            <w:r>
              <w:rPr>
                <w:rFonts w:ascii="Arial" w:cs="Arial" w:eastAsia="Arial" w:hAnsi="Arial"/>
                <w:sz w:val="18"/>
                <w:szCs w:val="18"/>
                <w:color w:val="0000EE"/>
              </w:rPr>
              <w:t>SPECIAL NOTE REGARDING FORWARD-LOOKING STATEMENTS</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94"/>
              </w:rPr>
              <w:t>PROSPECTUS SUPPLEMENT SUMMARY</w:t>
            </w:r>
          </w:p>
        </w:tc>
        <w:tc>
          <w:tcPr>
            <w:tcW w:w="730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S-3</w:t>
            </w:r>
          </w:p>
        </w:tc>
      </w:tr>
      <w:tr>
        <w:trPr>
          <w:trHeight w:val="175"/>
        </w:trPr>
        <w:tc>
          <w:tcPr>
            <w:tcW w:w="10600" w:type="dxa"/>
            <w:vAlign w:val="bottom"/>
            <w:gridSpan w:val="31"/>
          </w:tcPr>
          <w:p>
            <w:pPr>
              <w:spacing w:after="0" w:line="176" w:lineRule="exact"/>
              <w:rPr>
                <w:sz w:val="20"/>
                <w:szCs w:val="20"/>
                <w:color w:val="auto"/>
              </w:rPr>
            </w:pPr>
            <w:r>
              <w:rPr>
                <w:rFonts w:ascii="Arial" w:cs="Arial" w:eastAsia="Arial" w:hAnsi="Arial"/>
                <w:sz w:val="18"/>
                <w:szCs w:val="18"/>
                <w:color w:val="0000EE"/>
              </w:rPr>
              <w:t>THE OFFERING</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93"/>
              </w:rPr>
              <w:t>RISK FACTORS</w:t>
            </w:r>
          </w:p>
        </w:tc>
        <w:tc>
          <w:tcPr>
            <w:tcW w:w="9340" w:type="dxa"/>
            <w:vAlign w:val="bottom"/>
            <w:tcBorders>
              <w:bottom w:val="single" w:sz="8" w:color="CCEEFF"/>
            </w:tcBorders>
            <w:gridSpan w:val="2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S-6</w:t>
            </w:r>
          </w:p>
        </w:tc>
      </w:tr>
      <w:tr>
        <w:trPr>
          <w:trHeight w:val="176"/>
        </w:trPr>
        <w:tc>
          <w:tcPr>
            <w:tcW w:w="10600" w:type="dxa"/>
            <w:vAlign w:val="bottom"/>
            <w:gridSpan w:val="31"/>
          </w:tcPr>
          <w:p>
            <w:pPr>
              <w:spacing w:after="0" w:line="176" w:lineRule="exact"/>
              <w:rPr>
                <w:sz w:val="20"/>
                <w:szCs w:val="20"/>
                <w:color w:val="auto"/>
              </w:rPr>
            </w:pPr>
            <w:r>
              <w:rPr>
                <w:rFonts w:ascii="Arial" w:cs="Arial" w:eastAsia="Arial" w:hAnsi="Arial"/>
                <w:sz w:val="18"/>
                <w:szCs w:val="18"/>
                <w:color w:val="0000EE"/>
              </w:rPr>
              <w:t>USE OF PROCEEDS</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color w:val="0000EE"/>
              </w:rPr>
              <w:t>DILUTION</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S-9</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31"/>
          </w:tcPr>
          <w:p>
            <w:pPr>
              <w:spacing w:after="0" w:line="176" w:lineRule="exact"/>
              <w:rPr>
                <w:sz w:val="20"/>
                <w:szCs w:val="20"/>
                <w:color w:val="auto"/>
              </w:rPr>
            </w:pPr>
            <w:r>
              <w:rPr>
                <w:rFonts w:ascii="Arial" w:cs="Arial" w:eastAsia="Arial" w:hAnsi="Arial"/>
                <w:sz w:val="18"/>
                <w:szCs w:val="18"/>
                <w:color w:val="0000EE"/>
              </w:rPr>
              <w:t>DESCRIPTION OF THE SECURITIES WE ARE OFFERING</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97"/>
              </w:rPr>
              <w:t>PLAN OF DISTRIBUTION</w:t>
            </w:r>
          </w:p>
        </w:tc>
        <w:tc>
          <w:tcPr>
            <w:tcW w:w="854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S-11</w:t>
            </w:r>
          </w:p>
        </w:tc>
      </w:tr>
      <w:tr>
        <w:trPr>
          <w:trHeight w:val="175"/>
        </w:trPr>
        <w:tc>
          <w:tcPr>
            <w:tcW w:w="10600" w:type="dxa"/>
            <w:vAlign w:val="bottom"/>
            <w:gridSpan w:val="31"/>
          </w:tcPr>
          <w:p>
            <w:pPr>
              <w:spacing w:after="0" w:line="176" w:lineRule="exact"/>
              <w:rPr>
                <w:sz w:val="20"/>
                <w:szCs w:val="20"/>
                <w:color w:val="auto"/>
              </w:rPr>
            </w:pPr>
            <w:r>
              <w:rPr>
                <w:rFonts w:ascii="Arial" w:cs="Arial" w:eastAsia="Arial" w:hAnsi="Arial"/>
                <w:sz w:val="18"/>
                <w:szCs w:val="18"/>
                <w:color w:val="0000EE"/>
              </w:rPr>
              <w:t>LEGAL MATTERS</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0"/>
              </w:rPr>
              <w:t>EXPERTS</w:t>
            </w:r>
          </w:p>
        </w:tc>
        <w:tc>
          <w:tcPr>
            <w:tcW w:w="9820" w:type="dxa"/>
            <w:vAlign w:val="bottom"/>
            <w:tcBorders>
              <w:bottom w:val="single" w:sz="8" w:color="CCEEFF"/>
            </w:tcBorders>
            <w:gridSpan w:val="3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S-12</w:t>
            </w:r>
          </w:p>
        </w:tc>
      </w:tr>
      <w:tr>
        <w:trPr>
          <w:trHeight w:val="176"/>
        </w:trPr>
        <w:tc>
          <w:tcPr>
            <w:tcW w:w="10600" w:type="dxa"/>
            <w:vAlign w:val="bottom"/>
            <w:gridSpan w:val="31"/>
          </w:tcPr>
          <w:p>
            <w:pPr>
              <w:spacing w:after="0" w:line="176" w:lineRule="exact"/>
              <w:rPr>
                <w:sz w:val="20"/>
                <w:szCs w:val="20"/>
                <w:color w:val="auto"/>
              </w:rPr>
            </w:pPr>
            <w:r>
              <w:rPr>
                <w:rFonts w:ascii="Arial" w:cs="Arial" w:eastAsia="Arial" w:hAnsi="Arial"/>
                <w:sz w:val="18"/>
                <w:szCs w:val="18"/>
                <w:color w:val="0000EE"/>
              </w:rPr>
              <w:t>WHERE YOU CAN FIND MORE INFORMATION</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S-12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color w:val="0000EE"/>
              </w:rPr>
              <w:t>INCORPORATION OF CERTAIN DOCUMENTS BY REFERENCE</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S-13</w:t>
            </w:r>
          </w:p>
        </w:tc>
      </w:tr>
      <w:tr>
        <w:trPr>
          <w:trHeight w:val="453"/>
        </w:trPr>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4020" w:type="dxa"/>
            <w:vAlign w:val="bottom"/>
            <w:tcBorders>
              <w:top w:val="single" w:sz="8" w:color="CCEEFF"/>
            </w:tcBorders>
          </w:tcPr>
          <w:p>
            <w:pPr>
              <w:spacing w:after="0"/>
              <w:rPr>
                <w:sz w:val="24"/>
                <w:szCs w:val="24"/>
                <w:color w:val="auto"/>
              </w:rPr>
            </w:pPr>
          </w:p>
        </w:tc>
        <w:tc>
          <w:tcPr>
            <w:tcW w:w="640" w:type="dxa"/>
            <w:vAlign w:val="bottom"/>
            <w:tcBorders>
              <w:top w:val="single" w:sz="8" w:color="CCEEFF"/>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Pages</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31"/>
            <w:shd w:val="clear" w:color="auto" w:fill="CCEEFF"/>
          </w:tcPr>
          <w:p>
            <w:pPr>
              <w:spacing w:after="0"/>
              <w:rPr>
                <w:sz w:val="20"/>
                <w:szCs w:val="20"/>
                <w:color w:val="auto"/>
              </w:rPr>
            </w:pPr>
            <w:r>
              <w:rPr>
                <w:rFonts w:ascii="Arial" w:cs="Arial" w:eastAsia="Arial" w:hAnsi="Arial"/>
                <w:sz w:val="18"/>
                <w:szCs w:val="18"/>
                <w:b w:val="1"/>
                <w:bCs w:val="1"/>
                <w:color w:val="auto"/>
              </w:rPr>
              <w:t>PROSPECTUS</w:t>
            </w:r>
          </w:p>
        </w:tc>
        <w:tc>
          <w:tcPr>
            <w:tcW w:w="64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00" w:type="dxa"/>
            <w:vAlign w:val="bottom"/>
            <w:tcBorders>
              <w:bottom w:val="single" w:sz="8" w:color="0000EE"/>
            </w:tcBorders>
            <w:gridSpan w:val="14"/>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8"/>
              </w:rPr>
              <w:t>PROSPECTUS SUMMARY</w:t>
            </w:r>
          </w:p>
        </w:tc>
        <w:tc>
          <w:tcPr>
            <w:tcW w:w="840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r>
      <w:tr>
        <w:trPr>
          <w:trHeight w:val="176"/>
        </w:trPr>
        <w:tc>
          <w:tcPr>
            <w:tcW w:w="10600" w:type="dxa"/>
            <w:vAlign w:val="bottom"/>
            <w:gridSpan w:val="31"/>
          </w:tcPr>
          <w:p>
            <w:pPr>
              <w:spacing w:after="0" w:line="176" w:lineRule="exact"/>
              <w:rPr>
                <w:sz w:val="20"/>
                <w:szCs w:val="20"/>
                <w:color w:val="auto"/>
              </w:rPr>
            </w:pPr>
            <w:r>
              <w:rPr>
                <w:rFonts w:ascii="Arial" w:cs="Arial" w:eastAsia="Arial" w:hAnsi="Arial"/>
                <w:sz w:val="18"/>
                <w:szCs w:val="18"/>
                <w:b w:val="1"/>
                <w:bCs w:val="1"/>
                <w:color w:val="0000EE"/>
              </w:rPr>
              <w:t>RISK FACTORS</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29"/>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9"/>
              </w:rPr>
              <w:t>SPECIAL NOTE REGARDING FORWARD-LOOKING STATEMENTS</w:t>
            </w:r>
          </w:p>
        </w:tc>
        <w:tc>
          <w:tcPr>
            <w:tcW w:w="494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r>
      <w:tr>
        <w:trPr>
          <w:trHeight w:val="175"/>
        </w:trPr>
        <w:tc>
          <w:tcPr>
            <w:tcW w:w="10600" w:type="dxa"/>
            <w:vAlign w:val="bottom"/>
            <w:gridSpan w:val="31"/>
          </w:tcPr>
          <w:p>
            <w:pPr>
              <w:spacing w:after="0" w:line="176" w:lineRule="exact"/>
              <w:rPr>
                <w:sz w:val="20"/>
                <w:szCs w:val="20"/>
                <w:color w:val="auto"/>
              </w:rPr>
            </w:pPr>
            <w:r>
              <w:rPr>
                <w:rFonts w:ascii="Arial" w:cs="Arial" w:eastAsia="Arial" w:hAnsi="Arial"/>
                <w:sz w:val="18"/>
                <w:szCs w:val="18"/>
                <w:b w:val="1"/>
                <w:bCs w:val="1"/>
                <w:color w:val="0000EE"/>
              </w:rPr>
              <w:t>USE OF PROCEEDS</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PLAN OF DISTRIBUTION</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31"/>
          </w:tcPr>
          <w:p>
            <w:pPr>
              <w:spacing w:after="0" w:line="176" w:lineRule="exact"/>
              <w:rPr>
                <w:sz w:val="20"/>
                <w:szCs w:val="20"/>
                <w:color w:val="auto"/>
              </w:rPr>
            </w:pPr>
            <w:r>
              <w:rPr>
                <w:rFonts w:ascii="Arial" w:cs="Arial" w:eastAsia="Arial" w:hAnsi="Arial"/>
                <w:sz w:val="18"/>
                <w:szCs w:val="18"/>
                <w:b w:val="1"/>
                <w:bCs w:val="1"/>
                <w:color w:val="0000EE"/>
              </w:rPr>
              <w:t>DESCRIPTION OF COMMON STOCK</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DESCRIPTION OF PREFERRED STOCK</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r>
      <w:tr>
        <w:trPr>
          <w:trHeight w:val="175"/>
        </w:trPr>
        <w:tc>
          <w:tcPr>
            <w:tcW w:w="3360" w:type="dxa"/>
            <w:vAlign w:val="bottom"/>
            <w:tcBorders>
              <w:top w:val="single" w:sz="8" w:color="0000EE"/>
            </w:tcBorders>
            <w:gridSpan w:val="20"/>
          </w:tcPr>
          <w:p>
            <w:pPr>
              <w:spacing w:after="0" w:line="176" w:lineRule="exact"/>
              <w:rPr>
                <w:sz w:val="20"/>
                <w:szCs w:val="20"/>
                <w:color w:val="auto"/>
              </w:rPr>
            </w:pPr>
            <w:r>
              <w:rPr>
                <w:rFonts w:ascii="Arial" w:cs="Arial" w:eastAsia="Arial" w:hAnsi="Arial"/>
                <w:sz w:val="18"/>
                <w:szCs w:val="18"/>
                <w:b w:val="1"/>
                <w:bCs w:val="1"/>
                <w:color w:val="0000EE"/>
              </w:rPr>
              <w:t>DESCRIPTION OF WARRANTS</w:t>
            </w:r>
          </w:p>
        </w:tc>
        <w:tc>
          <w:tcPr>
            <w:tcW w:w="724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9"/>
              </w:rPr>
              <w:t>DESCRIPTION OF DEBT SECURITIES</w:t>
            </w:r>
          </w:p>
        </w:tc>
        <w:tc>
          <w:tcPr>
            <w:tcW w:w="738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r>
      <w:tr>
        <w:trPr>
          <w:trHeight w:val="175"/>
        </w:trPr>
        <w:tc>
          <w:tcPr>
            <w:tcW w:w="10600" w:type="dxa"/>
            <w:vAlign w:val="bottom"/>
            <w:gridSpan w:val="31"/>
          </w:tcPr>
          <w:p>
            <w:pPr>
              <w:spacing w:after="0" w:line="176" w:lineRule="exact"/>
              <w:rPr>
                <w:sz w:val="20"/>
                <w:szCs w:val="20"/>
                <w:color w:val="auto"/>
              </w:rPr>
            </w:pPr>
            <w:r>
              <w:rPr>
                <w:rFonts w:ascii="Arial" w:cs="Arial" w:eastAsia="Arial" w:hAnsi="Arial"/>
                <w:sz w:val="18"/>
                <w:szCs w:val="18"/>
                <w:b w:val="1"/>
                <w:bCs w:val="1"/>
                <w:color w:val="0000EE"/>
              </w:rPr>
              <w:t>DESCRIPTION OF RIGHTS</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DESCRIPTION OF UNITS</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r>
      <w:tr>
        <w:trPr>
          <w:trHeight w:val="175"/>
        </w:trPr>
        <w:tc>
          <w:tcPr>
            <w:tcW w:w="2140" w:type="dxa"/>
            <w:vAlign w:val="bottom"/>
            <w:tcBorders>
              <w:top w:val="single" w:sz="8" w:color="0000EE"/>
            </w:tcBorders>
            <w:gridSpan w:val="12"/>
          </w:tcPr>
          <w:p>
            <w:pPr>
              <w:spacing w:after="0" w:line="176" w:lineRule="exact"/>
              <w:rPr>
                <w:sz w:val="20"/>
                <w:szCs w:val="20"/>
                <w:color w:val="auto"/>
              </w:rPr>
            </w:pPr>
            <w:r>
              <w:rPr>
                <w:rFonts w:ascii="Arial" w:cs="Arial" w:eastAsia="Arial" w:hAnsi="Arial"/>
                <w:sz w:val="18"/>
                <w:szCs w:val="18"/>
                <w:b w:val="1"/>
                <w:bCs w:val="1"/>
                <w:color w:val="0000EE"/>
              </w:rPr>
              <w:t>LEGAL MATTERS</w:t>
            </w:r>
          </w:p>
        </w:tc>
        <w:tc>
          <w:tcPr>
            <w:tcW w:w="8460" w:type="dxa"/>
            <w:vAlign w:val="bottom"/>
            <w:tcBorders>
              <w:top w:val="single" w:sz="8" w:color="CCEEFF"/>
            </w:tcBorders>
            <w:gridSpan w:val="19"/>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7"/>
              </w:rPr>
              <w:t>EXPERTS</w:t>
            </w:r>
          </w:p>
        </w:tc>
        <w:tc>
          <w:tcPr>
            <w:tcW w:w="9760" w:type="dxa"/>
            <w:vAlign w:val="bottom"/>
            <w:tcBorders>
              <w:bottom w:val="single" w:sz="8" w:color="CCEEFF"/>
            </w:tcBorders>
            <w:gridSpan w:val="2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r>
      <w:tr>
        <w:trPr>
          <w:trHeight w:val="176"/>
        </w:trPr>
        <w:tc>
          <w:tcPr>
            <w:tcW w:w="10600" w:type="dxa"/>
            <w:vAlign w:val="bottom"/>
            <w:gridSpan w:val="31"/>
          </w:tcPr>
          <w:p>
            <w:pPr>
              <w:spacing w:after="0" w:line="176" w:lineRule="exact"/>
              <w:rPr>
                <w:sz w:val="20"/>
                <w:szCs w:val="20"/>
                <w:color w:val="auto"/>
              </w:rPr>
            </w:pPr>
            <w:r>
              <w:rPr>
                <w:rFonts w:ascii="Arial" w:cs="Arial" w:eastAsia="Arial" w:hAnsi="Arial"/>
                <w:sz w:val="18"/>
                <w:szCs w:val="18"/>
                <w:b w:val="1"/>
                <w:bCs w:val="1"/>
                <w:color w:val="0000EE"/>
              </w:rPr>
              <w:t>WHERE YOU CAN FIND MORE INFORMATION</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INCORPORATION OF DOCUMENTS BY REFERENCE</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and the accompanying prospectus. Neither we nor the placement agent have authorized anyone to provide you with different information. If anyone provides you with different or inconsistent information, you should not rely on it. This prospectus supplement and the accompanying prospectus do not constitute an offer to sell, or a solicitation of an offer to purchase, the securities offered by this prospectus supplement and the accompanying prospectus in any jurisdiction where it is unlawful to make such offer or solicitation. You should assume that the information contained in this prospectus supplement or the accompanying prospectus, or any document incorporated by reference in this prospectus supplement or the accompanying prospectus, is accurate only as of the date of those respective documents. Neither the delivery of this prospectus supplement nor any distribution of securities pursuant to this prospectus supplement shall, under any circumstances, create any implication that there has been no change in the information set forth or incorporated by reference into this prospectus supplement or in our affairs since the date of this prospectus supplement. Our business, financial condition, results of operations and prospects may have changed since that date.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4718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7875" cy="4718685"/>
                    </a:xfrm>
                    <a:prstGeom prst="rect">
                      <a:avLst/>
                    </a:prstGeom>
                    <a:noFill/>
                  </pic:spPr>
                </pic:pic>
              </a:graphicData>
            </a:graphic>
          </wp:anchor>
        </w:drawing>
        <w:t>ABOUT THIS PROSPECTUS SUPPLEMENT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registration statement on Form S-3 (File No. 333-250966) utilizing a shelf registration process relating to the securities described in this prospectus supplement was initially filed with the Securities and Exchange Commission, or the SEC, on November 25, 2020 and was declared effective on December 4, 2020.</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of securities.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It is also important for you to read and consider all information contained in this prospectus supplement and the accompanying prospectus, including the documents we have referred you to in the section entitled “Where You Can Find More Information” below in this prospectus supplement.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You should assume that the information contained in this prospectus supplement, the accompanying prospectus and the documents incorporated by reference is accurate only as of their respective dates.</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not, and the placement agent has not, authorized any person to provide you with any information or to make any representation other than as contained in this prospectus supplement or in the accompanying prospectus and the information incorporated by reference herein and therein. We and the placement agent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distribution of this prospectus supplement and the accompanying prospectus and the offering of the common stock in certain jurisdictions may be restricted by law. We are not, and the placement agent is not,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Unless the context indicates otherwise, in this prospectus supplement and the accompanying prospectus the terms, the terms “Microbot,” the “Company,” “we,” “our” or “us” in this prospectus supplement refer to Microbot Medical Inc. and its wholly-owned subsidiaries.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823" w:right="4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6501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7875" cy="6501765"/>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prospectus supplement and the documents incorporated by reference in this prospectus supplement include forward-looking statements within the meaning of Section 27A of the Securities Act of 1933, as amended, or the Securities Act, and Section 21E of the Securities Exchange Act of 1934, as amended, or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our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supplement, in the documents incorporated by reference in this prospectus supplement,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light of these assumptions, risks and uncertainties, the results and events discussed in the forward-looking statements contained in this prospectus supplement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supplement.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823" w:right="4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018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184130"/>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The following summary of our business highlights some of the information contained elsewhere in or incorporated by reference into this prospectus supplement. Because this is only a summary, however, it does not contain all of the information that may be important to you. You should carefully read this prospectus supplement and the accompanying base prospectus, including the documents incorporated by reference, which are described under “Where You Can Find Additional Information” and “Incorporation of Certain Information by Reference” in this prospectus supplement. You should also carefully consider the matters discussed in the section in this prospectus supplement entitled “Risk Factors.”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 pre-clinical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81"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8"/>
          <w:szCs w:val="18"/>
          <w:color w:val="auto"/>
        </w:rPr>
        <w:t>Using our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technological platform, we are developing the first ever fully disposable robot for various endovascular interventional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Investment Options Amendment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this offering, we have agreed to amend the terms of (i) the Series A preferred investment options to purchase 1,022,495 shares of our common stock for an exercise price of $4.64 per share which are scheduled to expire on October 25, 2027 and (ii) the Series B preferred investment options to purchase 1,022,495 shares of our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and further described in our Current Report on Form 8-K filed on October 25, 2022 (collectively, the “Existing Preferred Investment Options”), which investor is also participating in this offering, such that effective upon the closing of this offering, the Existing Preferred Investment Options will have a reduced exercise price of $2.20 per share and the Series B Preferred Investment Options will now expire on October 25, 2027.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Direct Offering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22, 2023, we entered into a securities purchase agreement with an institutional investor, pursuant to which we agreed to issue and sell in a registered direct offering an aggregate of 655,569 shares of our common stock, at an offering price of $2.20 per share, for aggregate gross proceeds of approximately $1.4 million before deducting the placement agent fee and related offering expenses. We also agreed to issue to H.C. Wainwright &amp; Co., LLC or its designees preferred investment options to purchase 32,778 shares of our common stock. The registered direct offering was consummated on May 23,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Core-Business Focus Program</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May 15, 2023, our Board of Directors authorized, and we commenced, a core-business focus program while we seek to raise additional capital to continue development of the LIBERTY robotic system. This core-business focus program includes the cessation of research and development activities not related to LIBERTY, including terminating our agreement with CardioSert Ltd. for that technology, and returning intellectual property relating to the Self Cleaning Shunt (Virob) and TipCat to Technion Research and Development Foundation.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Reduction Plan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15, 2023, in addition to the core-business focus program described above, our Board of Directors authorized, and we commenced, a cost reduction plan while we seek to raise additional capital to continue development of the LIBERTY robotic system. This cost reduction plan includes:</w:t>
      </w:r>
    </w:p>
    <w:p>
      <w:pPr>
        <w:spacing w:after="0" w:line="184" w:lineRule="exact"/>
        <w:rPr>
          <w:sz w:val="20"/>
          <w:szCs w:val="20"/>
          <w:color w:val="auto"/>
        </w:rPr>
      </w:pPr>
    </w:p>
    <w:p>
      <w:pPr>
        <w:ind w:left="660" w:hanging="331"/>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Focus its research &amp; development and regulatory efforts to complete the LIBERTY’s verification and validation process (“V&amp;V”), complete robotics build-up and execute first in human cases outside the USA.</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Postpone a Good Laboratory Practice study for LIBERTY until the completion of the V&amp;V.</w:t>
      </w:r>
    </w:p>
    <w:p>
      <w:pPr>
        <w:spacing w:after="0" w:line="225"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Harel Gadot, Chairman, our President and CEO, has agreed to a reduction of 50% of his base salary, with terms and conditions with respect to the reduction period to be determined.</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executive officers have agreed to a reduction of 30-40% of base salary, as follows:</w:t>
      </w:r>
    </w:p>
    <w:p>
      <w:pPr>
        <w:spacing w:after="0" w:line="225" w:lineRule="exact"/>
        <w:rPr>
          <w:rFonts w:ascii="Arial" w:cs="Arial" w:eastAsia="Arial" w:hAnsi="Arial"/>
          <w:sz w:val="18"/>
          <w:szCs w:val="18"/>
          <w:color w:val="auto"/>
        </w:rPr>
      </w:pPr>
    </w:p>
    <w:p>
      <w:pPr>
        <w:jc w:val="both"/>
        <w:ind w:left="1300" w:hanging="323"/>
        <w:spacing w:after="0" w:line="255"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Rachel Vaknin, CFO</w:t>
      </w:r>
      <w:r>
        <w:rPr>
          <w:rFonts w:ascii="Arial" w:cs="Arial" w:eastAsia="Arial" w:hAnsi="Arial"/>
          <w:sz w:val="18"/>
          <w:szCs w:val="18"/>
          <w:color w:val="auto"/>
        </w:rPr>
        <w:t>. Pursuant to an Addendum to Employment Agreement, Ms. Vaknin’s gross monthly salary was decreased to a</w:t>
      </w:r>
      <w:r>
        <w:rPr>
          <w:rFonts w:ascii="Arial" w:cs="Arial" w:eastAsia="Arial" w:hAnsi="Arial"/>
          <w:sz w:val="18"/>
          <w:szCs w:val="18"/>
          <w:i w:val="1"/>
          <w:iCs w:val="1"/>
          <w:color w:val="auto"/>
        </w:rPr>
        <w:t xml:space="preserve"> </w:t>
      </w:r>
      <w:r>
        <w:rPr>
          <w:rFonts w:ascii="Arial" w:cs="Arial" w:eastAsia="Arial" w:hAnsi="Arial"/>
          <w:sz w:val="18"/>
          <w:szCs w:val="18"/>
          <w:color w:val="auto"/>
        </w:rPr>
        <w:t>gross amount of NIS 35,000. Social and fringe benefits due to Ms. Vaknin shall be calculated based upon the updated salary, excluding sick days and vacation days which will continue to be accumulated per her existing employment agreement. Notwithstanding the foregoing, in the event of termination of Ms. Vaknin’s employment, either by us or by Ms. Vaknin, the redemption of accrued vacation days and the payment of prior notice period shall be calculated based on Ms. Vaknin’s salary prior to May 15, 2023.</w:t>
      </w:r>
    </w:p>
    <w:p>
      <w:pPr>
        <w:spacing w:after="0" w:line="192" w:lineRule="exact"/>
        <w:rPr>
          <w:rFonts w:ascii="Arial" w:cs="Arial" w:eastAsia="Arial" w:hAnsi="Arial"/>
          <w:sz w:val="18"/>
          <w:szCs w:val="18"/>
          <w:color w:val="auto"/>
        </w:rPr>
      </w:pPr>
    </w:p>
    <w:p>
      <w:pPr>
        <w:jc w:val="both"/>
        <w:ind w:left="1300" w:hanging="323"/>
        <w:spacing w:after="0" w:line="301" w:lineRule="auto"/>
        <w:tabs>
          <w:tab w:leader="none" w:pos="1300" w:val="left"/>
        </w:tabs>
        <w:numPr>
          <w:ilvl w:val="1"/>
          <w:numId w:val="2"/>
        </w:numPr>
        <w:rPr>
          <w:rFonts w:ascii="Arial" w:cs="Arial" w:eastAsia="Arial" w:hAnsi="Arial"/>
          <w:sz w:val="16"/>
          <w:szCs w:val="16"/>
          <w:color w:val="auto"/>
        </w:rPr>
      </w:pPr>
      <w:r>
        <w:rPr>
          <w:rFonts w:ascii="Arial" w:cs="Arial" w:eastAsia="Arial" w:hAnsi="Arial"/>
          <w:sz w:val="16"/>
          <w:szCs w:val="16"/>
          <w:i w:val="1"/>
          <w:iCs w:val="1"/>
          <w:color w:val="auto"/>
        </w:rPr>
        <w:t>Simon Sharon, CTO and General Manager</w:t>
      </w:r>
      <w:r>
        <w:rPr>
          <w:rFonts w:ascii="Arial" w:cs="Arial" w:eastAsia="Arial" w:hAnsi="Arial"/>
          <w:sz w:val="16"/>
          <w:szCs w:val="16"/>
          <w:color w:val="auto"/>
        </w:rPr>
        <w:t>. Pursuant to an Addendum to Employment Agreement, Mr. Sharon’s gross monthly salary</w:t>
      </w:r>
      <w:r>
        <w:rPr>
          <w:rFonts w:ascii="Arial" w:cs="Arial" w:eastAsia="Arial" w:hAnsi="Arial"/>
          <w:sz w:val="16"/>
          <w:szCs w:val="16"/>
          <w:i w:val="1"/>
          <w:iCs w:val="1"/>
          <w:color w:val="auto"/>
        </w:rPr>
        <w:t xml:space="preserve"> </w:t>
      </w:r>
      <w:r>
        <w:rPr>
          <w:rFonts w:ascii="Arial" w:cs="Arial" w:eastAsia="Arial" w:hAnsi="Arial"/>
          <w:sz w:val="16"/>
          <w:szCs w:val="16"/>
          <w:color w:val="auto"/>
        </w:rPr>
        <w:t>was decreased to a gross amount of NIS 44,496. Social and fringe benefits due to Mr. Sharon shall be calculated based upon the updated salary, excluding sick days and vacation days which will continue to be accumulated per his existing employment agreement. Notwithstanding the foregoing, in the event of termination of Mr. Sharon’s employment, either by us or by Mr. Sharon,</w:t>
      </w:r>
    </w:p>
    <w:p>
      <w:pPr>
        <w:sectPr>
          <w:pgSz w:w="11900" w:h="16838" w:orient="portrait"/>
          <w:cols w:equalWidth="0" w:num="1">
            <w:col w:w="10920"/>
          </w:cols>
          <w:pgMar w:left="480" w:top="823" w:right="499" w:bottom="0" w:gutter="0" w:footer="0" w:header="0"/>
        </w:sectPr>
      </w:pPr>
    </w:p>
    <w:bookmarkStart w:id="6" w:name="page7"/>
    <w:bookmarkEnd w:id="6"/>
    <w:p>
      <w:pPr>
        <w:ind w:left="340"/>
        <w:spacing w:after="0" w:line="277" w:lineRule="auto"/>
        <w:rPr>
          <w:sz w:val="20"/>
          <w:szCs w:val="20"/>
          <w:color w:val="auto"/>
        </w:rPr>
      </w:pPr>
      <w:r>
        <w:rPr>
          <w:rFonts w:ascii="Arial" w:cs="Arial" w:eastAsia="Arial" w:hAnsi="Arial"/>
          <w:sz w:val="18"/>
          <w:szCs w:val="18"/>
          <w:color w:val="auto"/>
        </w:rPr>
        <w:t>the redemption of accrued vacation days and the payment of prior notice period shall be calculated based on Mr. Sharon’s salary prior to May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-293370</wp:posOffset>
            </wp:positionV>
            <wp:extent cx="7132320" cy="14744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74470"/>
                    </a:xfrm>
                    <a:prstGeom prst="rect">
                      <a:avLst/>
                    </a:prstGeom>
                    <a:noFill/>
                  </pic:spPr>
                </pic:pic>
              </a:graphicData>
            </a:graphic>
          </wp:anchor>
        </w:drawing>
      </w:r>
    </w:p>
    <w:p>
      <w:pPr>
        <w:spacing w:after="0" w:line="150" w:lineRule="exact"/>
        <w:rPr>
          <w:sz w:val="20"/>
          <w:szCs w:val="20"/>
          <w:color w:val="auto"/>
        </w:rPr>
      </w:pPr>
    </w:p>
    <w:p>
      <w:pPr>
        <w:jc w:val="both"/>
        <w:ind w:left="340" w:hanging="323"/>
        <w:spacing w:after="0" w:line="25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Eyal Morag, CMO</w:t>
      </w:r>
      <w:r>
        <w:rPr>
          <w:rFonts w:ascii="Arial" w:cs="Arial" w:eastAsia="Arial" w:hAnsi="Arial"/>
          <w:sz w:val="18"/>
          <w:szCs w:val="18"/>
          <w:color w:val="auto"/>
        </w:rPr>
        <w:t>. Pursuant to an Addendum to Employment Agreement, Dr. Morag’s gross monthly salary was decreased to a gross</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NIS 49,440. Social and fringe benefits due to Dr. Morag shall be calculated based upon the updated salary, excluding sick days and vacation days which will continue to be accumulated per his existing employment agreement. Notwithstanding the foregoing, in the event of termination of Dr. Morag’s employment, either by us or by Dr. Morag, the redemption of accrued vacation days and the payment of prior notice period shall be calculated based on Dr. Morag’s salary prior to May 15, 2023. Pursuant to a separate Addendum to Employment Agreement, the advance notice period upon termination of Dr. Morag’s Employment Agreement was shortened to ninety days.</w:t>
      </w:r>
    </w:p>
    <w:p>
      <w:pPr>
        <w:spacing w:after="0" w:line="35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1440" w:top="125" w:right="499" w:bottom="1440" w:gutter="0" w:footer="0" w:header="0"/>
        </w:sectPr>
      </w:pPr>
    </w:p>
    <w:bookmarkStart w:id="7" w:name="page8"/>
    <w:bookmarkEnd w:id="7"/>
    <w:p>
      <w:pPr>
        <w:ind w:left="660" w:hanging="331"/>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9965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9965055"/>
                    </a:xfrm>
                    <a:prstGeom prst="rect">
                      <a:avLst/>
                    </a:prstGeom>
                    <a:noFill/>
                  </pic:spPr>
                </pic:pic>
              </a:graphicData>
            </a:graphic>
          </wp:anchor>
        </w:drawing>
        <w:t>The independent members of the Board of Directors have agreed to a suspension of their director fees, with reinstatement of such fees to be determined.</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Freeze on new hires.</w:t>
      </w:r>
    </w:p>
    <w:p>
      <w:pPr>
        <w:spacing w:after="0" w:line="225" w:lineRule="exact"/>
        <w:rPr>
          <w:rFonts w:ascii="Arial" w:cs="Arial" w:eastAsia="Arial" w:hAnsi="Arial"/>
          <w:sz w:val="18"/>
          <w:szCs w:val="18"/>
          <w:color w:val="auto"/>
        </w:rPr>
      </w:pPr>
    </w:p>
    <w:p>
      <w:pPr>
        <w:jc w:val="both"/>
        <w:ind w:left="660" w:hanging="331"/>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 employee headcount in both the US and Israel offices which are not directly involved in the research &amp; development and/or regulatory process of LIBERTY, while retaining research &amp; development and clinical-related employees to support the completion of the V&amp;V and production of LIBERTY systems.</w:t>
      </w:r>
    </w:p>
    <w:p>
      <w:pPr>
        <w:spacing w:after="0" w:line="183"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Professor Moshe Shoham, a co-founder of the Company and currently a member of our Scientific Advisory Board (“SAB”), waived his SAB fees, with fees payable to the remaining SAB members to be restructured.</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highlight w:val="white"/>
        </w:rPr>
        <w:t>Postpone CE activities for the LIBERTY device.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expect that the savings generated from such cost-reduction activities will enable us to continue the V&amp;V and first-in-human cases planned in Brazil or elsewhere, through September 30, 2023, while we continue to seek new sources of financings to stabilize our finances.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highlight w:val="white"/>
        </w:rPr>
        <w:t>First-In-Human Clinical Cases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recently announced that we have initiated preparations for potential First-In-Human cases in Brazil, by engaging with interventional radiologist Prof. Francisco Cesar Carnevale. The engagement with Prof. Carnevale, from University of Sao Paulo Medical School Hospital, is expected to support our intention to conduct a first-in-human clinical trial in Brazil as part of our ongoing clinical and regulatory efforts. The potential clinical cases are expected to commence upon completion of the V&amp;V process of our LIBERTY Robotic system, as well as obtaining the necessary regulatory approvals to perform those cases.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highlight w:val="white"/>
        </w:rPr>
        <w:t>We are also exploring options to conduct First-In-Human trials or cases in other places where the regulatory laws allow.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highlight w:val="white"/>
        </w:rPr>
        <w:t>Catheterization Milestone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highlight w:val="white"/>
        </w:rPr>
        <w:t>On May 3, 2023, we announced that the LIBERTY Robotic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8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highlight w:val="white"/>
        </w:rPr>
        <w:t>Relating to 48 of such catheterizations, a team of six leading European interventional radiologists used the LIBERTY</w:t>
      </w:r>
      <w:r>
        <w:rPr>
          <w:rFonts w:ascii="Arial" w:cs="Arial" w:eastAsia="Arial" w:hAnsi="Arial"/>
          <w:sz w:val="29"/>
          <w:szCs w:val="29"/>
          <w:color w:val="auto"/>
          <w:highlight w:val="white"/>
          <w:vertAlign w:val="superscript"/>
        </w:rPr>
        <w:t>®</w:t>
      </w:r>
      <w:r>
        <w:rPr>
          <w:rFonts w:ascii="Arial" w:cs="Arial" w:eastAsia="Arial" w:hAnsi="Arial"/>
          <w:sz w:val="18"/>
          <w:szCs w:val="18"/>
          <w:color w:val="auto"/>
          <w:highlight w:val="white"/>
        </w:rPr>
        <w:t xml:space="preserve"> Robotic system and achieved a 100% success rate in an extensive pre-clinical animal study, held at a leading European-based research lab. The team of radiologists utilized the system and performed a total of 48 catheterizations to pre-determined vascular targets including distal branches of hepatic, gastric, splenic, mesenteric, renal, and hypogastric arteries.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additional information related to our business and operations, please refer to the reports incorporated herein by reference, including our Annual Report on Form 10-K for the year ended December 31, 2022 as described under the caption “Incorporation of Documents by Reference” on page S-13 of this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highlight w:val="white"/>
        </w:rPr>
        <w:t>Our Company was incorporated on August 2, 1988 in the State of Delaware under the name Cellular Transplants, Inc. The original Certificate of Incorporation was restated on February 14, 1992 to change the name of the Company to CytoTheraputics, Inc. On May 24, 2000, the Certificate of Incorporation as restated was further amended to change the name of the Company to StemCells, Inc. On November 28, 2016, C&amp;RD Israel Ltd., a wholly-owned subsidiary of the Company, completed its merger with and into Microbot Medical Ltd., an Israeli corporation, with Microbot Israel Ltd. surviving as a wholly-owned subsidiary of the Company, or the Merger. Prior to the Merger, the Company was a biopharmaceutical company that operated in one segment: the research, development, and commercialization of stem cell therapeutics and related technologies. Immediately following the closing of the Merger, the business of Microbot Medical Ltd. became our sole focus. In connection with the Merger, we also changed our name from StemCells, Inc. to Microbot Medical Inc. On November 29, 2016, the stock of the Company began trading on the Nasdaq Capital Market under the symbol “MBOT”.</w:t>
      </w:r>
    </w:p>
    <w:p>
      <w:pPr>
        <w:spacing w:after="0" w:line="1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Our principal executive offices are located at 25 Recreation Park Drive, Unit 108, Hingham, Massachusetts 02043. Microbot also has an executive office at 6 Hayozma Street, Yoqneam, P.O.B. 242, Israel 2069204. Our telephone number is (781) 875-3605. We maintain an Internet website at </w:t>
      </w:r>
      <w:r>
        <w:rPr>
          <w:rFonts w:ascii="Arial" w:cs="Arial" w:eastAsia="Arial" w:hAnsi="Arial"/>
          <w:sz w:val="16"/>
          <w:szCs w:val="16"/>
          <w:i w:val="1"/>
          <w:iCs w:val="1"/>
          <w:color w:val="auto"/>
        </w:rPr>
        <w:t>www.microbotmedical.com</w:t>
      </w:r>
      <w:r>
        <w:rPr>
          <w:rFonts w:ascii="Arial" w:cs="Arial" w:eastAsia="Arial" w:hAnsi="Arial"/>
          <w:sz w:val="16"/>
          <w:szCs w:val="16"/>
          <w:color w:val="auto"/>
        </w:rPr>
        <w:t>. The information contained on, connected to or that can be accessed via our website is not part of this prospectus supplement. We have included our website address in this prospectus supplement as an inactive textual reference only and not as an active hyperlink.</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Annual Reports on Form 10-K, Quarterly Reports on Form 10-Q, Current Reports on Form 8-K and all amendments to those reports filed or furnished pursuant to Section 13(a) or 15(d) of the Exchange Act, are available free of charge through the investor relations page of our internet website as soon as reasonably practicable after we electronically file such material with, or furnish it to,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“smaller reporting company” as defined in the Exchange Act, and have elected to take advantage of certain of the scaled disclosures available to smaller reporting companies, including certain of the reduced disclosure obligations in the registration statement of which this prospectus supplement is a part. As a result, the information that we provide to our stockholders may be different than you might receive from other public reporting companies in which you hold equity interests.</w:t>
      </w:r>
    </w:p>
    <w:p>
      <w:pPr>
        <w:sectPr>
          <w:pgSz w:w="11900" w:h="16838" w:orient="portrait"/>
          <w:cols w:equalWidth="0" w:num="1">
            <w:col w:w="10920"/>
          </w:cols>
          <w:pgMar w:left="480" w:top="827" w:right="499" w:bottom="40" w:gutter="0" w:footer="0" w:header="0"/>
        </w:sectPr>
      </w:pPr>
    </w:p>
    <w:bookmarkStart w:id="8" w:name="page9"/>
    <w:bookmarkEnd w:id="8"/>
    <w:p>
      <w:pPr>
        <w:jc w:val="center"/>
        <w:ind w:right="19"/>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36830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018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184130"/>
                    </a:xfrm>
                    <a:prstGeom prst="rect">
                      <a:avLst/>
                    </a:prstGeom>
                    <a:noFill/>
                  </pic:spPr>
                </pic:pic>
              </a:graphicData>
            </a:graphic>
          </wp:anchor>
        </w:drawing>
        <w:t>THE OFFERING</w:t>
      </w:r>
    </w:p>
    <w:p>
      <w:pPr>
        <w:sectPr>
          <w:pgSz w:w="11900" w:h="16838" w:orient="portrait"/>
          <w:cols w:equalWidth="0" w:num="1">
            <w:col w:w="10920"/>
          </w:cols>
          <w:pgMar w:left="480" w:top="823" w:right="499" w:bottom="37"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Offered in This Offering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975,000 shares of our common stock, par value $0.01 per share</w:t>
      </w:r>
    </w:p>
    <w:p>
      <w:pPr>
        <w:spacing w:after="0" w:line="200" w:lineRule="exact"/>
        <w:rPr>
          <w:sz w:val="20"/>
          <w:szCs w:val="20"/>
          <w:color w:val="auto"/>
        </w:rPr>
      </w:pPr>
    </w:p>
    <w:p>
      <w:pPr>
        <w:sectPr>
          <w:pgSz w:w="11900" w:h="16838" w:orient="portrait"/>
          <w:cols w:equalWidth="0" w:num="2">
            <w:col w:w="4200" w:space="720"/>
            <w:col w:w="6000"/>
          </w:cols>
          <w:pgMar w:left="480" w:top="823" w:right="499" w:bottom="37"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Pre-Funded Warrants Offering in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offering pre-funded warrants to purchase 234,500 shares of common stock in lieu of shares of common stock to the investor whose purchase of shares of common stock in this offering would otherwise result in the investor, together with its affiliates, beneficially owning more than 4.99% (or, at the election of the purchaser, 9.99%) of our outstanding common stock immediately following the consummation of this offering. The purchase price of each pre-funded warrant is equal to the price at which a share of common stock is sold to the public in this offering, minus $0.0001, and the exercise price of each pre-funded warrant is $0.0001 per share. Each pre-funded warrant will be exercisable immediately and may be exercised at any time until all of the pre-funded warrants are exercised in full.</w:t>
      </w:r>
    </w:p>
    <w:p>
      <w:pPr>
        <w:spacing w:after="0" w:line="182" w:lineRule="exact"/>
        <w:rPr>
          <w:sz w:val="20"/>
          <w:szCs w:val="20"/>
          <w:color w:val="auto"/>
        </w:rPr>
      </w:pPr>
    </w:p>
    <w:p>
      <w:pPr>
        <w:sectPr>
          <w:pgSz w:w="11900" w:h="16838" w:orient="portrait"/>
          <w:cols w:equalWidth="0" w:num="2">
            <w:col w:w="4200" w:space="720"/>
            <w:col w:w="6000"/>
          </w:cols>
          <w:pgMar w:left="480" w:top="823" w:right="499" w:bottom="37" w:gutter="0" w:footer="0" w:header="0"/>
          <w:type w:val="continuous"/>
        </w:sectPr>
      </w:pPr>
    </w:p>
    <w:p>
      <w:pPr>
        <w:jc w:val="both"/>
        <w:ind w:left="4920"/>
        <w:spacing w:after="0" w:line="263" w:lineRule="auto"/>
        <w:rPr>
          <w:sz w:val="20"/>
          <w:szCs w:val="20"/>
          <w:color w:val="auto"/>
        </w:rPr>
      </w:pPr>
      <w:r>
        <w:rPr>
          <w:rFonts w:ascii="Arial" w:cs="Arial" w:eastAsia="Arial" w:hAnsi="Arial"/>
          <w:sz w:val="18"/>
          <w:szCs w:val="18"/>
          <w:color w:val="auto"/>
        </w:rPr>
        <w:t>This prospectus supplement and accompanying prospectus also relate to the offering of the shares of common stock issuable upon exercise of the pre-funded warrants.</w:t>
      </w:r>
    </w:p>
    <w:p>
      <w:pPr>
        <w:sectPr>
          <w:pgSz w:w="11900" w:h="16838" w:orient="portrait"/>
          <w:cols w:equalWidth="0" w:num="1">
            <w:col w:w="10920"/>
          </w:cols>
          <w:pgMar w:left="480" w:top="823" w:right="499" w:bottom="37" w:gutter="0" w:footer="0" w:header="0"/>
          <w:type w:val="continuous"/>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Common Stock Outstanding Before This Offering</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8,786,197 shares.</w:t>
      </w:r>
    </w:p>
    <w:p>
      <w:pPr>
        <w:spacing w:after="0" w:line="211" w:lineRule="exact"/>
        <w:rPr>
          <w:sz w:val="20"/>
          <w:szCs w:val="20"/>
          <w:color w:val="auto"/>
        </w:rPr>
      </w:pPr>
    </w:p>
    <w:p>
      <w:pPr>
        <w:sectPr>
          <w:pgSz w:w="11900" w:h="16838" w:orient="portrait"/>
          <w:cols w:equalWidth="0" w:num="2">
            <w:col w:w="4200" w:space="720"/>
            <w:col w:w="6000"/>
          </w:cols>
          <w:pgMar w:left="480" w:top="823" w:right="499" w:bottom="37"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9,761,197 shares assuming no exercise of the pre-funded warrants.</w:t>
      </w:r>
    </w:p>
    <w:p>
      <w:pPr>
        <w:spacing w:after="0" w:line="200" w:lineRule="exact"/>
        <w:rPr>
          <w:sz w:val="20"/>
          <w:szCs w:val="20"/>
          <w:color w:val="auto"/>
        </w:rPr>
      </w:pPr>
    </w:p>
    <w:p>
      <w:pPr>
        <w:sectPr>
          <w:pgSz w:w="11900" w:h="16838" w:orient="portrait"/>
          <w:cols w:equalWidth="0" w:num="2">
            <w:col w:w="4200" w:space="720"/>
            <w:col w:w="6000"/>
          </w:cols>
          <w:pgMar w:left="480" w:top="823" w:right="499" w:bottom="37"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estimate the net proceeds from this offering will be approximately $2.31 million after deducting estimated offering expenses payable by us. We currently intend to use the net proceeds from this offering for the continued development,</w:t>
      </w:r>
    </w:p>
    <w:p>
      <w:pPr>
        <w:spacing w:after="0" w:line="1" w:lineRule="exact"/>
        <w:rPr>
          <w:sz w:val="20"/>
          <w:szCs w:val="20"/>
          <w:color w:val="auto"/>
        </w:rPr>
      </w:pPr>
    </w:p>
    <w:p>
      <w:pPr>
        <w:sectPr>
          <w:pgSz w:w="11900" w:h="16838" w:orient="portrait"/>
          <w:cols w:equalWidth="0" w:num="2">
            <w:col w:w="4200" w:space="720"/>
            <w:col w:w="6000"/>
          </w:cols>
          <w:pgMar w:left="480" w:top="823" w:right="499" w:bottom="37" w:gutter="0" w:footer="0" w:header="0"/>
          <w:type w:val="continuous"/>
        </w:sectPr>
      </w:pPr>
    </w:p>
    <w:p>
      <w:pPr>
        <w:jc w:val="both"/>
        <w:ind w:left="4920"/>
        <w:spacing w:after="0" w:line="292" w:lineRule="auto"/>
        <w:rPr>
          <w:sz w:val="20"/>
          <w:szCs w:val="20"/>
          <w:color w:val="auto"/>
        </w:rPr>
      </w:pPr>
      <w:r>
        <w:rPr>
          <w:rFonts w:ascii="Arial" w:cs="Arial" w:eastAsia="Arial" w:hAnsi="Arial"/>
          <w:sz w:val="16"/>
          <w:szCs w:val="16"/>
          <w:color w:val="auto"/>
        </w:rPr>
        <w:t>commercialization and regulatory activities for the LIBERTY</w:t>
      </w:r>
      <w:r>
        <w:rPr>
          <w:rFonts w:ascii="Arial" w:cs="Arial" w:eastAsia="Arial" w:hAnsi="Arial"/>
          <w:sz w:val="12"/>
          <w:szCs w:val="12"/>
          <w:color w:val="auto"/>
        </w:rPr>
        <w:t>®</w:t>
      </w:r>
      <w:r>
        <w:rPr>
          <w:rFonts w:ascii="Arial" w:cs="Arial" w:eastAsia="Arial" w:hAnsi="Arial"/>
          <w:sz w:val="16"/>
          <w:szCs w:val="16"/>
          <w:color w:val="auto"/>
        </w:rPr>
        <w:t xml:space="preserve"> Robotic System, expansion and development of additional applications derived from our existing intellectual property portfolio,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 See “Use of Proceeds” on page S-8.</w:t>
      </w:r>
    </w:p>
    <w:p>
      <w:pPr>
        <w:sectPr>
          <w:pgSz w:w="11900" w:h="16838" w:orient="portrait"/>
          <w:cols w:equalWidth="0" w:num="1">
            <w:col w:w="10920"/>
          </w:cols>
          <w:pgMar w:left="480" w:top="823" w:right="499" w:bottom="37" w:gutter="0" w:footer="0" w:header="0"/>
          <w:type w:val="continuous"/>
        </w:sectPr>
      </w:pP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Investing in our securities involves a high degree of risk. Before you decide to invest in our common stock, you should carefully read this prospectus supplement in its entirety and carefully consider the risks and uncertainties described in “Risk Factors” beginning on page S-6 of this prospectus supplement, beginning on page 4 of the accompanying base prospectus and in our Annual Report on Form 10-K for the fiscal year ended December 31, 2022, as such risk factors may be amended, updated or modified periodically in our reports filed with the SEC, and the financial data and related notes and the reports incorporated by reference herein and therein.</w:t>
      </w:r>
    </w:p>
    <w:p>
      <w:pPr>
        <w:spacing w:after="0" w:line="181" w:lineRule="exact"/>
        <w:rPr>
          <w:sz w:val="20"/>
          <w:szCs w:val="20"/>
          <w:color w:val="auto"/>
        </w:rPr>
      </w:pPr>
    </w:p>
    <w:p>
      <w:pPr>
        <w:sectPr>
          <w:pgSz w:w="11900" w:h="16838" w:orient="portrait"/>
          <w:cols w:equalWidth="0" w:num="2">
            <w:col w:w="4200" w:space="720"/>
            <w:col w:w="6000"/>
          </w:cols>
          <w:pgMar w:left="480" w:top="823" w:right="499" w:bottom="37" w:gutter="0" w:footer="0" w:header="0"/>
          <w:type w:val="continuous"/>
        </w:sectPr>
      </w:pPr>
    </w:p>
    <w:p>
      <w:pPr>
        <w:spacing w:after="0"/>
        <w:rPr>
          <w:sz w:val="20"/>
          <w:szCs w:val="20"/>
          <w:color w:val="auto"/>
        </w:rPr>
      </w:pPr>
      <w:r>
        <w:rPr>
          <w:rFonts w:ascii="Arial" w:cs="Arial" w:eastAsia="Arial" w:hAnsi="Arial"/>
          <w:sz w:val="16"/>
          <w:szCs w:val="16"/>
          <w:color w:val="auto"/>
        </w:rPr>
        <w:t>Nasdaq Capital Market Symbol</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8"/>
          <w:szCs w:val="18"/>
          <w:color w:val="auto"/>
        </w:rPr>
        <w:t>“MBOT”. There is no established public trading market for the pre-funded warrants, and we do not expect a market to develop. We do not intend to list the pre-funded warrants on any securities exchange or nationally recognized trading system. Without an active trading market, the liquidity of the pre-funded warrants will be limited.</w:t>
      </w:r>
    </w:p>
    <w:p>
      <w:pPr>
        <w:spacing w:after="0" w:line="188" w:lineRule="exact"/>
        <w:rPr>
          <w:sz w:val="20"/>
          <w:szCs w:val="20"/>
          <w:color w:val="auto"/>
        </w:rPr>
      </w:pPr>
    </w:p>
    <w:p>
      <w:pPr>
        <w:sectPr>
          <w:pgSz w:w="11900" w:h="16838" w:orient="portrait"/>
          <w:cols w:equalWidth="0" w:num="2">
            <w:col w:w="4200" w:space="720"/>
            <w:col w:w="6000"/>
          </w:cols>
          <w:pgMar w:left="480" w:top="823" w:right="499" w:bottom="37" w:gutter="0" w:footer="0" w:header="0"/>
          <w:type w:val="continuous"/>
        </w:sectPr>
      </w:pPr>
    </w:p>
    <w:p>
      <w:pPr>
        <w:ind w:firstLine="648"/>
        <w:spacing w:after="0" w:line="277" w:lineRule="auto"/>
        <w:rPr>
          <w:sz w:val="20"/>
          <w:szCs w:val="20"/>
          <w:color w:val="auto"/>
        </w:rPr>
      </w:pPr>
      <w:r>
        <w:rPr>
          <w:rFonts w:ascii="Arial" w:cs="Arial" w:eastAsia="Arial" w:hAnsi="Arial"/>
          <w:sz w:val="18"/>
          <w:szCs w:val="18"/>
          <w:color w:val="auto"/>
        </w:rPr>
        <w:t>The number of shares of common stock to be outstanding immediately after this offering is based on 8,786,197 shares of our common stock outstanding as of May 23, 2023 and excludes the following securities outstanding on May 23, 2023:</w:t>
      </w:r>
    </w:p>
    <w:p>
      <w:pPr>
        <w:spacing w:after="0" w:line="170" w:lineRule="exact"/>
        <w:rPr>
          <w:sz w:val="20"/>
          <w:szCs w:val="20"/>
          <w:color w:val="auto"/>
        </w:rPr>
      </w:pPr>
    </w:p>
    <w:p>
      <w:pPr>
        <w:ind w:left="1300" w:hanging="323"/>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1,556,179 shares of our common stock issuable upon the exercise of outstanding stock options, with exercise prices ranging from approximately $0.005 to $19.35 and having a weighted-average exercise price of $7.14 per share;</w:t>
      </w:r>
    </w:p>
    <w:p>
      <w:pPr>
        <w:spacing w:after="0" w:line="170" w:lineRule="exact"/>
        <w:rPr>
          <w:rFonts w:ascii="Arial" w:cs="Arial" w:eastAsia="Arial" w:hAnsi="Arial"/>
          <w:sz w:val="18"/>
          <w:szCs w:val="18"/>
          <w:color w:val="auto"/>
        </w:rPr>
      </w:pPr>
    </w:p>
    <w:p>
      <w:pPr>
        <w:ind w:left="1300" w:hanging="323"/>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113,335 shares of our common stock reserved for future grant under our 2017 Equity Incentive Plan;</w:t>
      </w:r>
    </w:p>
    <w:p>
      <w:pPr>
        <w:spacing w:after="0" w:line="225" w:lineRule="exact"/>
        <w:rPr>
          <w:rFonts w:ascii="Arial" w:cs="Arial" w:eastAsia="Arial" w:hAnsi="Arial"/>
          <w:sz w:val="18"/>
          <w:szCs w:val="18"/>
          <w:color w:val="auto"/>
        </w:rPr>
      </w:pPr>
    </w:p>
    <w:p>
      <w:pPr>
        <w:ind w:left="1300" w:hanging="323"/>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514,279 shares of our common stock reserved for future grant under our 2020 Omnibus Performance Award Plan;</w:t>
      </w:r>
    </w:p>
    <w:p>
      <w:pPr>
        <w:spacing w:after="0" w:line="225" w:lineRule="exact"/>
        <w:rPr>
          <w:rFonts w:ascii="Arial" w:cs="Arial" w:eastAsia="Arial" w:hAnsi="Arial"/>
          <w:sz w:val="18"/>
          <w:szCs w:val="18"/>
          <w:color w:val="auto"/>
        </w:rPr>
      </w:pPr>
    </w:p>
    <w:p>
      <w:pPr>
        <w:jc w:val="both"/>
        <w:ind w:left="1300" w:hanging="323"/>
        <w:spacing w:after="0" w:line="263"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1,022,495 shares of our common stock issuable upon the exercise of outstanding preferred investment options expiring in October 2027, originally at an exercise price per share of $4.64 but amended to a reduced exercise price per share of $2.20 in connection with this offering;</w:t>
      </w:r>
    </w:p>
    <w:p>
      <w:pPr>
        <w:spacing w:after="0" w:line="183" w:lineRule="exact"/>
        <w:rPr>
          <w:rFonts w:ascii="Arial" w:cs="Arial" w:eastAsia="Arial" w:hAnsi="Arial"/>
          <w:sz w:val="18"/>
          <w:szCs w:val="18"/>
          <w:color w:val="auto"/>
        </w:rPr>
      </w:pPr>
    </w:p>
    <w:p>
      <w:pPr>
        <w:jc w:val="both"/>
        <w:ind w:left="1300" w:hanging="323"/>
        <w:spacing w:after="0" w:line="263"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1,022,495 shares of our common stock issuable upon the exercise of outstanding preferred investment options, originally expiring in October 2024 with an exercise price per share of $4.64, but amended to expire in October 2027 at a reduced exercise price per share of $2.20 in connection with this offering;</w:t>
      </w:r>
    </w:p>
    <w:p>
      <w:pPr>
        <w:sectPr>
          <w:pgSz w:w="11900" w:h="16838" w:orient="portrait"/>
          <w:cols w:equalWidth="0" w:num="1">
            <w:col w:w="10920"/>
          </w:cols>
          <w:pgMar w:left="480" w:top="823" w:right="499" w:bottom="37" w:gutter="0" w:footer="0" w:header="0"/>
          <w:type w:val="continuous"/>
        </w:sectPr>
      </w:pPr>
    </w:p>
    <w:bookmarkStart w:id="10" w:name="page11"/>
    <w:bookmarkEnd w:id="10"/>
    <w:p>
      <w:pPr>
        <w:ind w:left="1300" w:hanging="323"/>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93,262 shares of our common stock issuable upon the exercise of outstanding warrants expiring in June 2023, at an exercise price per share of $13.13;</w:t>
      </w:r>
    </w:p>
    <w:p>
      <w:pPr>
        <w:spacing w:after="0" w:line="170" w:lineRule="exact"/>
        <w:rPr>
          <w:rFonts w:ascii="Arial" w:cs="Arial" w:eastAsia="Arial" w:hAnsi="Arial"/>
          <w:sz w:val="18"/>
          <w:szCs w:val="18"/>
          <w:color w:val="auto"/>
        </w:rPr>
      </w:pPr>
    </w:p>
    <w:p>
      <w:pPr>
        <w:ind w:left="1300" w:hanging="323"/>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45,045 shares of our common stock issuable upon the exercise of outstanding warrants expiring in June 2023, at an exercise price per share of $13.88;</w:t>
      </w:r>
    </w:p>
    <w:p>
      <w:pPr>
        <w:spacing w:after="0" w:line="170" w:lineRule="exact"/>
        <w:rPr>
          <w:rFonts w:ascii="Arial" w:cs="Arial" w:eastAsia="Arial" w:hAnsi="Arial"/>
          <w:sz w:val="18"/>
          <w:szCs w:val="18"/>
          <w:color w:val="auto"/>
        </w:rPr>
      </w:pPr>
    </w:p>
    <w:p>
      <w:pPr>
        <w:ind w:left="1300" w:hanging="323"/>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51,125 shares of our common stock issuable upon the exercise of outstanding warrants expiring in October 2027, at an exercise price per share of $6.11; and</w:t>
      </w:r>
    </w:p>
    <w:p>
      <w:pPr>
        <w:spacing w:after="0" w:line="170" w:lineRule="exact"/>
        <w:rPr>
          <w:rFonts w:ascii="Arial" w:cs="Arial" w:eastAsia="Arial" w:hAnsi="Arial"/>
          <w:sz w:val="18"/>
          <w:szCs w:val="18"/>
          <w:color w:val="auto"/>
        </w:rPr>
      </w:pPr>
    </w:p>
    <w:p>
      <w:pPr>
        <w:ind w:left="1300" w:hanging="323"/>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32,778 shares of our common stock issuable upon the exercise of outstanding warrants expiring in November 2026, at an exercise price per share of $2.75.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-1527810</wp:posOffset>
            </wp:positionV>
            <wp:extent cx="7132320" cy="1885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88595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this prospectus supplement assumes no exercise of the pre-funded warrants and placement agent warrants.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125" w:right="4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Investing in our shares of common stock involves a high degree of risk. You should carefully consider the risks, uncertainties and other factors described in our most recent Annual Report on Form 10-K, as supplemented and updated by subsequent Quarterly Reports on Form 10-Q and Current Reports on Form 8-K that we have filed or will filed with the SEC, and in other documents incorporated by reference to our filings with the SEC pursuant to Sections 13(a), 13(c), 14 or 15(d) of the Exchange Act and all other information contained or incorporated by reference in this prospectus supplement and the accompanying base prospectus, including our consolidated financial statements and the related notes, before investing in our common stock. If any of these risks materialize, our business, financial condition or results of operations could be materially harmed. In that case, the trading price of our common stock could decline, and you may lose some or all of your investment.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securities sold in this offering, you will incur immediate dilution.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Since the price per share of our common stock being offered is higher than the pro forma as adjusted net tangible book value per share of our common stock after giving effect to this offering and the registered direct offering we consummated on May 23, 2023, you will suffer dilution with respect to the pro forma as adjusted net tangible book value of the shares of common stock you purchase in this offering. Based on a public offering price of $2.20 per share and our pro forma net tangible book value as of March 31, 2023, if you purchase securities in this offering, you will suffer immediate dilution of $1.36 per share with respect to the net tangible book value of the common stock. You may experience additional dilution upon exercise of the outstanding stock options and other equity awards that may be granted under our equity incentive plans, exercise of outstanding warrants and when we otherwise issue additional shares of our common stock. For more information, see “Dilution.”</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 including in connection with pending litigation.</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may not apply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or as otherwise provided in our investment policies in effect from time to time. These investments may not yield a favorable return to our stockholders.</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securities purchase agreement (“SPA”) related to our June 8, 2017 equity financing (the “Financing”), of which the Plaintiffs participated, and fraudulently induced Plaintiffs into signing the SPA. The complaint seeks rescission of the SPA and return of the Plaintiffs’ $6.75 million purchase price with respect to the Financing. We are currently in the discovery phase. Management is unable to assess the likelihood that we will succeed at trial with respect to the SPA or the Financing, having previously lost another lawsuit with respect to the Financing. Our failure to apply the net proceeds from this offering effectively, including to any adverse outcome with respect to the defense or settlement of litigation, could have a material adverse effect on our business, delay our product development and cause the price of our common stock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may be future sales of our securities or other dilution of our equity, which may adversely affect the market price of our common stock.</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generally not restricted from issuing additional common stock, including any securities that are convertible into or exchangeable for, or that represent the right to receive, common stock; however, we agreed as part of this offering to not issue any common stock or common stock equivalents, or file any registration statement or amendments or supplements thereto, for a period of 45 days from the closing of this offering. The market price of our common stock could decline as a result of sales of common stock or securities that are convertible into or exchangeable for, or that represent the right to receive, common stock after this offering or the perception that such sales could occur.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spacing w:after="0" w:line="263" w:lineRule="auto"/>
        <w:rPr>
          <w:sz w:val="20"/>
          <w:szCs w:val="20"/>
          <w:color w:val="auto"/>
        </w:rPr>
      </w:pPr>
      <w:r>
        <w:rPr>
          <w:rFonts w:ascii="Arial" w:cs="Arial" w:eastAsia="Arial" w:hAnsi="Arial"/>
          <w:sz w:val="18"/>
          <w:szCs w:val="18"/>
          <w:b w:val="1"/>
          <w:bCs w:val="1"/>
          <w:i w:val="1"/>
          <w:iCs w:val="1"/>
          <w:color w:val="auto"/>
        </w:rPr>
        <w:t>Even if this offering is successful, we will need to raise additional capital in the future to remain a going concern, which may not be available on acceptable terms, or at all. Failure to obtain this necessary capital when needed may force us to delay, limit or terminate our product development efforts or other operations.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had significant recurring losses from operations and we do not generate any cash from operations and must raise additional funds in order to continue operating our business. We expect to continue to fund our operations in the future primarily through equity and debt financings, grants from the Israel Innovation Authority and other sources. If additional capital is not available to us when needed or on acceptable terms, we may not be able to continue to operate our business pursuant to our business plan or we may have to discontinue our operations entirely. Based on our cash balance and recurring losses since inception and inadequacy of existing capital resources to fund planned operations during the next 12 months, we will require significant additional funding to continue operations. We received net proceeds of approximately $1.19 million from the registered direct offering we consummated on May 23, 2023, and we will receive net proceeds of approximately $2.31 million from the sale of the securities offered by us in this offering, after deducting the placement agent fees and estimated offering expenses payable by us. We cannot provide assurances that our plans will not change or that changed circumstances will not result in the depletion of our capital resources more rapidly than we currently anticipate. Moreover,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8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Our ability to raise additional funds will depend, in part, on the success of our product development activities, any clinical trials, regulatory events, our ability to identify and enter into in-licensing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we are unable to secure additional funds when needed or on acceptable terms, we may be required to defer, reduce or eliminate significant planned expenditures, restructure, curtail or eliminate some or all of our development programs or other operations, dispose of technology or assets, pursue an acquisition of our company by a third party at a price that may result in a loss on investment for our stockholders, enter into arrangements that may require us to relinquish rights to certain of our product candidates, technologies or potential markets, file for bankruptcy or cease operations altogether. Any of these events could have a material adverse effect on our business, financial condition and results of operations. Moreover, if we are unable to obtain additional funds on a timely basis, there will be substantial doubt about our ability to continue as a going concern and increased risk of insolvency and up to a total loss of investment by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currently plan to invest all available funds, including the proceeds from this offering, and future earnings, if any, in the development and growth of our business. We currently do not anticipate paying any cash dividends on our common stock in the foreseeable future. As a result, a rise in the market price of our common stock, which is uncertain and unpredictable, will be your sole source of potential gain in the foreseeable future and you should not rely on an investment in our common stock for dividend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price in response to various factors, many of which are beyond our control, including the following:</w:t>
      </w:r>
    </w:p>
    <w:p>
      <w:pPr>
        <w:spacing w:after="0" w:line="170"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of our operations and product development efforts;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working capital financing;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of our common stock and decline in demand for our common stock;</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and other external factors;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investor perception of our industry or our prospects;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the securities markets have from time to time experienced significant price and volume fluctuations that are unrelated to the operating performance of particular companies. The COVID-19 pandemic has resulted in significant financial market volatility and uncertainty in the recent past. These market fluctuations may also materially and adversely affect the market price of our common stock. As a result, you may be unable to resell your shares of our common stock at a desired price.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selling the securities offered in this prospectus on a “best efforts” basis and may not be able to sell any of the securities offered herein.</w:t>
      </w:r>
    </w:p>
    <w:p>
      <w:pPr>
        <w:spacing w:after="0" w:line="24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engaged Wainwright to act as placement agent in connection with this offering. While Wainwright will use its reasonable best efforts to arrange for the sale of the securities, they are under no obligation to purchase any of the securities. As a result, there are no firm commitments to purchase any of the securities in this offering. Consequently, there is no guarantee that we will be capable of selling all, or any, of the securities being offered hereby.</w:t>
      </w:r>
    </w:p>
    <w:p>
      <w:pPr>
        <w:sectPr>
          <w:pgSz w:w="11900" w:h="16838" w:orient="portrait"/>
          <w:cols w:equalWidth="0" w:num="1">
            <w:col w:w="11240"/>
          </w:cols>
          <w:pgMar w:left="320" w:top="665" w:right="339" w:bottom="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Risks Related to the Pre-Funded 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intend to apply for any listing of the pre-funded warrants on any exchange or nationally recognized trading system, and we do not expect a market to develop for the pre-funded warrants.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do not intend to apply for any listing of either of the pre-funded warrants on the Nasdaq Capital Market or any other securities exchange or nationally recognized trading system, and we do not expect a market to develop for the pre-funded warrants. Without an active market, the liquidity of the pre-funded warrants will be limited. Further, the existence of the pre-funded warrants may act to reduce both the trading volume and the trading price of our common stock.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Except as otherwise provided in the pre-funded warrants, holders of pre-funded warrants purchased in this offering will have no rights as stockholders of common stock until such holders exercise their pre-funded warrants and acquire our common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pre-funded warrants offered in this offering do not confer any rights of common stock ownership on their holders, such as voting rights, but rather merely represent the right to acquire shares of our common stock at a fixed price. A holder of a pre-funded warrant may exercise the right to acquire a share of common stock and pay a nominal exercise price of $0.0001 at any time. Upon exercise of the pre-funded warrants, the holders thereof will be entitled to exercise the rights of a holder of common stock only as to matters for which the record date occurs after the exercise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receive any additional funds upon the exercise of the pre-funded warrants.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pre-funded warrant may be exercised by way of a cashless exercise, meaning that the holder may not pay a cash purchase price upon exercise, but instead would receive upon such exercise the net number of shares of our common stock determined according to the formula set forth in the pre-funded warrant. Accordingly, we may not receive any additional funds upon the exercise of the pre-funded warrants.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estimate the net proceeds to us from the sale of our common stock in this offering, if any, will be approximately $2.31 million after deducting the placement agent fees and estimated offering expenses payable by us and excluding any proceeds we may receive upon exercise of the pre-funded warrants.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currently intend to use the net proceeds from this offering for the continued development, commercialization and regulatory activities for the</w:t>
      </w:r>
    </w:p>
    <w:p>
      <w:pPr>
        <w:spacing w:after="0" w:line="4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 expansion and development of additional applications derived from our existing intellectual property portfolio,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invest in our securities, you will experience immediate and substantial dilution to the extent of the difference between the amount per share paid in this offering and the net tangible book value per share of our common stock immediately after the offering.</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net tangible book value per share is determined by subtracting our total liabilities from our total tangible assets, which is total assets less intangible assets, and dividing this amount by the number of shares of common stock outstanding. The historical net tangible book value of our common stock as of March 31, 2023 was approximately $4,848,000, or $0.60 per share, based on 8,130,628 shares of our common stock outstanding at March 31, 2023.</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pro forma net tangible book value as of March 31, 2023, was approximately $6,038,912, or approximately $0.69 per share, on a pro forma basis to give effect to the registered direct offering of 655,569 shares of common stock at the offering price of $2.20 per share that closed on May 23, 2023, after deducting the placement agent’s fees and estimated offering expenses payable by us.</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After giving effect to the issuance and sale in this offering of 975,000 shares of common stock at the offering price of $2.20 per share, 234,500 pre-funded warrants at the offering price of $2.1999 and the issuance of shares of common stock underlying the pre-funded warrants upon the exercise thereof, after deducting the estimated placement agent’s fees and estimated offering expenses payable by us, our pro forma as adjusted net tangible book value on March 31, 2023, would have been approximately $8,350,980 or $0.84 per share. This represents an immediate increase in the net tangible book value of $0.15 per share attributable to this offering and an immediate dilution of $1.36 per share to the new investors in this offering.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660"/>
              <w:spacing w:after="0"/>
              <w:rPr>
                <w:sz w:val="20"/>
                <w:szCs w:val="20"/>
                <w:color w:val="auto"/>
              </w:rPr>
            </w:pPr>
            <w:r>
              <w:rPr>
                <w:rFonts w:ascii="Arial" w:cs="Arial" w:eastAsia="Arial" w:hAnsi="Arial"/>
                <w:sz w:val="18"/>
                <w:szCs w:val="18"/>
                <w:color w:val="auto"/>
              </w:rPr>
              <w:t>The following table illustrates the immediate dilution to the new investors:</w:t>
            </w:r>
          </w:p>
        </w:tc>
        <w:tc>
          <w:tcPr>
            <w:tcW w:w="10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6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08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r>
      <w:tr>
        <w:trPr>
          <w:trHeight w:val="216"/>
        </w:trPr>
        <w:tc>
          <w:tcPr>
            <w:tcW w:w="6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Historical net tangible book value per share on March 31, 2023</w:t>
            </w:r>
          </w:p>
        </w:tc>
        <w:tc>
          <w:tcPr>
            <w:tcW w:w="10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0.60</w:t>
            </w:r>
          </w:p>
        </w:tc>
        <w:tc>
          <w:tcPr>
            <w:tcW w:w="11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tangible book value per share on March 31, 2023</w:t>
            </w:r>
          </w:p>
        </w:tc>
        <w:tc>
          <w:tcPr>
            <w:tcW w:w="108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0.69</w:t>
            </w:r>
          </w:p>
        </w:tc>
        <w:tc>
          <w:tcPr>
            <w:tcW w:w="11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this offering</w:t>
            </w:r>
          </w:p>
        </w:tc>
        <w:tc>
          <w:tcPr>
            <w:tcW w:w="108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0.15</w:t>
            </w:r>
          </w:p>
        </w:tc>
        <w:tc>
          <w:tcPr>
            <w:tcW w:w="11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2"/>
        </w:trPr>
        <w:tc>
          <w:tcPr>
            <w:tcW w:w="6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Pro forma as adjusted net tangible book value per share as of March 31, 2023, after giving</w:t>
            </w:r>
          </w:p>
        </w:tc>
        <w:tc>
          <w:tcPr>
            <w:tcW w:w="10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effect to this offering</w:t>
            </w:r>
          </w:p>
        </w:tc>
        <w:tc>
          <w:tcPr>
            <w:tcW w:w="10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0.84</w:t>
            </w:r>
          </w:p>
        </w:tc>
      </w:tr>
      <w:tr>
        <w:trPr>
          <w:trHeight w:val="216"/>
        </w:trPr>
        <w:tc>
          <w:tcPr>
            <w:tcW w:w="6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108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foregoing discussion and table do not take into account further dilution to new investors that could occur upon the exercise of outstanding options or warrants.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above discussion and table are based on 8,130,628, 8,786,197 and 9,995,697 actual, pro forma and pro forma as adjusted shares of our common stock outstanding as of May 23, 2023, respectively, and excludes the following securities outstanding on May 23, 2023:</w:t>
      </w:r>
    </w:p>
    <w:p>
      <w:pPr>
        <w:spacing w:after="0" w:line="146" w:lineRule="exact"/>
        <w:rPr>
          <w:sz w:val="20"/>
          <w:szCs w:val="20"/>
          <w:color w:val="auto"/>
        </w:rPr>
      </w:pPr>
    </w:p>
    <w:p>
      <w:pPr>
        <w:ind w:left="13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1,556,179 shares of our common stock issuable upon the exercise of outstanding stock options, with exercise prices ranging from approximately $0.005 to $19.35 and having a weighted-average exercise price of $7.14 per share;</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113,335 shares of our common stock reserved for future grant under our 2017 Equity Incentive Plan;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514,279 shares of our common stock reserved for future grant under our 2020 Omnibus Performance Award Plan;</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1,022,495 shares of our common stock issuable upon the exercise of outstanding preferred investment options expiring in October 2027, originally at an exercise price per share of $4.64 but amended to a reduced exercise price per share of $2.20 in connection with this offering;</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1,022,495 shares of our common stock issuable upon the exercise of outstanding preferred investment options, originally expiring in October 2024 with an exercise price per share of $4.64, but amended to expire in October 2027 at a reduced exercise price per share of $2.20 in connection with this offering;</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93,262 shares of our common stock issuable upon the exercise of outstanding warrants expiring in June 2023, at an exercise price per share of $13.13;</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45,045 shares of our common stock issuable upon the exercise of outstanding warrants expiring in June 2023, at an exercise price per share of $13.88;</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51,125 shares of our common stock issuable upon the exercise of outstanding warrants expiring in October 2027, at an exercise price per share of $6.11;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32,778 shares of our common stock issuable upon the exercise of outstanding warrants expiring in November 2026, at an exercise price per share of $2.75.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this prospectus supplement assumes no exercise of the pre-funded warrants and placement agent 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DESCRIPTION OF THE SECURITIES WE ARE OFFERING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offering shares of common stock and pre-funded warrants to purchase shares of our common stock. The following description of our shares of common stock and pre-funded warrants to purchase shares of our common stock summarizes the material terms and provisions thereof, including the material terms of the shares of common stock and pre-funded warrants to purchase shares of our common stock we are offering under this prospectus supplement and the accompanying prospectus.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a description of the rights associated with the common stock, see “Description of Common Stock” in the accompanying prospectus. Our common stock is listed on The Nasdaq Capital Market under the symbol “MBOT.” Our transfer agent is Computershare Trust Company, N.A.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The following summary of certain terms and provisions of the pre-funded warrants that are being offered hereby is not complete and is subject to, and qualified in its entirety by, the provisions of the pre-funded warrant, the form of which will be filed as an exhibit to our Current Report on Form 8-K filed on May 24, 2023. Prospective investors should carefully review the terms and provisions of the form of pre-funded warrant for a complete description of the terms and conditions of the pre-funded warrants.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pre-funded warrant will be sold in this offering at a purchase price equal to $2.1999 (equal to the purchase price per share of common stock sold in this offering, minus $0.0001). The purpose of the pre-funded warrants is to enable investors that may have restrictions on their ability to beneficially own more than 4.99% (or, upon election of the holder, 9.99%) of our outstanding common stock following the consummation of this offering the opportunity to make an investment in the Company without triggering their ownership restrictions, by receiving pre-funded warrants in lieu of our common stock which would result in such ownership of more than 4.99% (or 9.99%), and receive the ability to exercise their option to purchase the shares underlying the pre-funded warrants at such nominal price at a later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Price and Duration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pre-funded warrants will have an exercise price of $0.0001 per share. The pre-funded warrants are exercisable immediately upon issuance, and may be exercised at any time until all of the pre-funded warrants are exercised in full. The exercise price is subject to appropriate adjustment in the event of certain stock dividends and distributions, stock splits, stock combinations, reclassifications or similar events affecting our shares of common stock and also upon any distributions of assets, including cash, stock or other property to our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Exercisability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pre-funded warrants will be exercisable, at the option of each holder, in whole or in part by delivering to us a duly executed exercise notice and, at any time a registration statement registering the issuance of the shares of common stock underlying the pre-funded warrants under the Securities Act is effective and available for the issuance of such shares, or an exemption from registration under the Securities Act is available for the issuance of such shares, by payment in full in immediately available funds for the number of common shares purchased upon such exercise.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Cashless Exercise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lieu of making the cash payment otherwise contemplated to be made to us upon exercise of a pre-funded warrant in payment of the aggregate exercise price, the holder may elect instead to receive upon such exercise (either in whole or in part) the net number of shares of common stock determined according to a formula set forth in the pre-funded warrant.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Limitation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holder will not have the right to exercise any portion of the pre-funded warrant if the holder (together with its affiliates) would beneficially own in excess of 4.99% (or 9.99% upon the request of the holder) of the number of common shares outstanding immediately after giving effect to the exercise, as such percentage ownership is determined in accordance with the terms of the pre-funded warrants. However, any holder may increase or decrease such percentage, provided that any increase will not be effective until the 61st day after such election.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Transferability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applicable laws, the pre-funded warrants may be offered for sale, sold, transferred or assigned without our consent.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Fractional Shares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fractional common shares will be issued upon the exercise of the pre-funded warrants. Rather, the number of shares of common stock to be issued will be rounded to the nearest whole number.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Market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no established public trading market for the pre-funded warrants being issued in this offering, and we do not expect a market to develop. We do not intend to apply for listing of the pre-funded warrants on any securities exchange or other nationally recognized trading system. Without an active trading market, the liquidity of the pre-funded warrants will be limited.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as a Shareholder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otherwise provided in the pre-funded warrants or by virtue of such holder’s ownership of our shares of common stock, the holder of a pre-funded warrant does not have the rights or privileges of a holder of our common shares, including any voting rights, until the holder exercises the pre-funded warrant.</w:t>
      </w:r>
    </w:p>
    <w:p>
      <w:pPr>
        <w:sectPr>
          <w:pgSz w:w="11900" w:h="16838" w:orient="portrait"/>
          <w:cols w:equalWidth="0" w:num="1">
            <w:col w:w="11240"/>
          </w:cols>
          <w:pgMar w:left="320" w:top="661" w:right="339" w:bottom="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Fundamental Transaction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event of a fundamental transaction, as described in the pre-funded warrants and generally including any reclassification, reorganization or recapitalization of our shares of common stock, the sale, lease, license, assignment, transfer, conveyance or other disposition of all or substantially all of our properties or assets, our consolidation or merger with or into another person, the acquisition of more than 50% of the outstanding shares of common stock or more than 50% or more of the voting power of the common equity of the Company, or any person or group becoming the beneficial owner of 50% of the voting power represented by our outstanding shares of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Waiver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pre-funded warrants may be modified or amended or the provisions thereof waived with the written consent of our company and the respective holder.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Pursuant to an engagement letter agreement dated May 16, 2023, we have engaged H.C. Wainwright &amp; Co., LLC, referred to herein as Wainwright or the placement agent, to act as our exclusive placement agent in connection with this offering. Under the terms of the engagement letter, Wainwright is not purchasing the securities offered by us in this offering, and is not required to sell any specific number or dollar amount of securities, but will assist us in this offering on a reasonable best efforts basis. The terms of this offering were subject to market conditions and negotiations between us, Wainwright and prospective investors. Wainwright will have no authority to bind us by virtue of the engagement letter. Wainwright may engage sub-agents or selected dealers to assist with this offering. We may not sell the entire amount of our shares of Common Stock offered pursuant to this prospectus supplement.</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placement agent proposes to arrange for the sale of the securities we are offering pursuant to this prospectus supplement and accompanying prospectus to one or more institutional or accredited investors through securities purchase agreements directly between the purchaser and us. We will only sell to such investors who have entered into the securities purchase agreement with us.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Delivery of the securities offered hereby is expected to take place on or about May 24, 2023, subject to satisfaction of customary closing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agreed to pay the placement agent a cash fee of 7.0% of the aggregate gross proceeds raised in the offering, as well as a management fee equal to 1.0% of the gross proceeds raised in this offering. The following table shows the per share and total cash fees we will pay to the placement agent in connection with the sale of our securities offered pursuant to this prospectus supplement and the accompanying prospectus, assuming the purchase of all of the securities offered hereby.</w:t>
      </w:r>
    </w:p>
    <w:p>
      <w:pPr>
        <w:spacing w:after="0" w:line="18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Per Pre-Funded</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Per Share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Warrant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Total</w:t>
            </w:r>
          </w:p>
        </w:tc>
      </w:tr>
      <w:tr>
        <w:trPr>
          <w:trHeight w:val="216"/>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Offering price</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2,660,877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8"/>
                <w:szCs w:val="18"/>
                <w:color w:val="auto"/>
              </w:rPr>
              <w:t>Placement agent’s fees (1)</w:t>
            </w:r>
          </w:p>
        </w:tc>
        <w:tc>
          <w:tcPr>
            <w:tcW w:w="8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0.154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0.153993</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186,261</w:t>
            </w: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us (2)</w:t>
            </w:r>
          </w:p>
        </w:tc>
        <w:tc>
          <w:tcPr>
            <w:tcW w:w="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2.045907</w:t>
            </w:r>
          </w:p>
        </w:tc>
        <w:tc>
          <w:tcPr>
            <w:tcW w:w="4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2,474,616</w:t>
            </w: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we have agreed to reimburse the placement agent for its non-accountable expenses in the amount of $25,000, for its fees and expenses of legal counsel in the amount of up to $35,000, and for its clearing expenses in the amount of $15,950. We estimate the total offering expenses of this offering that will be payable by us, excluding the placement agent’s fees and expenses, will be approximately $60,000.</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we will issue to the placement agent, or its designees, warrants to purchase up to 60,475 shares of Common Stock. The placement agent warrants will be exercisable six months following issuance, will have an exercise price equal to $2.75 and will have a term of three and a half years from the closing of this offering.</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securities purchase agreement that we entered into with the investor prohibits, with certain limited exceptions, us: (i) for five (5) trading days following the closing date from issuing any shares of Common Stock or Common Stock Equivalents (as defined in the securities purchase agreement) or filing any registration statement (other than a Form S-8), and (ii) for twelve (12) months following the closing date from issuing any shares of Common Stock or Common Stock Equivalents in a Variable Rate Transaction (as defined in the securities purchase agreement).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granted Wainwright, subject to certain exceptions, a right of first refusal for a period of twelve (12) months following the consummation of this offering to act as our exclusive underwriter or placement agent for any further capital raising transactions undertaken by us or any of our subsidiaries.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any investor whom the placement agent had contacted during the term of its engagement or introduced to the Company during the term of our engagement of the placement agent provides any capital to us, in a public or private offering or other financing or capital-raising transaction of any kind, within the six (6) months following the expiration of termination of the engagement of the placement agent, we shall pay the placement agent the cash compensation provided above, calculated in the same manner.</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agreed to indemnify the placement agent and specified other persons against certain liabilities relating to or arising out of the placement agent’s activities under its engagement letter, including liabilities under the Securities Act, and to contribute to payments that the placement agent may be required to make in respect of such liabilities.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From time to time, the placement agent or its affiliates may provide in the future various advisory, investment and commercial banking and other services to us in the ordinary course of business, for which they have received and may continue to receive customary fees and commissions. However, except as disclosed in this prospectus supplement, we have no present arrangements with the placement agent for any further services.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placement agent acted as our placement agent in connection with our registered direct offering that was consummated on May 23, 2023, for which it received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ectPr>
          <w:pgSz w:w="11900" w:h="16838" w:orient="portrait"/>
          <w:cols w:equalWidth="0" w:num="1">
            <w:col w:w="11240"/>
          </w:cols>
          <w:pgMar w:left="320" w:top="661" w:right="339" w:bottom="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shares of Common Stock trade on the Nasdaq Capital Market under the ticker symbol “MBOT.” We do not intend to apply for listing of the pre-funded warrants on any securities exchange or other nationally recognized trading system.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validity of the shares being offered under this prospectus supplement by us will be passed upon for us by Mintz, Levin, Cohn, Ferris, Glovsky and Popeo, P.C., Boston, Massachusetts. Ellenoff Grossman &amp; Schole LLP, New York, New York is counsel to the placement agent in connection with this offering.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consolidated financial statements of Microbot Medical Inc. as of December 31, 2022, and for the year then ended, incorporated by reference in this prospectus supplement and the registration statement of which this prospectus forms a part have been audited by Brightman Almagor Zohar &amp; Co., a Member of Deloitte Touche Tohmatsu Limited, independent registered public accounting firm, as set forth in its report thereon incorporated by reference herein, and are included in reliance upon such reports given on the authority of such firms as experts in accounting and auditing.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are subject to the reporting requirements of the Exchange Act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prospectus supplement and the accompanying prospectus are only part of a registration statement on Form S-3 that we have filed with the SEC under the Securities Act and therefore omit certain information contained in the registration statement. We have also filed exhibits and schedules with the registration statement that are excluded from this prospectus supplement and the accompanying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www.microbotmedical.com</w:t>
      </w:r>
      <w:r>
        <w:rPr>
          <w:rFonts w:ascii="Arial" w:cs="Arial" w:eastAsia="Arial" w:hAnsi="Arial"/>
          <w:sz w:val="18"/>
          <w:szCs w:val="18"/>
          <w:color w:val="auto"/>
        </w:rPr>
        <w:t>, through which you can access our SEC filings. The information set forth on our website is not part of this prospectus supplement or the accompanying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incorporate by reference into this prospectus and the registration statement of which this prospectus is a part the information or documents listed below that we have filed with the SEC (Commission File No. 001-19871):</w:t>
      </w:r>
    </w:p>
    <w:p>
      <w:pPr>
        <w:spacing w:after="0" w:line="170"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2022 filed with the SEC on March 31, 2023;</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31">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2023 filed with the SEC on May 17, 2023;</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32">
        <w:r>
          <w:rPr>
            <w:rFonts w:ascii="Arial" w:cs="Arial" w:eastAsia="Arial" w:hAnsi="Arial"/>
            <w:sz w:val="18"/>
            <w:szCs w:val="18"/>
            <w:u w:val="single" w:color="auto"/>
            <w:color w:val="0000EE"/>
          </w:rPr>
          <w:t>January 23, 2023</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 xml:space="preserve">May 18, 2023 </w:t>
        </w:r>
      </w:hyperlink>
      <w:hyperlink r:id="rId34">
        <w:r>
          <w:rPr>
            <w:rFonts w:ascii="Arial" w:cs="Arial" w:eastAsia="Arial" w:hAnsi="Arial"/>
            <w:sz w:val="18"/>
            <w:szCs w:val="18"/>
            <w:u w:val="single" w:color="auto"/>
            <w:color w:val="auto"/>
          </w:rPr>
          <w:t xml:space="preserve">May </w:t>
        </w:r>
        <w:r>
          <w:rPr>
            <w:rFonts w:ascii="Arial" w:cs="Arial" w:eastAsia="Arial" w:hAnsi="Arial"/>
            <w:sz w:val="18"/>
            <w:szCs w:val="18"/>
            <w:u w:val="single" w:color="auto"/>
            <w:color w:val="0000EE"/>
          </w:rPr>
          <w:t>22, 2023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5">
        <w:r>
          <w:rPr>
            <w:rFonts w:ascii="Arial" w:cs="Arial" w:eastAsia="Arial" w:hAnsi="Arial"/>
            <w:sz w:val="18"/>
            <w:szCs w:val="18"/>
            <w:u w:val="single" w:color="auto"/>
            <w:color w:val="0000EE"/>
          </w:rPr>
          <w:t>May 23,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(except in each case for information contained therein which is furnished rather than filed);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August 3, 1998, including all amendments and reports filed for the purpose of updating such description.</w:t>
      </w:r>
    </w:p>
    <w:p>
      <w:pPr>
        <w:spacing w:after="0" w:line="170" w:lineRule="exact"/>
        <w:rPr>
          <w:rFonts w:ascii="Arial" w:cs="Arial" w:eastAsia="Arial" w:hAnsi="Arial"/>
          <w:sz w:val="18"/>
          <w:szCs w:val="18"/>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documents we file with the SEC pursuant to Sections 13(a), 13(c), 14 or 15(d) of the Exchange Act, except as to any portion of any report or documents that is not deemed filed under such provisions, on or after the date of this prospectus supplement until the termination of this offering shall be deemed incorporated by reference in this prospectus supplement and the accompanying prospectus and to be a part of this prospectus supplement from the date of filing of those documents.</w:t>
      </w:r>
    </w:p>
    <w:p>
      <w:pPr>
        <w:spacing w:after="0" w:line="187" w:lineRule="exact"/>
        <w:rPr>
          <w:rFonts w:ascii="Arial" w:cs="Arial" w:eastAsia="Arial" w:hAnsi="Arial"/>
          <w:sz w:val="18"/>
          <w:szCs w:val="18"/>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provide to each person, including any beneficial owner, to whom a copy of this prospectus supplement is delivered, a copy of any or all of the information that has been incorporated by reference in this prospectus supplement but not delivered with this prospectus supplement (other than the exhibits to such documents which are not specifically incorporated by reference therein); we will provide this information at no cost to the requester upon written or oral request to: Microbot Medical Inc. Attn: Chief Financial Officer, 25 Recreation Park Drive, Unit 108, Hingham, Massachusetts 02043. You may also telephone us at (781) 875-3605.</w:t>
      </w:r>
    </w:p>
    <w:p>
      <w:pPr>
        <w:spacing w:after="0" w:line="188" w:lineRule="exact"/>
        <w:rPr>
          <w:rFonts w:ascii="Arial" w:cs="Arial" w:eastAsia="Arial" w:hAnsi="Arial"/>
          <w:sz w:val="18"/>
          <w:szCs w:val="18"/>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8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154305</wp:posOffset>
            </wp:positionV>
            <wp:extent cx="2571750" cy="942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$75,000,000 of any combination of the securities described in this prospectus, either individually or in units. We may also offer common stock or preferred stock upon conversion of or exchange for the debt securities; common stock upon conversion of or exchange for the preferred stock; or common stock, preferred stock or debt securities upon the exercise of warrants or rights.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common stock is listed on The Nasdaq Capital Market under the symbol “MBOT.” On November 24, 2020, the last reported sale price of our common stock on The Nasdaq Capital Market was $7.25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Investing in our securities involves a high degree of risk. Before deciding whether to invest in our securities, you should consider carefully the risks that we have described on page 4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December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80" w:type="dxa"/>
            <w:vAlign w:val="bottom"/>
            <w:gridSpan w:val="4"/>
          </w:tcPr>
          <w:p>
            <w:pPr>
              <w:ind w:left="14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r>
      <w:tr>
        <w:trPr>
          <w:trHeight w:val="473"/>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920" w:type="dxa"/>
            <w:vAlign w:val="bottom"/>
            <w:tcBorders>
              <w:top w:val="single" w:sz="8" w:color="auto"/>
              <w:bottom w:val="single" w:sz="8" w:color="CCEEFF"/>
            </w:tcBorders>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7"/>
              </w:rPr>
              <w:t>Pages</w:t>
            </w:r>
          </w:p>
        </w:tc>
      </w:tr>
      <w:tr>
        <w:trPr>
          <w:trHeight w:val="196"/>
        </w:trPr>
        <w:tc>
          <w:tcPr>
            <w:tcW w:w="2200" w:type="dxa"/>
            <w:vAlign w:val="bottom"/>
            <w:tcBorders>
              <w:bottom w:val="single" w:sz="8" w:color="0000EE"/>
            </w:tcBorders>
            <w:gridSpan w:val="7"/>
            <w:shd w:val="clear" w:color="auto" w:fill="CCEEFF"/>
          </w:tcPr>
          <w:p>
            <w:pPr>
              <w:spacing w:after="0" w:line="142" w:lineRule="exact"/>
              <w:rPr>
                <w:sz w:val="20"/>
                <w:szCs w:val="20"/>
                <w:color w:val="auto"/>
              </w:rPr>
            </w:pPr>
            <w:r>
              <w:rPr>
                <w:rFonts w:ascii="Arial" w:cs="Arial" w:eastAsia="Arial" w:hAnsi="Arial"/>
                <w:sz w:val="16"/>
                <w:szCs w:val="16"/>
                <w:b w:val="1"/>
                <w:bCs w:val="1"/>
                <w:color w:val="0000EE"/>
              </w:rPr>
              <w:t>PROSPECTUS SUMMARY</w:t>
            </w:r>
          </w:p>
        </w:tc>
        <w:tc>
          <w:tcPr>
            <w:tcW w:w="840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r>
      <w:tr>
        <w:trPr>
          <w:trHeight w:val="176"/>
        </w:trPr>
        <w:tc>
          <w:tcPr>
            <w:tcW w:w="10600" w:type="dxa"/>
            <w:vAlign w:val="bottom"/>
            <w:gridSpan w:val="18"/>
          </w:tcPr>
          <w:p>
            <w:pPr>
              <w:spacing w:after="0" w:line="176" w:lineRule="exact"/>
              <w:rPr>
                <w:sz w:val="20"/>
                <w:szCs w:val="20"/>
                <w:color w:val="auto"/>
              </w:rPr>
            </w:pPr>
            <w:r>
              <w:rPr>
                <w:rFonts w:ascii="Arial" w:cs="Arial" w:eastAsia="Arial" w:hAnsi="Arial"/>
                <w:sz w:val="18"/>
                <w:szCs w:val="18"/>
                <w:b w:val="1"/>
                <w:bCs w:val="1"/>
                <w:color w:val="0000EE"/>
              </w:rPr>
              <w:t>RISK FACTORS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16"/>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9"/>
              </w:rPr>
              <w:t>SPECIAL NOTE REGARDING FORWARD-LOOKING STATEMENTS</w:t>
            </w:r>
          </w:p>
        </w:tc>
        <w:tc>
          <w:tcPr>
            <w:tcW w:w="494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176"/>
        </w:trPr>
        <w:tc>
          <w:tcPr>
            <w:tcW w:w="10600" w:type="dxa"/>
            <w:vAlign w:val="bottom"/>
            <w:gridSpan w:val="18"/>
          </w:tcPr>
          <w:p>
            <w:pPr>
              <w:spacing w:after="0" w:line="176" w:lineRule="exact"/>
              <w:rPr>
                <w:sz w:val="20"/>
                <w:szCs w:val="20"/>
                <w:color w:val="auto"/>
              </w:rPr>
            </w:pPr>
            <w:r>
              <w:rPr>
                <w:rFonts w:ascii="Arial" w:cs="Arial" w:eastAsia="Arial" w:hAnsi="Arial"/>
                <w:sz w:val="18"/>
                <w:szCs w:val="18"/>
                <w:b w:val="1"/>
                <w:bCs w:val="1"/>
                <w:color w:val="0000EE"/>
              </w:rPr>
              <w:t>USE OF PROCEEDS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8"/>
          </w:tcPr>
          <w:p>
            <w:pPr>
              <w:spacing w:after="0" w:line="176" w:lineRule="exact"/>
              <w:rPr>
                <w:sz w:val="20"/>
                <w:szCs w:val="20"/>
                <w:color w:val="auto"/>
              </w:rPr>
            </w:pPr>
            <w:r>
              <w:rPr>
                <w:rFonts w:ascii="Arial" w:cs="Arial" w:eastAsia="Arial" w:hAnsi="Arial"/>
                <w:sz w:val="18"/>
                <w:szCs w:val="18"/>
                <w:b w:val="1"/>
                <w:bCs w:val="1"/>
                <w:color w:val="0000EE"/>
              </w:rPr>
              <w:t>DESCRIPTION OF COMMON STOCK</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DESCRIPTION OF PREFERRED STOCK</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176"/>
        </w:trPr>
        <w:tc>
          <w:tcPr>
            <w:tcW w:w="3360" w:type="dxa"/>
            <w:vAlign w:val="bottom"/>
            <w:tcBorders>
              <w:top w:val="single" w:sz="8" w:color="0000EE"/>
            </w:tcBorders>
            <w:gridSpan w:val="12"/>
          </w:tcPr>
          <w:p>
            <w:pPr>
              <w:spacing w:after="0" w:line="176" w:lineRule="exact"/>
              <w:rPr>
                <w:sz w:val="20"/>
                <w:szCs w:val="20"/>
                <w:color w:val="auto"/>
              </w:rPr>
            </w:pPr>
            <w:r>
              <w:rPr>
                <w:rFonts w:ascii="Arial" w:cs="Arial" w:eastAsia="Arial" w:hAnsi="Arial"/>
                <w:sz w:val="18"/>
                <w:szCs w:val="18"/>
                <w:b w:val="1"/>
                <w:bCs w:val="1"/>
                <w:color w:val="0000EE"/>
              </w:rPr>
              <w:t>DESCRIPTION OF WARRANTS</w:t>
            </w:r>
          </w:p>
        </w:tc>
        <w:tc>
          <w:tcPr>
            <w:tcW w:w="724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9"/>
              </w:rPr>
              <w:t>DESCRIPTION OF DEBT SECURITIES</w:t>
            </w:r>
          </w:p>
        </w:tc>
        <w:tc>
          <w:tcPr>
            <w:tcW w:w="738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r>
      <w:tr>
        <w:trPr>
          <w:trHeight w:val="176"/>
        </w:trPr>
        <w:tc>
          <w:tcPr>
            <w:tcW w:w="10600" w:type="dxa"/>
            <w:vAlign w:val="bottom"/>
            <w:gridSpan w:val="18"/>
          </w:tcPr>
          <w:p>
            <w:pPr>
              <w:spacing w:after="0" w:line="176" w:lineRule="exact"/>
              <w:rPr>
                <w:sz w:val="20"/>
                <w:szCs w:val="20"/>
                <w:color w:val="auto"/>
              </w:rPr>
            </w:pPr>
            <w:r>
              <w:rPr>
                <w:rFonts w:ascii="Arial" w:cs="Arial" w:eastAsia="Arial" w:hAnsi="Arial"/>
                <w:sz w:val="18"/>
                <w:szCs w:val="18"/>
                <w:b w:val="1"/>
                <w:bCs w:val="1"/>
                <w:color w:val="0000EE"/>
              </w:rPr>
              <w:t>DESCRIPTION OF RIGHTS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175"/>
        </w:trPr>
        <w:tc>
          <w:tcPr>
            <w:tcW w:w="2140" w:type="dxa"/>
            <w:vAlign w:val="bottom"/>
            <w:tcBorders>
              <w:top w:val="single" w:sz="8" w:color="0000EE"/>
            </w:tcBorders>
            <w:gridSpan w:val="5"/>
          </w:tcPr>
          <w:p>
            <w:pPr>
              <w:spacing w:after="0" w:line="176" w:lineRule="exact"/>
              <w:rPr>
                <w:sz w:val="20"/>
                <w:szCs w:val="20"/>
                <w:color w:val="auto"/>
              </w:rPr>
            </w:pPr>
            <w:r>
              <w:rPr>
                <w:rFonts w:ascii="Arial" w:cs="Arial" w:eastAsia="Arial" w:hAnsi="Arial"/>
                <w:sz w:val="18"/>
                <w:szCs w:val="18"/>
                <w:b w:val="1"/>
                <w:bCs w:val="1"/>
                <w:color w:val="0000EE"/>
              </w:rPr>
              <w:t>LEGAL MATTERS</w:t>
            </w:r>
          </w:p>
        </w:tc>
        <w:tc>
          <w:tcPr>
            <w:tcW w:w="846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7"/>
              </w:rPr>
              <w:t>EXPERTS</w:t>
            </w:r>
          </w:p>
        </w:tc>
        <w:tc>
          <w:tcPr>
            <w:tcW w:w="976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176"/>
        </w:trPr>
        <w:tc>
          <w:tcPr>
            <w:tcW w:w="10600" w:type="dxa"/>
            <w:vAlign w:val="bottom"/>
            <w:gridSpan w:val="18"/>
          </w:tcPr>
          <w:p>
            <w:pPr>
              <w:spacing w:after="0" w:line="176" w:lineRule="exact"/>
              <w:rPr>
                <w:sz w:val="20"/>
                <w:szCs w:val="20"/>
                <w:color w:val="auto"/>
              </w:rPr>
            </w:pPr>
            <w:r>
              <w:rPr>
                <w:rFonts w:ascii="Arial" w:cs="Arial" w:eastAsia="Arial" w:hAnsi="Arial"/>
                <w:sz w:val="18"/>
                <w:szCs w:val="18"/>
                <w:b w:val="1"/>
                <w:bCs w:val="1"/>
                <w:color w:val="0000EE"/>
              </w:rPr>
              <w:t>WHERE YOU CAN FIND MORE INFORMATION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INCORPORATION OF DOCUMENTS BY REFERENCE</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shelf registration process, we may offer shares of our common stock or preferred stock, various series of debt securities and/or warrants or rights to purchase any of such securities, either individually or in units, in one or more offerings, with a total value of up to $75,000,000.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“Where You Can Find More Information” and “Incorporation of Documents by Reference” before making an investment decision.</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the context indicates otherwise in this prospectus, the terms “Microbot,” the “Company,” “we,” “our” or “us” in this prospectus refer to Microbot Medical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This summary highlights selected information about our Company, the offering of our securities under this prospectus and information appearing elsewhere in this prospectus and in the documents we incorporate by reference. This summary is not complete and does not contain all the information that you should consider before investing in our securities. You should read this entire prospectus carefully, including “Risk Factors” contained in this prospectus beginning on page 4, and the more detailed financial statements, notes to the consolidated financial statements and other information incorporated by reference from our filings with the SEC or included in any applicable prospectus supplement. Investing in our securities involves risks. Therefore, carefully consider the risk factors set forth in any prospectus supplement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redefining surgical robotics while improving surgical outcomes for patients.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Microbot’s current technological platforms, ViRob</w:t>
      </w:r>
      <w:r>
        <w:rPr>
          <w:rFonts w:ascii="Arial" w:cs="Arial" w:eastAsia="Arial" w:hAnsi="Arial"/>
          <w:sz w:val="28"/>
          <w:szCs w:val="28"/>
          <w:color w:val="auto"/>
          <w:vertAlign w:val="superscript"/>
        </w:rPr>
        <w:t>TM</w:t>
      </w:r>
      <w:r>
        <w:rPr>
          <w:rFonts w:ascii="Arial" w:cs="Arial" w:eastAsia="Arial" w:hAnsi="Arial"/>
          <w:sz w:val="17"/>
          <w:szCs w:val="17"/>
          <w:color w:val="auto"/>
        </w:rPr>
        <w:t>, TipCAT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and Liberty™ (including certain CardioSert assets), are comprised of</w:t>
      </w:r>
    </w:p>
    <w:p>
      <w:pPr>
        <w:jc w:val="both"/>
        <w:spacing w:after="0" w:line="228" w:lineRule="auto"/>
        <w:rPr>
          <w:sz w:val="20"/>
          <w:szCs w:val="20"/>
          <w:color w:val="auto"/>
        </w:rPr>
      </w:pPr>
      <w:r>
        <w:rPr>
          <w:rFonts w:ascii="Arial" w:cs="Arial" w:eastAsia="Arial" w:hAnsi="Arial"/>
          <w:sz w:val="18"/>
          <w:szCs w:val="18"/>
          <w:color w:val="auto"/>
        </w:rPr>
        <w:t>proprietary innovative technologies. Using the ViRob platform, Microbot is currently developing the Self Cleaning Shunt, or SCS</w:t>
      </w:r>
      <w:r>
        <w:rPr>
          <w:rFonts w:ascii="Arial" w:cs="Arial" w:eastAsia="Arial" w:hAnsi="Arial"/>
          <w:sz w:val="29"/>
          <w:szCs w:val="29"/>
          <w:color w:val="auto"/>
          <w:vertAlign w:val="superscript"/>
        </w:rPr>
        <w:t>TM</w:t>
      </w:r>
      <w:r>
        <w:rPr>
          <w:rFonts w:ascii="Arial" w:cs="Arial" w:eastAsia="Arial" w:hAnsi="Arial"/>
          <w:sz w:val="18"/>
          <w:szCs w:val="18"/>
          <w:color w:val="auto"/>
        </w:rPr>
        <w:t>, for the treatment of hydrocephalus and Normal Pressure Hydrocephalus, or NPH. Utilizing the Liberty and CardioSert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Microbot has a patent portfolio of 40 issued/allowed patents and 23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May 25, 2018, Microbot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as well as the potential to eliminate the use of multiple consumables through its “One &amp; Done” capabilities, based in part on the CardioSert platform.</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 In addition, it is being designed to streamline Cath-lab procedures with our proprietary “One &amp; Done” tool that combines guidewire and microcatheter into a single device. With control over tip curvature and stiffness for maneuverability and access and without the need for constant tool exchanges – the “One &amp; Done” feature of Liberty may drastically reduce procedure time and costs while enhancing the operator experience.</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continuously exploring and evaluating additional innovative guidewire/microcatheter technologies to be integrated and combined with the Liberty robotic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additional information related to our business and operations, please refer to the reports incorporated herein by reference, including our Annual Report on Form 10-K for the year ended December 31, 2019 as described under the caption “Incorporation of Documents by Reference” on page 23 of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Company was incorporated on August 2, 1988 in the State of Delaware under the name Cellular Transplants, Inc. The original Certificate of Incorporation was restated on February 14, 1992 to change the name of the Company to CytoTheraputics, Inc. On May 24, 2000, the Certificate of Incorporation as restated was further amended to change the name of the Company to StemCells, Inc. On November 28, 2016, C&amp;RD Israel Ltd., a wholly-owned subsidiary of the Company, completed its merger with and into Microbot Medical Ltd., an Israeli corporation, with Microbot Israel Ltd. surviving as a wholly-owned subsidiary of the Company, or the Merger. Prior to the Merger, the Company was a biopharmaceutical company that operated in one segment: the research, development, and commercialization of stem cell therapeutics and related technologies. Immediately following the closing of the Merger, the business of Microbot Medical Ltd. became our sole focus. In connection with the Merger, we also changed our name from StemCells, Inc. to Microbot Medical Inc. On November 29, 2016, the stock of the Company began trading on the Nasdaq Capital Market under the symbol “MBOT”.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ind w:firstLine="648"/>
        <w:spacing w:after="0" w:line="279" w:lineRule="auto"/>
        <w:rPr>
          <w:sz w:val="20"/>
          <w:szCs w:val="20"/>
          <w:color w:val="auto"/>
        </w:rPr>
      </w:pPr>
      <w:r>
        <w:rPr>
          <w:rFonts w:ascii="Arial" w:cs="Arial" w:eastAsia="Arial" w:hAnsi="Arial"/>
          <w:sz w:val="17"/>
          <w:szCs w:val="17"/>
          <w:color w:val="auto"/>
        </w:rPr>
        <w:t>Our principal executive offices are located at 25 Recreation Park Drive, Unit 108, Hingham, Massachusetts 02043. Microbot also has an executive office at 6 Hayozma Street, Yoqneam,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 Under This Prospectus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prospectus, we may offer shares of our common stock or preferred stock, various series of debt securities and/or warrants or rights to purchase any such securities, either individually or in units, with a total value of up to $75,000,000,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maturity,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redemption or conversion terms,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conversion or exercise prices, if 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8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ANY SECURITIES UNLESS IT IS ACCOMPANIED BY A PROSPECTUS SUPPLEMENT.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Investing in our securities involves significant risk. The prospectus supplement applicable to each offering of our securities may contain a discussion of the risks applicable to an investment in Microbot. Prior to making a decision about investing in our securities, you should consider the “Risk Factors” included and incorporated by reference in this prospectus and any applicable prospectus supplement, including the risk factors incorporated by reference from our most recent Annual Report on Form 10-K, as updated by our Quarterly Reports on Form 10-Q and our other filings with the SEC pursuant to Sections 13(a), 13(c), 14 or 15(d) of the Exchange Act filed after such annual report.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the FDA,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the Company’s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our operations, our further development and commercialization of our product candidates, other general corporate purposes, which may include, but are not limited to, working capital, intellectual property protection and enforcement, capital expenditures, repayment of indebtedness and collaborations, and the costs of acquiring, licensing or investing in new and existing businesses, product candidates and technologies.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or interest-bearing securities in accordance with our cash-management policies. Additional information on the use of proceeds from the sale of securities offered by this prospectus may be set forth in the prospectus supplement relating to that offering.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securities under this prospectus from time to time pursuant to public offerings through one or more placement agents or underwriters,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8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directly solicit offers to purchase the securities being offered by this prospectus. We may also designate agents to solicit offers to purchase the securities from time to time, and may enter into arrangements for “at the market,” equity line or similar transactions. We will name in a prospectus supplement any underwriter or agent involved in the offer or sale of the securities.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95"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ind w:firstLine="648"/>
        <w:spacing w:after="0" w:line="254" w:lineRule="auto"/>
        <w:rPr>
          <w:sz w:val="20"/>
          <w:szCs w:val="20"/>
          <w:color w:val="auto"/>
        </w:rPr>
      </w:pPr>
      <w:r>
        <w:rPr>
          <w:rFonts w:ascii="Arial" w:cs="Arial" w:eastAsia="Arial" w:hAnsi="Arial"/>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underwriters, dealers and agents may engage in other transactions with us, or perform other services for us, in the ordinary course of their business.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authorized to issue 60,000,000 shares of common stock, par value $0.01 per share. As of September 30, 2020 we had 7,108,133 shares of common stock issued and outstanding and approximately 139 common stockholders of record. The following summary of certain provisions of our common stock does not purport to be complete. You should refer to our certificate of incorporation and our bylaws,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for quotation on the Nasdaq Capital Market under the symbol “MBOT.”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authority to issue 1,000,000 shares of preferred stock, par value $0.01 per share. As of the date of this prospectus, no shares of our preferred stock were outstanding or designated.</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summary of certain provisions of our preferred stock does not purport to be complete. You should refer to our certificate of incorporation and by-laws, as amended to date,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8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per share and the purchase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preferred stock offered by this prospectus will, when issued, be fully paid and nonassessable and will not have, or be subject to, any preemptive or similar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to the warrants.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applicable prospectus supplement will contain, where applicable, the following terms of, and other information relating to, the warrants:</w:t>
      </w:r>
    </w:p>
    <w:p>
      <w:pPr>
        <w:spacing w:after="0" w:line="23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Outstanding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2020, we had outstanding:</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183 shares of our common stock at an exercise price of $2,754.00 per share, which are exercisable through April 9, 2023;</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2,770 shares of our common stock at an exercise price of $40.50 per share, which are exercisable through March 14, 2022;</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8,082 shares of our common stock at an exercise price of $8.13 per share, which are exercisable through July 14, 2022;</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29,500 shares of our common stock at an exercise price of $12.50 per share, which are exercisable through July 15, 2022;</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45,643 shares of our common stock at an exercise price of $13.13 per share, which are exercisable through June 25, 2023;</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warrants to purchase 47,619 shares of our common stock at an exercise price of $13.13 per share, which are exercisable through June 27, 2023; and</w:t>
      </w: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45,045 shares of our common stock at an exercise price of $13.88 per share, which are exercisable through June 30, 2023.</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or the Trust Indenture Act, as in effect on the date of the indenture. We use the term “debenture trustee” to refer to either the trustee under the senior indenture or the trustee under the subordinated indenture, as applicable.</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indenture provides that debt securities may be issued from time to time in one or more series and may be denominated and payable in foreign currencies or units based on or relating to foreign currencies. Neither the senior indenture nor any subordinated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discussion on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jc w:val="both"/>
        <w:ind w:left="66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the indenture may constitute an event of default under certain of our other indebtedness outstanding from time to time.</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6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ind w:firstLine="648"/>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periodically file statements with the applicable debenture trustee regarding our compliance with specified covenants in the applicable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debenture trustee and we may change the applicable indenture without the consent of any holders with respect to specific matters, including:</w:t>
      </w:r>
    </w:p>
    <w:p>
      <w:pPr>
        <w:spacing w:after="0" w:line="24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the principal of or premium or interest on any debt security payable in currency other than that stated in the debt security;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provide in a prospectus supplement the following terms of the rights being issued:</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provisions described in this section, as well as those set forth in any prospectus supplement or as described under “Description of Common Stock,” “Description of Preferred Stock,” “Description of Debt Securities,” “Description of Warrants” and “Description of Rights” will apply to each unit, as applicable, and to any common stock, preferred stock, debt security, warrant or right included in each unit, as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CERTAIN PROVISIONS OF DELAWARE LAW AND OF THE COMPANY’S CERTIFICATE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AND BYLAWS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Delaware Law</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31F20"/>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Staggered Board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proposals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stockholder vote required for certain actions.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Limitation of Liability and Indemnification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70" w:lineRule="exact"/>
        <w:rPr>
          <w:sz w:val="20"/>
          <w:szCs w:val="20"/>
          <w:color w:val="auto"/>
        </w:rPr>
      </w:pPr>
    </w:p>
    <w:p>
      <w:pPr>
        <w:ind w:left="5540" w:right="4920" w:hanging="4884"/>
        <w:spacing w:after="0" w:line="623" w:lineRule="auto"/>
        <w:tabs>
          <w:tab w:leader="none" w:pos="986" w:val="left"/>
        </w:tabs>
        <w:numPr>
          <w:ilvl w:val="0"/>
          <w:numId w:val="29"/>
        </w:numPr>
        <w:rPr>
          <w:rFonts w:ascii="Arial" w:cs="Arial" w:eastAsia="Arial" w:hAnsi="Arial"/>
          <w:sz w:val="16"/>
          <w:szCs w:val="16"/>
          <w:color w:val="auto"/>
        </w:rPr>
      </w:pPr>
      <w:r>
        <w:rPr>
          <w:rFonts w:ascii="Arial" w:cs="Arial" w:eastAsia="Arial" w:hAnsi="Arial"/>
          <w:sz w:val="16"/>
          <w:szCs w:val="16"/>
          <w:color w:val="auto"/>
        </w:rPr>
        <w:t>from any breach of the director’s duty of loyalty to us or our stockholders;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from acts or omissions not in good faith or which involve intentional misconduct or a knowing violation of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 Section 174 of the DGCL;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from any transaction from which the director derived an improper personal benefit.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31F20"/>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validity of the shares being offered under this prospectus by us will be passed upon for us by Mintz, Levin, Cohn, Ferris, Glovsky and Popeo, P.C., Boston, Massachusetts.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Microbot Medical Inc. appearing it its Annual Report on Form 10-K for the year ended December 31, 2019, have been audited by Brightman Almagor Zohar &amp; Co., a firm in the Deloitte Global Network, independent registered public accounting firm, as set forth in their report thereon, including therein, and incorporated herein by reference. Such consolidated financial statements are incorporated herein by reference in reliance upon such report given on the authority of such firm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2019 filed with the SEC on April 14, 2020 and Amendment No. 1 to our Annual Report on </w:t>
      </w:r>
      <w:hyperlink r:id="rId6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on April 29, 2020;</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65">
        <w:r>
          <w:rPr>
            <w:rFonts w:ascii="Arial" w:cs="Arial" w:eastAsia="Arial" w:hAnsi="Arial"/>
            <w:sz w:val="18"/>
            <w:szCs w:val="18"/>
            <w:u w:val="single" w:color="auto"/>
            <w:color w:val="0000EE"/>
          </w:rPr>
          <w:t xml:space="preserve">March 31, 2020, </w:t>
        </w:r>
      </w:hyperlink>
      <w:hyperlink r:id="rId66">
        <w:r>
          <w:rPr>
            <w:rFonts w:ascii="Arial" w:cs="Arial" w:eastAsia="Arial" w:hAnsi="Arial"/>
            <w:sz w:val="18"/>
            <w:szCs w:val="18"/>
            <w:u w:val="single" w:color="auto"/>
            <w:color w:val="auto"/>
          </w:rPr>
          <w:t xml:space="preserve">June </w:t>
        </w:r>
        <w:r>
          <w:rPr>
            <w:rFonts w:ascii="Arial" w:cs="Arial" w:eastAsia="Arial" w:hAnsi="Arial"/>
            <w:sz w:val="18"/>
            <w:szCs w:val="18"/>
            <w:u w:val="single" w:color="auto"/>
            <w:color w:val="0000EE"/>
          </w:rPr>
          <w:t>30, 2020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7">
        <w:r>
          <w:rPr>
            <w:rFonts w:ascii="Arial" w:cs="Arial" w:eastAsia="Arial" w:hAnsi="Arial"/>
            <w:sz w:val="18"/>
            <w:szCs w:val="18"/>
            <w:u w:val="single" w:color="auto"/>
            <w:color w:val="0000EE"/>
          </w:rPr>
          <w:t>September 30,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that we filed with the SEC on May 15, 2020, August 14, 2020 and November 16, 2020.</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1"/>
        </w:numPr>
        <w:rPr>
          <w:rFonts w:ascii="Arial" w:cs="Arial" w:eastAsia="Arial" w:hAnsi="Arial"/>
          <w:sz w:val="18"/>
          <w:szCs w:val="18"/>
          <w:u w:val="single" w:color="auto"/>
          <w:color w:val="0000EE"/>
        </w:rPr>
      </w:pPr>
      <w:r>
        <w:rPr>
          <w:rFonts w:ascii="Arial" w:cs="Arial" w:eastAsia="Arial" w:hAnsi="Arial"/>
          <w:sz w:val="18"/>
          <w:szCs w:val="18"/>
          <w:color w:val="auto"/>
        </w:rPr>
        <w:t xml:space="preserve">our Current Reports on Form 8-K, filed with the SEC (except for the information furnished under Items 2.02 or 7.01 and the exhibits furnished thereto) on: </w:t>
      </w:r>
      <w:hyperlink r:id="rId68">
        <w:r>
          <w:rPr>
            <w:rFonts w:ascii="Arial" w:cs="Arial" w:eastAsia="Arial" w:hAnsi="Arial"/>
            <w:sz w:val="18"/>
            <w:szCs w:val="18"/>
            <w:u w:val="single" w:color="auto"/>
            <w:color w:val="0000EE"/>
          </w:rPr>
          <w:t xml:space="preserve">February 25, 2020, </w:t>
        </w:r>
      </w:hyperlink>
      <w:hyperlink r:id="rId69">
        <w:r>
          <w:rPr>
            <w:rFonts w:ascii="Arial" w:cs="Arial" w:eastAsia="Arial" w:hAnsi="Arial"/>
            <w:sz w:val="18"/>
            <w:szCs w:val="18"/>
            <w:u w:val="single" w:color="auto"/>
            <w:color w:val="auto"/>
          </w:rPr>
          <w:t xml:space="preserve">February </w:t>
        </w:r>
        <w:r>
          <w:rPr>
            <w:rFonts w:ascii="Arial" w:cs="Arial" w:eastAsia="Arial" w:hAnsi="Arial"/>
            <w:sz w:val="18"/>
            <w:szCs w:val="18"/>
            <w:u w:val="single" w:color="auto"/>
            <w:color w:val="0000EE"/>
          </w:rPr>
          <w:t xml:space="preserve">28, 2020, </w:t>
        </w:r>
      </w:hyperlink>
      <w:hyperlink r:id="rId70">
        <w:r>
          <w:rPr>
            <w:rFonts w:ascii="Arial" w:cs="Arial" w:eastAsia="Arial" w:hAnsi="Arial"/>
            <w:sz w:val="18"/>
            <w:szCs w:val="18"/>
            <w:u w:val="single" w:color="auto"/>
            <w:color w:val="auto"/>
          </w:rPr>
          <w:t xml:space="preserve">March </w:t>
        </w:r>
        <w:r>
          <w:rPr>
            <w:rFonts w:ascii="Arial" w:cs="Arial" w:eastAsia="Arial" w:hAnsi="Arial"/>
            <w:sz w:val="18"/>
            <w:szCs w:val="18"/>
            <w:u w:val="single" w:color="auto"/>
            <w:color w:val="0000EE"/>
          </w:rPr>
          <w:t xml:space="preserve">3, 2020, </w:t>
        </w:r>
      </w:hyperlink>
      <w:hyperlink r:id="rId71">
        <w:r>
          <w:rPr>
            <w:rFonts w:ascii="Arial" w:cs="Arial" w:eastAsia="Arial" w:hAnsi="Arial"/>
            <w:sz w:val="18"/>
            <w:szCs w:val="18"/>
            <w:u w:val="single" w:color="auto"/>
            <w:color w:val="auto"/>
          </w:rPr>
          <w:t xml:space="preserve">April </w:t>
        </w:r>
        <w:r>
          <w:rPr>
            <w:rFonts w:ascii="Arial" w:cs="Arial" w:eastAsia="Arial" w:hAnsi="Arial"/>
            <w:sz w:val="18"/>
            <w:szCs w:val="18"/>
            <w:u w:val="single" w:color="auto"/>
            <w:color w:val="0000EE"/>
          </w:rPr>
          <w:t xml:space="preserve">1, 2020, </w:t>
        </w:r>
      </w:hyperlink>
      <w:hyperlink r:id="rId72">
        <w:r>
          <w:rPr>
            <w:rFonts w:ascii="Arial" w:cs="Arial" w:eastAsia="Arial" w:hAnsi="Arial"/>
            <w:sz w:val="18"/>
            <w:szCs w:val="18"/>
            <w:u w:val="single" w:color="auto"/>
            <w:color w:val="auto"/>
          </w:rPr>
          <w:t xml:space="preserve">May </w:t>
        </w:r>
        <w:r>
          <w:rPr>
            <w:rFonts w:ascii="Arial" w:cs="Arial" w:eastAsia="Arial" w:hAnsi="Arial"/>
            <w:sz w:val="18"/>
            <w:szCs w:val="18"/>
            <w:u w:val="single" w:color="auto"/>
            <w:color w:val="0000EE"/>
          </w:rPr>
          <w:t xml:space="preserve">7, 2020, </w:t>
        </w:r>
      </w:hyperlink>
      <w:hyperlink r:id="rId73">
        <w:r>
          <w:rPr>
            <w:rFonts w:ascii="Arial" w:cs="Arial" w:eastAsia="Arial" w:hAnsi="Arial"/>
            <w:sz w:val="18"/>
            <w:szCs w:val="18"/>
            <w:u w:val="single" w:color="auto"/>
            <w:color w:val="auto"/>
          </w:rPr>
          <w:t xml:space="preserve">June </w:t>
        </w:r>
        <w:r>
          <w:rPr>
            <w:rFonts w:ascii="Arial" w:cs="Arial" w:eastAsia="Arial" w:hAnsi="Arial"/>
            <w:sz w:val="18"/>
            <w:szCs w:val="18"/>
            <w:u w:val="single" w:color="auto"/>
            <w:color w:val="0000EE"/>
          </w:rPr>
          <w:t xml:space="preserve">19, 2020, </w:t>
        </w:r>
      </w:hyperlink>
      <w:hyperlink r:id="rId74">
        <w:r>
          <w:rPr>
            <w:rFonts w:ascii="Arial" w:cs="Arial" w:eastAsia="Arial" w:hAnsi="Arial"/>
            <w:sz w:val="18"/>
            <w:szCs w:val="18"/>
            <w:u w:val="single" w:color="auto"/>
            <w:color w:val="auto"/>
          </w:rPr>
          <w:t xml:space="preserve">August </w:t>
        </w:r>
        <w:r>
          <w:rPr>
            <w:rFonts w:ascii="Arial" w:cs="Arial" w:eastAsia="Arial" w:hAnsi="Arial"/>
            <w:sz w:val="18"/>
            <w:szCs w:val="18"/>
            <w:u w:val="single" w:color="auto"/>
            <w:color w:val="0000EE"/>
          </w:rPr>
          <w:t>3, 2020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5">
        <w:r>
          <w:rPr>
            <w:rFonts w:ascii="Arial" w:cs="Arial" w:eastAsia="Arial" w:hAnsi="Arial"/>
            <w:sz w:val="18"/>
            <w:szCs w:val="18"/>
            <w:u w:val="single" w:color="auto"/>
            <w:color w:val="0000EE"/>
          </w:rPr>
          <w:t>September 4, 2020;</w:t>
        </w:r>
      </w:hyperlink>
    </w:p>
    <w:p>
      <w:pPr>
        <w:spacing w:after="0" w:line="183" w:lineRule="exact"/>
        <w:rPr>
          <w:rFonts w:ascii="Arial" w:cs="Arial" w:eastAsia="Arial" w:hAnsi="Arial"/>
          <w:sz w:val="18"/>
          <w:szCs w:val="18"/>
          <w:u w:val="single" w:color="auto"/>
          <w:color w:val="0000EE"/>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reports and other documents subsequently filed by us pursuant to Sections 13(a), 13(c), 14 and 15(d) of the Exchange Act after the date of this prospectus and prior to the termination of this offering.</w:t>
      </w:r>
    </w:p>
    <w:p>
      <w:pPr>
        <w:spacing w:after="0" w:line="170"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The SEC file number for each of the documents listed above is 000-19871</w:t>
      </w:r>
    </w:p>
    <w:p>
      <w:pPr>
        <w:spacing w:after="0" w:line="225" w:lineRule="exact"/>
        <w:rPr>
          <w:rFonts w:ascii="Arial" w:cs="Arial" w:eastAsia="Arial" w:hAnsi="Arial"/>
          <w:sz w:val="18"/>
          <w:szCs w:val="18"/>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rFonts w:ascii="Arial" w:cs="Arial" w:eastAsia="Arial" w:hAnsi="Arial"/>
          <w:sz w:val="18"/>
          <w:szCs w:val="18"/>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rFonts w:ascii="Arial" w:cs="Arial" w:eastAsia="Arial" w:hAnsi="Arial"/>
          <w:sz w:val="18"/>
          <w:szCs w:val="18"/>
          <w:color w:val="auto"/>
        </w:rPr>
      </w:pPr>
    </w:p>
    <w:p>
      <w:pPr>
        <w:jc w:val="both"/>
        <w:ind w:firstLine="648"/>
        <w:spacing w:after="0" w:line="279" w:lineRule="auto"/>
        <w:rPr>
          <w:sz w:val="20"/>
          <w:szCs w:val="20"/>
          <w:color w:val="auto"/>
        </w:rPr>
      </w:pPr>
      <w:r>
        <w:rPr>
          <w:rFonts w:ascii="Arial" w:cs="Arial" w:eastAsia="Arial" w:hAnsi="Arial"/>
          <w:sz w:val="17"/>
          <w:szCs w:val="17"/>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25 Recreation Park Drive, Unit 108, Hingham, MA 02043; Attention: Harel Gadot; telephone number (908) 938-5561.</w:t>
      </w:r>
    </w:p>
    <w:p>
      <w:pPr>
        <w:spacing w:after="0" w:line="171" w:lineRule="exact"/>
        <w:rPr>
          <w:rFonts w:ascii="Arial" w:cs="Arial" w:eastAsia="Arial" w:hAnsi="Arial"/>
          <w:sz w:val="18"/>
          <w:szCs w:val="18"/>
          <w:color w:val="auto"/>
        </w:rPr>
      </w:pPr>
    </w:p>
    <w:p>
      <w:pPr>
        <w:jc w:val="both"/>
        <w:ind w:firstLine="648"/>
        <w:spacing w:after="0" w:line="279" w:lineRule="auto"/>
        <w:rPr>
          <w:sz w:val="20"/>
          <w:szCs w:val="20"/>
          <w:color w:val="auto"/>
        </w:rPr>
      </w:pPr>
      <w:r>
        <w:rPr>
          <w:rFonts w:ascii="Arial" w:cs="Arial" w:eastAsia="Arial" w:hAnsi="Arial"/>
          <w:sz w:val="17"/>
          <w:szCs w:val="17"/>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7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975,000 Shares of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Pre-Funded Warrants to purchase up to 234,500 Shares of Common Stock</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Up to 234,500 Shares of Common Stock Underlying the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431800</wp:posOffset>
            </wp:positionV>
            <wp:extent cx="2571750" cy="9429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H.C. Wainwright &amp; Co.</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
      <w:numFmt w:val="bullet"/>
      <w:start w:val="1"/>
    </w:lvl>
    <w:lvl w:ilvl="1">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jpe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jpeg"/><Relationship Id="rId78" Type="http://schemas.openxmlformats.org/officeDocument/2006/relationships/image" Target="media/image52.png"/><Relationship Id="rId30" Type="http://schemas.openxmlformats.org/officeDocument/2006/relationships/hyperlink" Target="https://www.sec.gov/Archives/edgar/data/883975/000149315223010223/form10-k.htm" TargetMode="External"/><Relationship Id="rId31" Type="http://schemas.openxmlformats.org/officeDocument/2006/relationships/hyperlink" Target="https://www.sec.gov/Archives/edgar/data/883975/000149315223017966/form10-q.htm" TargetMode="External"/><Relationship Id="rId32" Type="http://schemas.openxmlformats.org/officeDocument/2006/relationships/hyperlink" Target="https://www.sec.gov/Archives/edgar/data/883975/000149315223002202/form8-k.htm" TargetMode="External"/><Relationship Id="rId33" Type="http://schemas.openxmlformats.org/officeDocument/2006/relationships/hyperlink" Target="https://www.sec.gov/Archives/edgar/data/883975/000149315223018050/form8-k.htm" TargetMode="External"/><Relationship Id="rId34" Type="http://schemas.openxmlformats.org/officeDocument/2006/relationships/hyperlink" Target="https://www.sec.gov/Archives/edgar/data/883975/000149315223018456/form8-k.htm" TargetMode="External"/><Relationship Id="rId35" Type="http://schemas.openxmlformats.org/officeDocument/2006/relationships/hyperlink" Target="https://www.sec.gov/Archives/edgar/data/883975/000149315223018718/form8-k.htm" TargetMode="External"/><Relationship Id="rId63" Type="http://schemas.openxmlformats.org/officeDocument/2006/relationships/hyperlink" Target="https://www.sec.gov/Archives/edgar/data/883975/000149315220006338/form10-k.htm" TargetMode="External"/><Relationship Id="rId64" Type="http://schemas.openxmlformats.org/officeDocument/2006/relationships/hyperlink" Target="https://www.sec.gov/Archives/edgar/data/883975/000149315220007340/form10k-a.htm" TargetMode="External"/><Relationship Id="rId65" Type="http://schemas.openxmlformats.org/officeDocument/2006/relationships/hyperlink" Target="https://www.sec.gov/Archives/edgar/data/883975/000149315220009113/form10-q.htm" TargetMode="External"/><Relationship Id="rId66" Type="http://schemas.openxmlformats.org/officeDocument/2006/relationships/hyperlink" Target="https://www.sec.gov/Archives/edgar/data/883975/000149315220015744/form10-q.htm" TargetMode="External"/><Relationship Id="rId67" Type="http://schemas.openxmlformats.org/officeDocument/2006/relationships/hyperlink" Target="https://www.sec.gov/Archives/edgar/data/883975/000149315220021648/form10-q.htm" TargetMode="External"/><Relationship Id="rId68" Type="http://schemas.openxmlformats.org/officeDocument/2006/relationships/hyperlink" Target="https://www.sec.gov/Archives/edgar/data/883975/000149315220002943/form8-k.htm" TargetMode="External"/><Relationship Id="rId69" Type="http://schemas.openxmlformats.org/officeDocument/2006/relationships/hyperlink" Target="https://www.sec.gov/Archives/edgar/data/883975/000149315220003150/form8-k.htm" TargetMode="External"/><Relationship Id="rId70" Type="http://schemas.openxmlformats.org/officeDocument/2006/relationships/hyperlink" Target="https://www.sec.gov/Archives/edgar/data/883975/000149315220003248/form8k.htm" TargetMode="External"/><Relationship Id="rId71" Type="http://schemas.openxmlformats.org/officeDocument/2006/relationships/hyperlink" Target="https://www.sec.gov/Archives/edgar/data/883975/000149315220005551/form8-k.htm" TargetMode="External"/><Relationship Id="rId72" Type="http://schemas.openxmlformats.org/officeDocument/2006/relationships/hyperlink" Target="https://www.sec.gov/Archives/edgar/data/883975/000149315220007944/form8-k.htm" TargetMode="External"/><Relationship Id="rId73" Type="http://schemas.openxmlformats.org/officeDocument/2006/relationships/hyperlink" Target="https://www.sec.gov/Archives/edgar/data/883975/000149315220011512/form8-k.htm" TargetMode="External"/><Relationship Id="rId74" Type="http://schemas.openxmlformats.org/officeDocument/2006/relationships/hyperlink" Target="https://www.sec.gov/Archives/edgar/data/883975/000149315220014441/form8-k.htm" TargetMode="External"/><Relationship Id="rId75" Type="http://schemas.openxmlformats.org/officeDocument/2006/relationships/hyperlink" Target="https://www.sec.gov/Archives/edgar/data/883975/000149315220017270/form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2023-05-24T10:20:46Z</dcterms:created>
  <dcterms:modified xsi:type="dcterms:W3CDTF">2023-05-24T10:20:46Z</dcterms:modified>
</cp:coreProperties>
</file>