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1900" w:type="dxa"/>
            <w:vAlign w:val="bottom"/>
            <w:gridSpan w:val="2"/>
          </w:tcPr>
          <w:p>
            <w:pPr>
              <w:spacing w:after="0"/>
              <w:rPr>
                <w:sz w:val="20"/>
                <w:szCs w:val="20"/>
                <w:color w:val="auto"/>
              </w:rPr>
            </w:pPr>
            <w:r>
              <w:rPr>
                <w:rFonts w:ascii="Courier New" w:cs="Courier New" w:eastAsia="Courier New" w:hAnsi="Courier New"/>
                <w:sz w:val="18"/>
                <w:szCs w:val="18"/>
                <w:color w:val="auto"/>
              </w:rPr>
              <w:t>OMB APPROVAL</w:t>
            </w:r>
          </w:p>
        </w:tc>
        <w:tc>
          <w:tcPr>
            <w:tcW w:w="84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October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31, 1994</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AVERAGE</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BURDEN</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RESPONSE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14.90</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Cytotherapeutics,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23292310</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8 Pages</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CUSIP NO.  23292310</w:t>
            </w:r>
          </w:p>
        </w:tc>
        <w:tc>
          <w:tcPr>
            <w:tcW w:w="1100" w:type="dxa"/>
            <w:vAlign w:val="bottom"/>
          </w:tcPr>
          <w:p>
            <w:pPr>
              <w:ind w:left="78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4"/>
          <w:szCs w:val="24"/>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Princeton Services,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4"/>
          <w:szCs w:val="24"/>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right="809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11" w:lineRule="exact"/>
        <w:rPr>
          <w:rFonts w:ascii="Courier New" w:cs="Courier New" w:eastAsia="Courier New" w:hAnsi="Courier New"/>
          <w:sz w:val="18"/>
          <w:szCs w:val="18"/>
          <w:color w:val="auto"/>
        </w:rPr>
      </w:pPr>
    </w:p>
    <w:p>
      <w:pPr>
        <w:ind w:right="789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 (ownership disclaimed pursuant to Section 13d-4 of the 1934 Act)</w:t>
      </w:r>
    </w:p>
    <w:p>
      <w:pPr>
        <w:spacing w:after="0" w:line="207"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right="7159" w:firstLine="8"/>
        <w:spacing w:after="0" w:line="470"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Page 3 of 8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CUSIP NO.  23292310</w:t>
            </w:r>
          </w:p>
        </w:tc>
        <w:tc>
          <w:tcPr>
            <w:tcW w:w="1160" w:type="dxa"/>
            <w:vAlign w:val="bottom"/>
          </w:tcPr>
          <w:p>
            <w:pPr>
              <w:ind w:left="84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ind w:left="320" w:hanging="312"/>
        <w:spacing w:after="0"/>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hanging="312"/>
        <w:spacing w:after="0"/>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99" w:firstLine="8"/>
        <w:spacing w:after="0" w:line="470" w:lineRule="auto"/>
        <w:tabs>
          <w:tab w:leader="none" w:pos="31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NONE</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right="7159" w:firstLine="8"/>
        <w:spacing w:after="0" w:line="470"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PN</w:t>
      </w:r>
    </w:p>
    <w:p>
      <w:pPr>
        <w:spacing w:after="0" w:line="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Page 4 of 8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CUSIP NO.  23292310</w:t>
            </w:r>
          </w:p>
        </w:tc>
        <w:tc>
          <w:tcPr>
            <w:tcW w:w="1160" w:type="dxa"/>
            <w:vAlign w:val="bottom"/>
          </w:tcPr>
          <w:p>
            <w:pPr>
              <w:ind w:left="84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ind w:left="320" w:hanging="312"/>
        <w:spacing w:after="0"/>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hanging="312"/>
        <w:spacing w:after="0"/>
        <w:tabs>
          <w:tab w:leader="none" w:pos="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99" w:firstLine="8"/>
        <w:spacing w:after="0" w:line="470" w:lineRule="auto"/>
        <w:tabs>
          <w:tab w:leader="none" w:pos="31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NONE</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Page 5 of 8 Pages</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(a)</w:t>
      </w:r>
      <w:r>
        <w:rPr>
          <w:sz w:val="20"/>
          <w:szCs w:val="20"/>
          <w:color w:val="auto"/>
        </w:rPr>
        <w:tab/>
      </w:r>
      <w:r>
        <w:rPr>
          <w:rFonts w:ascii="Courier New" w:cs="Courier New" w:eastAsia="Courier New" w:hAnsi="Courier New"/>
          <w:sz w:val="16"/>
          <w:szCs w:val="16"/>
          <w:color w:val="auto"/>
        </w:rPr>
        <w:t>Name of Issuer:</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Cytotherapeutics, Inc. (the "Company")</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(b)</w:t>
      </w:r>
      <w:r>
        <w:rPr>
          <w:sz w:val="20"/>
          <w:szCs w:val="20"/>
          <w:color w:val="auto"/>
        </w:rPr>
        <w:tab/>
      </w:r>
      <w:r>
        <w:rPr>
          <w:rFonts w:ascii="Courier New" w:cs="Courier New" w:eastAsia="Courier New" w:hAnsi="Courier New"/>
          <w:sz w:val="16"/>
          <w:szCs w:val="16"/>
          <w:color w:val="auto"/>
        </w:rPr>
        <w:t>Address of Issuer's Principal Executive Offices:</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Two Richmond Square</w:t>
      </w:r>
    </w:p>
    <w:p>
      <w:pPr>
        <w:ind w:left="1280"/>
        <w:spacing w:after="0" w:line="238" w:lineRule="auto"/>
        <w:rPr>
          <w:sz w:val="20"/>
          <w:szCs w:val="20"/>
          <w:color w:val="auto"/>
        </w:rPr>
      </w:pPr>
      <w:r>
        <w:rPr>
          <w:rFonts w:ascii="Courier New" w:cs="Courier New" w:eastAsia="Courier New" w:hAnsi="Courier New"/>
          <w:sz w:val="18"/>
          <w:szCs w:val="18"/>
          <w:color w:val="auto"/>
        </w:rPr>
        <w:t>Providence, RI 02906</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Name of Persons Filing:</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Princeton Services, Inc.</w:t>
      </w:r>
    </w:p>
    <w:p>
      <w:pPr>
        <w:ind w:left="1280"/>
        <w:spacing w:after="0" w:line="238" w:lineRule="auto"/>
        <w:rPr>
          <w:sz w:val="20"/>
          <w:szCs w:val="20"/>
          <w:color w:val="auto"/>
        </w:rPr>
      </w:pPr>
      <w:r>
        <w:rPr>
          <w:rFonts w:ascii="Courier New" w:cs="Courier New" w:eastAsia="Courier New" w:hAnsi="Courier New"/>
          <w:sz w:val="18"/>
          <w:szCs w:val="18"/>
          <w:color w:val="auto"/>
        </w:rPr>
        <w:t>Merrill Lynch Asset Management, L.P.</w:t>
      </w:r>
    </w:p>
    <w:p>
      <w:pPr>
        <w:ind w:left="1280"/>
        <w:spacing w:after="0"/>
        <w:rPr>
          <w:sz w:val="20"/>
          <w:szCs w:val="20"/>
          <w:color w:val="auto"/>
        </w:rPr>
      </w:pPr>
      <w:r>
        <w:rPr>
          <w:rFonts w:ascii="Courier New" w:cs="Courier New" w:eastAsia="Courier New" w:hAnsi="Courier New"/>
          <w:sz w:val="18"/>
          <w:szCs w:val="18"/>
          <w:color w:val="auto"/>
        </w:rPr>
        <w:t>Merril Lynch Growth Fund</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Services, Inc.</w:t>
      </w:r>
    </w:p>
    <w:p>
      <w:pPr>
        <w:spacing w:after="0" w:line="238" w:lineRule="auto"/>
        <w:rPr>
          <w:sz w:val="20"/>
          <w:szCs w:val="20"/>
          <w:color w:val="auto"/>
        </w:rPr>
      </w:pPr>
      <w:r>
        <w:rPr>
          <w:rFonts w:ascii="Courier New" w:cs="Courier New" w:eastAsia="Courier New" w:hAnsi="Courier New"/>
          <w:sz w:val="18"/>
          <w:szCs w:val="18"/>
          <w:color w:val="auto"/>
        </w:rPr>
        <w:t>800 Scudders Mill Road</w:t>
      </w:r>
    </w:p>
    <w:p>
      <w:pPr>
        <w:spacing w:after="0"/>
        <w:tabs>
          <w:tab w:leader="none" w:pos="2520" w:val="left"/>
        </w:tabs>
        <w:rPr>
          <w:sz w:val="20"/>
          <w:szCs w:val="20"/>
          <w:color w:val="auto"/>
        </w:rPr>
      </w:pPr>
      <w:r>
        <w:rPr>
          <w:rFonts w:ascii="Courier New" w:cs="Courier New" w:eastAsia="Courier New" w:hAnsi="Courier New"/>
          <w:sz w:val="18"/>
          <w:szCs w:val="18"/>
          <w:color w:val="auto"/>
        </w:rPr>
        <w:t>Plainsboro, New Jersey</w:t>
      </w:r>
      <w:r>
        <w:rPr>
          <w:sz w:val="20"/>
          <w:szCs w:val="20"/>
          <w:color w:val="auto"/>
        </w:rPr>
        <w:tab/>
      </w:r>
      <w:r>
        <w:rPr>
          <w:rFonts w:ascii="Courier New" w:cs="Courier New" w:eastAsia="Courier New" w:hAnsi="Courier New"/>
          <w:sz w:val="16"/>
          <w:szCs w:val="16"/>
          <w:color w:val="auto"/>
        </w:rPr>
        <w:t>08536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Asset Management, L.P.</w:t>
      </w:r>
    </w:p>
    <w:p>
      <w:pPr>
        <w:spacing w:after="0" w:line="238" w:lineRule="auto"/>
        <w:rPr>
          <w:sz w:val="20"/>
          <w:szCs w:val="20"/>
          <w:color w:val="auto"/>
        </w:rPr>
      </w:pPr>
      <w:r>
        <w:rPr>
          <w:rFonts w:ascii="Courier New" w:cs="Courier New" w:eastAsia="Courier New" w:hAnsi="Courier New"/>
          <w:sz w:val="18"/>
          <w:szCs w:val="18"/>
          <w:color w:val="auto"/>
        </w:rPr>
        <w:t>800 Scudders Mill Road</w:t>
      </w:r>
    </w:p>
    <w:p>
      <w:pPr>
        <w:spacing w:after="0"/>
        <w:tabs>
          <w:tab w:leader="none" w:pos="2520" w:val="left"/>
        </w:tabs>
        <w:rPr>
          <w:sz w:val="20"/>
          <w:szCs w:val="20"/>
          <w:color w:val="auto"/>
        </w:rPr>
      </w:pPr>
      <w:r>
        <w:rPr>
          <w:rFonts w:ascii="Courier New" w:cs="Courier New" w:eastAsia="Courier New" w:hAnsi="Courier New"/>
          <w:sz w:val="18"/>
          <w:szCs w:val="18"/>
          <w:color w:val="auto"/>
        </w:rPr>
        <w:t>Plainsboro, New Jersey</w:t>
      </w:r>
      <w:r>
        <w:rPr>
          <w:sz w:val="20"/>
          <w:szCs w:val="20"/>
          <w:color w:val="auto"/>
        </w:rPr>
        <w:tab/>
      </w:r>
      <w:r>
        <w:rPr>
          <w:rFonts w:ascii="Courier New" w:cs="Courier New" w:eastAsia="Courier New" w:hAnsi="Courier New"/>
          <w:sz w:val="16"/>
          <w:szCs w:val="16"/>
          <w:color w:val="auto"/>
        </w:rPr>
        <w:t>08536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 Lynch Growth Fund</w:t>
      </w:r>
    </w:p>
    <w:p>
      <w:pPr>
        <w:spacing w:after="0" w:line="238" w:lineRule="auto"/>
        <w:rPr>
          <w:sz w:val="20"/>
          <w:szCs w:val="20"/>
          <w:color w:val="auto"/>
        </w:rPr>
      </w:pPr>
      <w:r>
        <w:rPr>
          <w:rFonts w:ascii="Courier New" w:cs="Courier New" w:eastAsia="Courier New" w:hAnsi="Courier New"/>
          <w:sz w:val="18"/>
          <w:szCs w:val="18"/>
          <w:color w:val="auto"/>
        </w:rPr>
        <w:t>800 Scudders Mill Road</w:t>
      </w:r>
    </w:p>
    <w:p>
      <w:pPr>
        <w:spacing w:after="0"/>
        <w:tabs>
          <w:tab w:leader="none" w:pos="2520" w:val="left"/>
        </w:tabs>
        <w:rPr>
          <w:sz w:val="20"/>
          <w:szCs w:val="20"/>
          <w:color w:val="auto"/>
        </w:rPr>
      </w:pPr>
      <w:r>
        <w:rPr>
          <w:rFonts w:ascii="Courier New" w:cs="Courier New" w:eastAsia="Courier New" w:hAnsi="Courier New"/>
          <w:sz w:val="18"/>
          <w:szCs w:val="18"/>
          <w:color w:val="auto"/>
        </w:rPr>
        <w:t>Plainsboro, New Jersey</w:t>
      </w:r>
      <w:r>
        <w:rPr>
          <w:sz w:val="20"/>
          <w:szCs w:val="20"/>
          <w:color w:val="auto"/>
        </w:rPr>
        <w:tab/>
      </w:r>
      <w:r>
        <w:rPr>
          <w:rFonts w:ascii="Courier New" w:cs="Courier New" w:eastAsia="Courier New" w:hAnsi="Courier New"/>
          <w:sz w:val="16"/>
          <w:szCs w:val="16"/>
          <w:color w:val="auto"/>
        </w:rPr>
        <w:t>08536</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(c)</w:t>
            </w:r>
          </w:p>
        </w:tc>
        <w:tc>
          <w:tcPr>
            <w:tcW w:w="3200" w:type="dxa"/>
            <w:vAlign w:val="bottom"/>
          </w:tcPr>
          <w:p>
            <w:pPr>
              <w:ind w:left="160"/>
              <w:spacing w:after="0"/>
              <w:rPr>
                <w:sz w:val="20"/>
                <w:szCs w:val="20"/>
                <w:color w:val="auto"/>
              </w:rPr>
            </w:pPr>
            <w:r>
              <w:rPr>
                <w:rFonts w:ascii="Courier New" w:cs="Courier New" w:eastAsia="Courier New" w:hAnsi="Courier New"/>
                <w:sz w:val="18"/>
                <w:szCs w:val="18"/>
                <w:color w:val="auto"/>
              </w:rPr>
              <w:t>Citizenship:</w:t>
            </w:r>
          </w:p>
        </w:tc>
      </w:tr>
      <w:tr>
        <w:trPr>
          <w:trHeight w:val="203"/>
        </w:trPr>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See Item 4</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Cover Pages</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(d)</w:t>
            </w:r>
          </w:p>
        </w:tc>
        <w:tc>
          <w:tcPr>
            <w:tcW w:w="3200" w:type="dxa"/>
            <w:vAlign w:val="bottom"/>
          </w:tcPr>
          <w:p>
            <w:pPr>
              <w:ind w:left="160"/>
              <w:spacing w:after="0"/>
              <w:rPr>
                <w:sz w:val="20"/>
                <w:szCs w:val="20"/>
                <w:color w:val="auto"/>
              </w:rPr>
            </w:pPr>
            <w:r>
              <w:rPr>
                <w:rFonts w:ascii="Courier New" w:cs="Courier New" w:eastAsia="Courier New" w:hAnsi="Courier New"/>
                <w:sz w:val="18"/>
                <w:szCs w:val="18"/>
                <w:color w:val="auto"/>
                <w:w w:val="96"/>
              </w:rPr>
              <w:t>Title of Class of Securities:</w:t>
            </w:r>
          </w:p>
        </w:tc>
      </w:tr>
      <w:tr>
        <w:trPr>
          <w:trHeight w:val="203"/>
        </w:trPr>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Common</w:t>
            </w:r>
          </w:p>
        </w:tc>
        <w:tc>
          <w:tcPr>
            <w:tcW w:w="3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Stock</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(e)</w:t>
            </w:r>
          </w:p>
        </w:tc>
        <w:tc>
          <w:tcPr>
            <w:tcW w:w="3200" w:type="dxa"/>
            <w:vAlign w:val="bottom"/>
          </w:tcPr>
          <w:p>
            <w:pPr>
              <w:ind w:left="160"/>
              <w:spacing w:after="0"/>
              <w:rPr>
                <w:sz w:val="20"/>
                <w:szCs w:val="20"/>
                <w:color w:val="auto"/>
              </w:rPr>
            </w:pPr>
            <w:r>
              <w:rPr>
                <w:rFonts w:ascii="Courier New" w:cs="Courier New" w:eastAsia="Courier New" w:hAnsi="Courier New"/>
                <w:sz w:val="18"/>
                <w:szCs w:val="18"/>
                <w:color w:val="auto"/>
              </w:rPr>
              <w:t>CUSIP NUMBER:</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Page 6 of 8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739" w:firstLine="421"/>
        <w:spacing w:after="0" w:line="271" w:lineRule="auto"/>
        <w:rPr>
          <w:sz w:val="20"/>
          <w:szCs w:val="20"/>
          <w:color w:val="auto"/>
        </w:rPr>
      </w:pPr>
      <w:r>
        <w:rPr>
          <w:rFonts w:ascii="Courier New" w:cs="Courier New" w:eastAsia="Courier New" w:hAnsi="Courier New"/>
          <w:sz w:val="16"/>
          <w:szCs w:val="16"/>
          <w:color w:val="auto"/>
        </w:rPr>
        <w:t>Princeton Services, Inc. ("PSI") is a parent holding company in, accordance with (S) 240.13d-1(b)(ii)(G) of the 1934 Act. Merrill Lynch Asset Management, L.P. (d/b/a) Merrill Lynch Asset Management ("MLAM") is an investment adviser registered under (S) 203 of the Investment Advisers Act of 1940 (the "Advisers Act"). Merrill Lynch Growth Fund (the "Fund") is an investment company registered under Section 8 of the Investment Company Act of 1940 (the "Investment Company Act").</w:t>
      </w:r>
    </w:p>
    <w:p>
      <w:pPr>
        <w:spacing w:after="0" w:line="200" w:lineRule="exact"/>
        <w:rPr>
          <w:sz w:val="20"/>
          <w:szCs w:val="20"/>
          <w:color w:val="auto"/>
        </w:rPr>
      </w:pPr>
    </w:p>
    <w:p>
      <w:pPr>
        <w:spacing w:after="0" w:line="38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20" w:right="6939" w:hanging="312"/>
        <w:spacing w:after="0" w:line="536" w:lineRule="auto"/>
        <w:tabs>
          <w:tab w:leader="none" w:pos="53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of Cover Pages.</w:t>
      </w: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Cover Pages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060" w:right="4839" w:hanging="525"/>
        <w:spacing w:after="0" w:line="470" w:lineRule="auto"/>
        <w:tabs>
          <w:tab w:leader="none" w:pos="10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Pages</w:t>
      </w:r>
    </w:p>
    <w:p>
      <w:pPr>
        <w:spacing w:after="0" w:line="11" w:lineRule="exact"/>
        <w:rPr>
          <w:rFonts w:ascii="Courier New" w:cs="Courier New" w:eastAsia="Courier New" w:hAnsi="Courier New"/>
          <w:sz w:val="18"/>
          <w:szCs w:val="18"/>
          <w:color w:val="auto"/>
        </w:rPr>
      </w:pPr>
    </w:p>
    <w:p>
      <w:pPr>
        <w:ind w:left="1060" w:right="4619" w:hanging="631"/>
        <w:spacing w:after="0" w:line="470" w:lineRule="auto"/>
        <w:tabs>
          <w:tab w:leader="none" w:pos="10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the Cover Pages</w:t>
      </w:r>
    </w:p>
    <w:p>
      <w:pPr>
        <w:spacing w:after="0" w:line="11" w:lineRule="exact"/>
        <w:rPr>
          <w:rFonts w:ascii="Courier New" w:cs="Courier New" w:eastAsia="Courier New" w:hAnsi="Courier New"/>
          <w:sz w:val="18"/>
          <w:szCs w:val="18"/>
          <w:color w:val="auto"/>
        </w:rPr>
      </w:pPr>
    </w:p>
    <w:p>
      <w:pPr>
        <w:ind w:left="1060" w:right="3159" w:hanging="736"/>
        <w:spacing w:after="0" w:line="470" w:lineRule="auto"/>
        <w:tabs>
          <w:tab w:leader="none" w:pos="10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of or to direct the disposition of: See Item 7 of Cover Pages</w:t>
      </w:r>
    </w:p>
    <w:p>
      <w:pPr>
        <w:spacing w:after="0" w:line="11" w:lineRule="exact"/>
        <w:rPr>
          <w:rFonts w:ascii="Courier New" w:cs="Courier New" w:eastAsia="Courier New" w:hAnsi="Courier New"/>
          <w:sz w:val="18"/>
          <w:szCs w:val="18"/>
          <w:color w:val="auto"/>
        </w:rPr>
      </w:pPr>
    </w:p>
    <w:p>
      <w:pPr>
        <w:ind w:left="1060" w:right="3259" w:hanging="631"/>
        <w:spacing w:after="0" w:line="470" w:lineRule="auto"/>
        <w:tabs>
          <w:tab w:leader="none" w:pos="10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of or direct the disposition of: See Item 8 of Cover Pages</w:t>
      </w:r>
    </w:p>
    <w:p>
      <w:pPr>
        <w:spacing w:after="0" w:line="200" w:lineRule="exact"/>
        <w:rPr>
          <w:sz w:val="20"/>
          <w:szCs w:val="20"/>
          <w:color w:val="auto"/>
        </w:rPr>
      </w:pPr>
    </w:p>
    <w:p>
      <w:pPr>
        <w:spacing w:after="0" w:line="21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Page 7 of 8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Acquired the Security Being Reported on by the Parent Holding Company.</w:t>
      </w:r>
    </w:p>
    <w:p>
      <w:pPr>
        <w:ind w:left="22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PSI is a corporate managing general partner of Merrill Lynch Asset Management, L.P. and Fund Asset Management, L.P., each of which</w:t>
      </w:r>
    </w:p>
    <w:p>
      <w:pPr>
        <w:spacing w:after="0"/>
        <w:rPr>
          <w:sz w:val="20"/>
          <w:szCs w:val="20"/>
          <w:color w:val="auto"/>
        </w:rPr>
      </w:pPr>
      <w:r>
        <w:rPr>
          <w:rFonts w:ascii="Courier New" w:cs="Courier New" w:eastAsia="Courier New" w:hAnsi="Courier New"/>
          <w:sz w:val="18"/>
          <w:szCs w:val="18"/>
          <w:color w:val="auto"/>
        </w:rPr>
        <w:t>is a registered investment adviser under Section 203 of the Advisers Act.</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By signing below each of the undersigned certifies that, to the best of their knowledge and belief, the securities referred to above were acquired and are held in the ordinary course of business and were not acquired and are not held for the purpose of and do not have the effect of changing or influencing the control of the issuer of such securities and were not acquired and are not held in connection with or as a participant in any transaction having such purpose or effect.</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Page 8 of 8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2099" w:firstLine="42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9,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Services,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Ira P. Shapiro</w:t>
      </w:r>
    </w:p>
    <w:p>
      <w:pPr>
        <w:ind w:left="220" w:hanging="212"/>
        <w:spacing w:after="0" w:line="238" w:lineRule="auto"/>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Ira P. Shapiro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Asset Management, L.P.</w:t>
      </w:r>
    </w:p>
    <w:p>
      <w:pPr>
        <w:spacing w:after="0" w:line="238" w:lineRule="auto"/>
        <w:rPr>
          <w:sz w:val="20"/>
          <w:szCs w:val="20"/>
          <w:color w:val="auto"/>
        </w:rPr>
      </w:pPr>
      <w:r>
        <w:rPr>
          <w:rFonts w:ascii="Courier New" w:cs="Courier New" w:eastAsia="Courier New" w:hAnsi="Courier New"/>
          <w:sz w:val="18"/>
          <w:szCs w:val="18"/>
          <w:color w:val="auto"/>
        </w:rPr>
        <w:t>By: Princeton Services, Inc. (General Partner)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Ira P. Shapiro</w:t>
      </w:r>
    </w:p>
    <w:p>
      <w:pPr>
        <w:ind w:left="220" w:hanging="212"/>
        <w:spacing w:after="0" w:line="238" w:lineRule="auto"/>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6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Name: Ira P. Shapiro Title Attorney-In-Fact**</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 Lynch Growth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Ira P. Shapiro</w:t>
      </w:r>
    </w:p>
    <w:p>
      <w:pPr>
        <w:ind w:left="220" w:hanging="212"/>
        <w:spacing w:after="0" w:line="238" w:lineRule="auto"/>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Ira P. Shapiro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26, 1998, included as an Exhibit to this Schedule 13G filed with the Securities and Exchange Commission by Princeton Services, Inc. on February 14, 1998 with respect to LTX Corporation.</w:t>
      </w:r>
    </w:p>
    <w:p>
      <w:pPr>
        <w:spacing w:after="0" w:line="200" w:lineRule="exact"/>
        <w:rPr>
          <w:sz w:val="20"/>
          <w:szCs w:val="20"/>
          <w:color w:val="auto"/>
        </w:rPr>
      </w:pPr>
    </w:p>
    <w:p>
      <w:pPr>
        <w:spacing w:after="0" w:line="210"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26, 1998, included as an Exhibit to this Schedule 13G filed with the Securities and Exchange Commission by Princeton Services, Inc. on February 14, 1998 with respect to Lattice SemiConductor Corp.</w:t>
      </w:r>
    </w:p>
    <w:p>
      <w:pPr>
        <w:spacing w:after="0" w:line="200" w:lineRule="exact"/>
        <w:rPr>
          <w:sz w:val="20"/>
          <w:szCs w:val="20"/>
          <w:color w:val="auto"/>
        </w:rPr>
      </w:pPr>
    </w:p>
    <w:p>
      <w:pPr>
        <w:spacing w:after="0" w:line="210"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26, 1998, included as an Exhibit to this Schedule 13G filed with the Securities and Exchange Commission by Princeton Services, Inc. on February 14, 1998 with respect to Simon DeBartolo Group.</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5"/>
    </w:lvl>
  </w:abstractNum>
  <w:abstractNum w:abstractNumId="7">
    <w:nsid w:val="6B68079A"/>
    <w:multiLevelType w:val="hybridMultilevel"/>
    <w:lvl w:ilvl="0">
      <w:lvlJc w:val="left"/>
      <w:lvlText w:val="%1."/>
      <w:numFmt w:val="decimal"/>
      <w:start w:val="10"/>
    </w:lvl>
  </w:abstractNum>
  <w:abstractNum w:abstractNumId="8">
    <w:nsid w:val="4E6AFB66"/>
    <w:multiLevelType w:val="hybridMultilevel"/>
    <w:lvl w:ilvl="0">
      <w:lvlJc w:val="left"/>
      <w:lvlText w:val="%1."/>
      <w:numFmt w:val="decimal"/>
      <w:start w:val="12"/>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2"/>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1."/>
      <w:numFmt w:val="decimal"/>
      <w:start w:val="3"/>
    </w:lvl>
  </w:abstractNum>
  <w:abstractNum w:abstractNumId="13">
    <w:nsid w:val="7C83E458"/>
    <w:multiLevelType w:val="hybridMultilevel"/>
    <w:lvl w:ilvl="0">
      <w:lvlJc w:val="left"/>
      <w:lvlText w:val="%1."/>
      <w:numFmt w:val="decimal"/>
      <w:start w:val="6"/>
    </w:lvl>
  </w:abstractNum>
  <w:abstractNum w:abstractNumId="14">
    <w:nsid w:val="257130A3"/>
    <w:multiLevelType w:val="hybridMultilevel"/>
    <w:lvl w:ilvl="0">
      <w:lvlJc w:val="left"/>
      <w:lvlText w:val="%1."/>
      <w:numFmt w:val="decimal"/>
      <w:start w:val="12"/>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decimal"/>
      <w:start w:val="3"/>
    </w:lvl>
  </w:abstractNum>
  <w:abstractNum w:abstractNumId="18">
    <w:nsid w:val="333AB105"/>
    <w:multiLevelType w:val="hybridMultilevel"/>
    <w:lvl w:ilvl="0">
      <w:lvlJc w:val="left"/>
      <w:lvlText w:val="%1."/>
      <w:numFmt w:val="decimal"/>
      <w:start w:val="6"/>
    </w:lvl>
  </w:abstractNum>
  <w:abstractNum w:abstractNumId="19">
    <w:nsid w:val="721DA317"/>
    <w:multiLevelType w:val="hybridMultilevel"/>
    <w:lvl w:ilvl="0">
      <w:lvlJc w:val="left"/>
      <w:lvlText w:val="%1."/>
      <w:numFmt w:val="decimal"/>
      <w:start w:val="12"/>
    </w:lvl>
  </w:abstractNum>
  <w:abstractNum w:abstractNumId="20">
    <w:nsid w:val="2443A858"/>
    <w:multiLevelType w:val="hybridMultilevel"/>
    <w:lvl w:ilvl="0">
      <w:lvlJc w:val="left"/>
      <w:lvlText w:val="(%1)"/>
      <w:numFmt w:val="lowerLetter"/>
      <w:start w:val="1"/>
    </w:lvl>
    <w:lvl w:ilvl="1">
      <w:lvlJc w:val="left"/>
      <w:lvlText w:val="(%2)"/>
      <w:numFmt w:val="lowerRoman"/>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2019-12-13T21:01:45Z</dcterms:created>
  <dcterms:modified xsi:type="dcterms:W3CDTF">2019-12-13T21:01:45Z</dcterms:modified>
</cp:coreProperties>
</file>