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8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7060" w:type="dxa"/>
            <w:vAlign w:val="bottom"/>
            <w:gridSpan w:val="19"/>
          </w:tcPr>
          <w:p>
            <w:pPr>
              <w:jc w:val="center"/>
              <w:ind w:right="4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4"/>
            <w:vMerge w:val="restart"/>
          </w:tcPr>
          <w:p>
            <w:pPr>
              <w:jc w:val="center"/>
              <w:ind w:right="290"/>
              <w:spacing w:after="0" w:line="143" w:lineRule="exact"/>
              <w:rPr>
                <w:sz w:val="20"/>
                <w:szCs w:val="20"/>
                <w:color w:val="auto"/>
              </w:rPr>
            </w:pPr>
            <w:r>
              <w:rPr>
                <w:rFonts w:ascii="Arial" w:cs="Arial" w:eastAsia="Arial" w:hAnsi="Arial"/>
                <w:sz w:val="14"/>
                <w:szCs w:val="14"/>
                <w:color w:val="auto"/>
                <w:w w:val="95"/>
              </w:rPr>
              <w:t>Washington, D.C. 20549</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0" w:type="dxa"/>
            <w:vAlign w:val="bottom"/>
            <w:gridSpan w:val="5"/>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400" w:type="dxa"/>
            <w:vAlign w:val="bottom"/>
            <w:gridSpan w:val="16"/>
            <w:vMerge w:val="restart"/>
          </w:tcPr>
          <w:p>
            <w:pPr>
              <w:jc w:val="center"/>
              <w:ind w:left="104"/>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6400" w:type="dxa"/>
            <w:vAlign w:val="bottom"/>
            <w:gridSpan w:val="16"/>
            <w:vMerge w:val="continue"/>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16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400" w:type="dxa"/>
            <w:vAlign w:val="bottom"/>
            <w:gridSpan w:val="16"/>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4"/>
            <w:vMerge w:val="restart"/>
          </w:tcPr>
          <w:p>
            <w:pPr>
              <w:jc w:val="center"/>
              <w:ind w:right="290"/>
              <w:spacing w:after="0"/>
              <w:rPr>
                <w:sz w:val="20"/>
                <w:szCs w:val="20"/>
                <w:color w:val="auto"/>
              </w:rPr>
            </w:pPr>
            <w:r>
              <w:rPr>
                <w:rFonts w:ascii="Arial" w:cs="Arial" w:eastAsia="Arial" w:hAnsi="Arial"/>
                <w:sz w:val="22"/>
                <w:szCs w:val="22"/>
                <w:b w:val="1"/>
                <w:bCs w:val="1"/>
                <w:color w:val="auto"/>
                <w:w w:val="98"/>
              </w:rPr>
              <w:t>OWNERSHIP</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00" w:type="dxa"/>
            <w:vAlign w:val="bottom"/>
            <w:gridSpan w:val="5"/>
            <w:vMerge w:val="continue"/>
          </w:tcPr>
          <w:p>
            <w:pPr>
              <w:spacing w:after="0"/>
              <w:rPr>
                <w:sz w:val="3"/>
                <w:szCs w:val="3"/>
                <w:color w:val="auto"/>
              </w:rPr>
            </w:pPr>
          </w:p>
        </w:tc>
        <w:tc>
          <w:tcPr>
            <w:tcW w:w="5640" w:type="dxa"/>
            <w:vAlign w:val="bottom"/>
            <w:gridSpan w:val="13"/>
            <w:vMerge w:val="restart"/>
          </w:tcPr>
          <w:p>
            <w:pPr>
              <w:jc w:val="center"/>
              <w:ind w:left="86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0" w:type="dxa"/>
            <w:vAlign w:val="bottom"/>
            <w:gridSpan w:val="5"/>
            <w:vMerge w:val="continue"/>
          </w:tcPr>
          <w:p>
            <w:pPr>
              <w:spacing w:after="0" w:line="20" w:lineRule="exact"/>
              <w:rPr>
                <w:sz w:val="1"/>
                <w:szCs w:val="1"/>
                <w:color w:val="auto"/>
              </w:rPr>
            </w:pPr>
          </w:p>
        </w:tc>
        <w:tc>
          <w:tcPr>
            <w:tcW w:w="5640" w:type="dxa"/>
            <w:vAlign w:val="bottom"/>
            <w:gridSpan w:val="1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640" w:type="dxa"/>
            <w:vAlign w:val="bottom"/>
            <w:gridSpan w:val="13"/>
            <w:vMerge w:val="continue"/>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8"/>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7"/>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80" w:type="dxa"/>
            <w:vAlign w:val="bottom"/>
            <w:gridSpan w:val="1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WEISSMAN IRVING</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6"/>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5"/>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380"/>
              <w:spacing w:after="0"/>
              <w:rPr>
                <w:sz w:val="20"/>
                <w:szCs w:val="20"/>
                <w:color w:val="auto"/>
              </w:rPr>
            </w:pPr>
            <w:r>
              <w:rPr>
                <w:rFonts w:ascii="Arial" w:cs="Arial" w:eastAsia="Arial" w:hAnsi="Arial"/>
                <w:sz w:val="14"/>
                <w:szCs w:val="14"/>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38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8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400" w:type="dxa"/>
            <w:vAlign w:val="bottom"/>
          </w:tcPr>
          <w:p>
            <w:pPr>
              <w:ind w:left="1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gridSpan w:val="10"/>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800" w:type="dxa"/>
            <w:vAlign w:val="bottom"/>
            <w:gridSpan w:val="2"/>
          </w:tcPr>
          <w:p>
            <w:pPr>
              <w:ind w:left="38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vMerge w:val="restart"/>
          </w:tcPr>
          <w:p>
            <w:pPr>
              <w:spacing w:after="0"/>
              <w:rPr>
                <w:sz w:val="20"/>
                <w:szCs w:val="20"/>
                <w:color w:val="auto"/>
              </w:rPr>
            </w:pPr>
            <w:r>
              <w:rPr>
                <w:rFonts w:ascii="Arial" w:cs="Arial" w:eastAsia="Arial" w:hAnsi="Arial"/>
                <w:sz w:val="18"/>
                <w:szCs w:val="18"/>
                <w:color w:val="0000FF"/>
              </w:rPr>
              <w:t>C/O STEMCELLS, INC.</w:t>
            </w:r>
          </w:p>
        </w:tc>
        <w:tc>
          <w:tcPr>
            <w:tcW w:w="1400" w:type="dxa"/>
            <w:vAlign w:val="bottom"/>
          </w:tcPr>
          <w:p>
            <w:pPr>
              <w:spacing w:after="0"/>
              <w:rPr>
                <w:sz w:val="19"/>
                <w:szCs w:val="19"/>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0000FF"/>
                <w:w w:val="99"/>
              </w:rPr>
              <w:t>12/31/2009</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vMerge w:val="restart"/>
          </w:tcPr>
          <w:p>
            <w:pPr>
              <w:spacing w:after="0"/>
              <w:rPr>
                <w:sz w:val="20"/>
                <w:szCs w:val="20"/>
                <w:color w:val="auto"/>
              </w:rPr>
            </w:pPr>
            <w:r>
              <w:rPr>
                <w:rFonts w:ascii="Arial" w:cs="Arial" w:eastAsia="Arial" w:hAnsi="Arial"/>
                <w:sz w:val="18"/>
                <w:szCs w:val="18"/>
                <w:color w:val="0000FF"/>
              </w:rPr>
              <w:t>3155 PORTER DRIVE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9"/>
                <w:szCs w:val="9"/>
                <w:color w:val="auto"/>
              </w:rPr>
            </w:pPr>
          </w:p>
        </w:tc>
        <w:tc>
          <w:tcPr>
            <w:tcW w:w="3380" w:type="dxa"/>
            <w:vAlign w:val="bottom"/>
            <w:gridSpan w:val="12"/>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480" w:type="dxa"/>
            <w:vAlign w:val="bottom"/>
          </w:tcPr>
          <w:p>
            <w:pPr>
              <w:spacing w:after="0"/>
              <w:rPr>
                <w:sz w:val="8"/>
                <w:szCs w:val="8"/>
                <w:color w:val="auto"/>
              </w:rPr>
            </w:pPr>
          </w:p>
        </w:tc>
        <w:tc>
          <w:tcPr>
            <w:tcW w:w="3380" w:type="dxa"/>
            <w:vAlign w:val="bottom"/>
            <w:gridSpan w:val="1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4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vMerge w:val="restart"/>
          </w:tcPr>
          <w:p>
            <w:pPr>
              <w:spacing w:after="0"/>
              <w:rPr>
                <w:sz w:val="5"/>
                <w:szCs w:val="5"/>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11"/>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280" w:type="dxa"/>
            <w:vAlign w:val="bottom"/>
          </w:tcPr>
          <w:p>
            <w:pPr>
              <w:ind w:left="20"/>
              <w:spacing w:after="0"/>
              <w:rPr>
                <w:sz w:val="20"/>
                <w:szCs w:val="20"/>
                <w:color w:val="auto"/>
              </w:rPr>
            </w:pPr>
            <w:r>
              <w:rPr>
                <w:rFonts w:ascii="Arial" w:cs="Arial" w:eastAsia="Arial" w:hAnsi="Arial"/>
                <w:sz w:val="18"/>
                <w:szCs w:val="18"/>
                <w:color w:val="0000FF"/>
                <w:w w:val="95"/>
              </w:rPr>
              <w:t>CA</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0000FF"/>
              </w:rPr>
              <w:t>94304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60" w:type="dxa"/>
            <w:vAlign w:val="bottom"/>
            <w:gridSpan w:val="9"/>
          </w:tcPr>
          <w:p>
            <w:pPr>
              <w:ind w:left="22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tcPr>
          <w:p>
            <w:pPr>
              <w:ind w:left="220"/>
              <w:spacing w:after="0" w:line="136"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0"/>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8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(Instr. 3, 4 and 5)</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86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5"/>
                <w:szCs w:val="5"/>
                <w:color w:val="auto"/>
              </w:rPr>
            </w:pPr>
          </w:p>
        </w:tc>
        <w:tc>
          <w:tcPr>
            <w:tcW w:w="6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12/30/2009</w:t>
            </w:r>
          </w:p>
        </w:tc>
        <w:tc>
          <w:tcPr>
            <w:tcW w:w="108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0000FF"/>
              </w:rPr>
              <w:t>12/30/2009</w:t>
            </w:r>
          </w:p>
        </w:tc>
        <w:tc>
          <w:tcPr>
            <w:tcW w:w="5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w w:val="75"/>
                <w:vertAlign w:val="subscript"/>
              </w:rPr>
              <w:t>G</w:t>
            </w:r>
            <w:r>
              <w:rPr>
                <w:rFonts w:ascii="Arial" w:cs="Arial" w:eastAsia="Arial" w:hAnsi="Arial"/>
                <w:sz w:val="11"/>
                <w:szCs w:val="11"/>
                <w:color w:val="008000"/>
                <w:w w:val="75"/>
              </w:rPr>
              <w:t>(1)</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ind w:right="250"/>
              <w:spacing w:after="0"/>
              <w:rPr>
                <w:sz w:val="20"/>
                <w:szCs w:val="20"/>
                <w:color w:val="auto"/>
              </w:rPr>
            </w:pPr>
            <w:r>
              <w:rPr>
                <w:rFonts w:ascii="Arial" w:cs="Arial" w:eastAsia="Arial" w:hAnsi="Arial"/>
                <w:sz w:val="18"/>
                <w:szCs w:val="18"/>
                <w:color w:val="0000FF"/>
              </w:rPr>
              <w:t>154,320</w:t>
            </w: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jc w:val="center"/>
              <w:ind w:right="199"/>
              <w:spacing w:after="0"/>
              <w:rPr>
                <w:sz w:val="20"/>
                <w:szCs w:val="20"/>
                <w:color w:val="auto"/>
              </w:rPr>
            </w:pPr>
            <w:r>
              <w:rPr>
                <w:rFonts w:ascii="Arial" w:cs="Arial" w:eastAsia="Arial" w:hAnsi="Arial"/>
                <w:sz w:val="18"/>
                <w:szCs w:val="18"/>
                <w:color w:val="0000FF"/>
              </w:rPr>
              <w:t>339,416</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vMerge w:val="restart"/>
          </w:tcPr>
          <w:p>
            <w:pPr>
              <w:ind w:left="400"/>
              <w:spacing w:after="0"/>
              <w:rPr>
                <w:sz w:val="20"/>
                <w:szCs w:val="20"/>
                <w:color w:val="auto"/>
              </w:rPr>
            </w:pPr>
            <w:r>
              <w:rPr>
                <w:rFonts w:ascii="Arial" w:cs="Arial" w:eastAsia="Arial" w:hAnsi="Arial"/>
                <w:sz w:val="18"/>
                <w:szCs w:val="18"/>
                <w:color w:val="0000FF"/>
              </w:rPr>
              <w:t>12/30/2009</w:t>
            </w:r>
          </w:p>
        </w:tc>
        <w:tc>
          <w:tcPr>
            <w:tcW w:w="1080" w:type="dxa"/>
            <w:vAlign w:val="bottom"/>
            <w:gridSpan w:val="4"/>
            <w:vMerge w:val="restart"/>
          </w:tcPr>
          <w:p>
            <w:pPr>
              <w:ind w:left="140"/>
              <w:spacing w:after="0"/>
              <w:rPr>
                <w:sz w:val="20"/>
                <w:szCs w:val="20"/>
                <w:color w:val="auto"/>
              </w:rPr>
            </w:pPr>
            <w:r>
              <w:rPr>
                <w:rFonts w:ascii="Arial" w:cs="Arial" w:eastAsia="Arial" w:hAnsi="Arial"/>
                <w:sz w:val="18"/>
                <w:szCs w:val="18"/>
                <w:color w:val="0000FF"/>
              </w:rPr>
              <w:t>12/30/2009</w:t>
            </w:r>
          </w:p>
        </w:tc>
        <w:tc>
          <w:tcPr>
            <w:tcW w:w="560" w:type="dxa"/>
            <w:vAlign w:val="bottom"/>
            <w:vMerge w:val="restart"/>
          </w:tcPr>
          <w:p>
            <w:pPr>
              <w:ind w:left="300"/>
              <w:spacing w:after="0"/>
              <w:rPr>
                <w:sz w:val="20"/>
                <w:szCs w:val="20"/>
                <w:color w:val="auto"/>
              </w:rPr>
            </w:pPr>
            <w:r>
              <w:rPr>
                <w:rFonts w:ascii="Arial" w:cs="Arial" w:eastAsia="Arial" w:hAnsi="Arial"/>
                <w:sz w:val="35"/>
                <w:szCs w:val="35"/>
                <w:color w:val="0000FF"/>
                <w:w w:val="75"/>
                <w:vertAlign w:val="subscript"/>
              </w:rPr>
              <w:t>G</w:t>
            </w:r>
            <w:r>
              <w:rPr>
                <w:rFonts w:ascii="Arial" w:cs="Arial" w:eastAsia="Arial" w:hAnsi="Arial"/>
                <w:sz w:val="11"/>
                <w:szCs w:val="11"/>
                <w:color w:val="008000"/>
                <w:w w:val="75"/>
              </w:rPr>
              <w:t>(3)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color w:val="0000FF"/>
              </w:rPr>
              <w:t>85,032</w:t>
            </w:r>
          </w:p>
        </w:tc>
        <w:tc>
          <w:tcPr>
            <w:tcW w:w="120" w:type="dxa"/>
            <w:vAlign w:val="bottom"/>
          </w:tcPr>
          <w:p>
            <w:pPr>
              <w:spacing w:after="0"/>
              <w:rPr>
                <w:sz w:val="22"/>
                <w:szCs w:val="22"/>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2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rPr>
              <w:t>190,111</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spacing w:after="0"/>
              <w:rPr>
                <w:sz w:val="20"/>
                <w:szCs w:val="20"/>
                <w:color w:val="auto"/>
              </w:rPr>
            </w:pPr>
            <w:r>
              <w:rPr>
                <w:rFonts w:ascii="Arial" w:cs="Arial" w:eastAsia="Arial" w:hAnsi="Arial"/>
                <w:sz w:val="18"/>
                <w:szCs w:val="18"/>
                <w:color w:val="0000FF"/>
              </w:rPr>
              <w:t>family</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3"/>
            <w:vMerge w:val="continue"/>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40" w:type="dxa"/>
            <w:vAlign w:val="bottom"/>
            <w:gridSpan w:val="13"/>
          </w:tcPr>
          <w:p>
            <w:pPr>
              <w:jc w:val="center"/>
              <w:ind w:left="68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4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Date</w:t>
            </w:r>
          </w:p>
        </w:tc>
        <w:tc>
          <w:tcPr>
            <w:tcW w:w="1140" w:type="dxa"/>
            <w:vAlign w:val="bottom"/>
          </w:tcPr>
          <w:p>
            <w:pPr>
              <w:ind w:left="540"/>
              <w:spacing w:after="0" w:line="135" w:lineRule="exact"/>
              <w:rPr>
                <w:sz w:val="20"/>
                <w:szCs w:val="20"/>
                <w:color w:val="auto"/>
              </w:rPr>
            </w:pPr>
            <w:r>
              <w:rPr>
                <w:rFonts w:ascii="Arial" w:cs="Arial" w:eastAsia="Arial" w:hAnsi="Arial"/>
                <w:sz w:val="12"/>
                <w:szCs w:val="12"/>
                <w:b w:val="1"/>
                <w:bCs w:val="1"/>
                <w:color w:val="auto"/>
                <w:w w:val="98"/>
              </w:rPr>
              <w:t>Expiration</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12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-6046470</wp:posOffset>
            </wp:positionV>
            <wp:extent cx="7272020" cy="6105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10552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involved gifts of securities by the reporting person to his children and grandchildren, either directly or to trusts established for thier benefit, as well as to certain charitable organizations.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10,000 restricted stock units, vesting 100% on October 1, 2010, the one year anniversary of the grant.</w:t>
      </w:r>
    </w:p>
    <w:p>
      <w:pPr>
        <w:spacing w:after="0" w:line="41"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involved gifts of securities by the reporting person to trusts established for the benefit of either a family member of his or a minor who shares the reporting person's household. The reporting person disclaims beneficial ownership of the shares held in these trusts, and this report should not be deemed an admission that the reporting person is the beneficial owner of these shares for purposes of Section 16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190,111 shares held in trust as to which Dr. Weissman disclaims beneficial ownership.</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02/12/2010</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30630" TargetMode="External"/><Relationship Id="rId9"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2019-12-18T01:12:33Z</dcterms:created>
  <dcterms:modified xsi:type="dcterms:W3CDTF">2019-12-18T01:12:33Z</dcterms:modified>
</cp:coreProperties>
</file>