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8"/>
          <w:szCs w:val="18"/>
          <w:color w:val="auto"/>
        </w:rPr>
        <w:t>(Amendment No. 2)</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55" w:orient="portrait"/>
          <w:cols w:equalWidth="0" w:num="2">
            <w:col w:w="2980" w:space="720"/>
            <w:col w:w="6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232923102</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2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10 Pages</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2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gridSpan w:val="2"/>
          </w:tcPr>
          <w:p>
            <w:pPr>
              <w:ind w:left="1800"/>
              <w:spacing w:after="0"/>
              <w:rPr>
                <w:sz w:val="20"/>
                <w:szCs w:val="20"/>
                <w:color w:val="auto"/>
              </w:rPr>
            </w:pPr>
            <w:r>
              <w:rPr>
                <w:rFonts w:ascii="Courier New" w:cs="Courier New" w:eastAsia="Courier New" w:hAnsi="Courier New"/>
                <w:sz w:val="18"/>
                <w:szCs w:val="18"/>
                <w:color w:val="auto"/>
              </w:rPr>
              <w:t>Voting Power</w:t>
            </w:r>
          </w:p>
        </w:tc>
        <w:tc>
          <w:tcPr>
            <w:tcW w:w="152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ind w:left="1800"/>
              <w:spacing w:after="0"/>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2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Voting</w:t>
            </w: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Power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74"/>
              </w:rPr>
              <w:t>)</w:t>
            </w:r>
            <w:r>
              <w:rPr>
                <w:rFonts w:ascii="Courier New" w:cs="Courier New" w:eastAsia="Courier New" w:hAnsi="Courier New"/>
                <w:sz w:val="11"/>
                <w:szCs w:val="11"/>
                <w:color w:val="auto"/>
                <w:w w:val="74"/>
              </w:rPr>
              <w:t>-----------------------------</w:t>
            </w:r>
          </w:p>
        </w:tc>
        <w:tc>
          <w:tcPr>
            <w:tcW w:w="15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17"/>
                <w:szCs w:val="17"/>
                <w:color w:val="auto"/>
              </w:rPr>
            </w:pPr>
          </w:p>
        </w:tc>
        <w:tc>
          <w:tcPr>
            <w:tcW w:w="28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line="237" w:lineRule="auto"/>
        <w:rPr>
          <w:sz w:val="20"/>
          <w:szCs w:val="20"/>
          <w:color w:val="auto"/>
        </w:rPr>
      </w:pPr>
      <w:r>
        <w:rPr>
          <w:rFonts w:ascii="Courier New" w:cs="Courier New" w:eastAsia="Courier New" w:hAnsi="Courier New"/>
          <w:sz w:val="18"/>
          <w:szCs w:val="18"/>
          <w:color w:val="auto"/>
        </w:rPr>
        <w:t>Dispositive 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3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942" w:orient="portrait"/>
          <w:cols w:equalWidth="0" w:num="1">
            <w:col w:w="10219"/>
          </w:cols>
          <w:pgMar w:left="24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942" w:orient="portrait"/>
          <w:cols w:equalWidth="0" w:num="3">
            <w:col w:w="980" w:space="720"/>
            <w:col w:w="1800" w:space="720"/>
            <w:col w:w="599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942"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942" w:orient="portrait"/>
          <w:cols w:equalWidth="0" w:num="3">
            <w:col w:w="2980" w:space="720"/>
            <w:col w:w="520" w:space="520"/>
            <w:col w:w="5479"/>
          </w:cols>
          <w:pgMar w:left="24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942" w:orient="portrait"/>
          <w:cols w:equalWidth="0" w:num="2">
            <w:col w:w="1380" w:space="200"/>
            <w:col w:w="8639"/>
          </w:cols>
          <w:pgMar w:left="240" w:top="339"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942" w:orient="portrait"/>
          <w:cols w:equalWidth="0" w:num="4">
            <w:col w:w="1280" w:space="300"/>
            <w:col w:w="120" w:space="420"/>
            <w:col w:w="320" w:space="720"/>
            <w:col w:w="7059"/>
          </w:cols>
          <w:pgMar w:left="240" w:top="339"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942"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1,134,800</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3359" w:hanging="1052"/>
        <w:spacing w:after="0" w:line="470" w:lineRule="auto"/>
        <w:tabs>
          <w:tab w:leader="none" w:pos="53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1,134,800</w:t>
      </w:r>
    </w:p>
    <w:p>
      <w:pPr>
        <w:sectPr>
          <w:pgSz w:w="11900" w:h="16942" w:orient="portrait"/>
          <w:cols w:equalWidth="0" w:num="1">
            <w:col w:w="10219"/>
          </w:cols>
          <w:pgMar w:left="240" w:top="339" w:right="1440" w:bottom="0" w:gutter="0" w:footer="0" w:header="0"/>
          <w:type w:val="continuous"/>
        </w:sectPr>
      </w:pPr>
    </w:p>
    <w:bookmarkStart w:id="2" w:name="page3"/>
    <w:bookmarkEnd w:id="2"/>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4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42"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42"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42"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1,119,200</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1,119,200</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5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18"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Dispositive Power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w:t>
      </w:r>
    </w:p>
    <w:p>
      <w:pPr>
        <w:spacing w:after="0" w:line="402" w:lineRule="exact"/>
        <w:rPr>
          <w:sz w:val="20"/>
          <w:szCs w:val="20"/>
          <w:color w:val="auto"/>
        </w:rPr>
      </w:pPr>
    </w:p>
    <w:p>
      <w:pPr>
        <w:sectPr>
          <w:pgSz w:w="11900" w:h="16838" w:orient="portrait"/>
          <w:cols w:equalWidth="0" w:num="2">
            <w:col w:w="5480" w:space="320"/>
            <w:col w:w="4419"/>
          </w:cols>
          <w:pgMar w:left="240" w:top="136" w:right="1440" w:bottom="0" w:gutter="0" w:footer="0" w:header="0"/>
          <w:type w:val="continuous"/>
        </w:sectPr>
      </w:pP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15,600</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15,600</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099" w:firstLine="8"/>
        <w:spacing w:after="0" w:line="235"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tabs>
          <w:tab w:leader="none" w:pos="20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ectPr>
          <w:pgSz w:w="11900" w:h="16838" w:orient="portrait"/>
          <w:cols w:equalWidth="0" w:num="1">
            <w:col w:w="10219"/>
          </w:cols>
          <w:pgMar w:left="240" w:top="136" w:right="1440" w:bottom="0" w:gutter="0" w:footer="0" w:header="0"/>
          <w:type w:val="continuous"/>
        </w:sectPr>
      </w:pPr>
    </w:p>
    <w:bookmarkStart w:id="4" w:name="page5"/>
    <w:bookmarkEnd w:id="4"/>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none" w:pos="42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CYTOTHERAPEUTICS, INC.</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TWO RICHMOND SQUARE, PROVIDENCE, RI</w:t>
        <w:tab/>
        <w:t>02906</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Item 2(b)</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Address or</w:t>
      </w:r>
    </w:p>
    <w:p>
      <w:pPr>
        <w:ind w:left="3700"/>
        <w:spacing w:after="0" w:line="238" w:lineRule="auto"/>
        <w:rPr>
          <w:sz w:val="20"/>
          <w:szCs w:val="20"/>
          <w:color w:val="auto"/>
        </w:rPr>
      </w:pPr>
      <w:r>
        <w:rPr>
          <w:rFonts w:ascii="Courier New" w:cs="Courier New" w:eastAsia="Courier New" w:hAnsi="Courier New"/>
          <w:sz w:val="18"/>
          <w:szCs w:val="18"/>
          <w:color w:val="auto"/>
        </w:rPr>
        <w:t>Principal Office or, if none,</w:t>
      </w:r>
    </w:p>
    <w:p>
      <w:pPr>
        <w:ind w:left="3700"/>
        <w:spacing w:after="0"/>
        <w:rPr>
          <w:sz w:val="20"/>
          <w:szCs w:val="20"/>
          <w:color w:val="auto"/>
        </w:rPr>
      </w:pPr>
      <w:r>
        <w:rPr>
          <w:rFonts w:ascii="Courier New" w:cs="Courier New" w:eastAsia="Courier New" w:hAnsi="Courier New"/>
          <w:sz w:val="18"/>
          <w:szCs w:val="18"/>
          <w:color w:val="auto"/>
        </w:rPr>
        <w:t>Residence:</w:t>
      </w:r>
    </w:p>
    <w:p>
      <w:pPr>
        <w:spacing w:after="0" w:line="200"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Putnam Investments, Inc.</w:t>
      </w:r>
      <w:r>
        <w:rPr>
          <w:sz w:val="20"/>
          <w:szCs w:val="20"/>
          <w:color w:val="auto"/>
        </w:rPr>
        <w:tab/>
      </w:r>
      <w:r>
        <w:rPr>
          <w:rFonts w:ascii="Courier New" w:cs="Courier New" w:eastAsia="Courier New" w:hAnsi="Courier New"/>
          <w:sz w:val="16"/>
          <w:szCs w:val="16"/>
          <w:color w:val="auto"/>
        </w:rPr>
        <w:t>One Post Office Square</w:t>
      </w:r>
    </w:p>
    <w:p>
      <w:pPr>
        <w:ind w:left="540"/>
        <w:spacing w:after="0" w:line="238" w:lineRule="auto"/>
        <w:tabs>
          <w:tab w:leader="none" w:pos="3680" w:val="left"/>
        </w:tabs>
        <w:rPr>
          <w:sz w:val="20"/>
          <w:szCs w:val="20"/>
          <w:color w:val="auto"/>
        </w:rPr>
      </w:pPr>
      <w:r>
        <w:rPr>
          <w:rFonts w:ascii="Courier New" w:cs="Courier New" w:eastAsia="Courier New" w:hAnsi="Courier New"/>
          <w:sz w:val="18"/>
          <w:szCs w:val="18"/>
          <w:color w:val="auto"/>
        </w:rPr>
        <w:t>("PI")</w:t>
      </w:r>
      <w:r>
        <w:rPr>
          <w:sz w:val="20"/>
          <w:szCs w:val="20"/>
          <w:color w:val="auto"/>
        </w:rPr>
        <w:tab/>
      </w:r>
      <w:r>
        <w:rPr>
          <w:rFonts w:ascii="Courier New" w:cs="Courier New" w:eastAsia="Courier New" w:hAnsi="Courier New"/>
          <w:sz w:val="18"/>
          <w:szCs w:val="18"/>
          <w:color w:val="auto"/>
        </w:rPr>
        <w:t>Boston, Massachusetts 02109</w:t>
      </w:r>
    </w:p>
    <w:p>
      <w:pPr>
        <w:spacing w:after="0"/>
        <w:rPr>
          <w:sz w:val="20"/>
          <w:szCs w:val="20"/>
          <w:color w:val="auto"/>
        </w:rPr>
      </w:pPr>
      <w:r>
        <w:rPr>
          <w:rFonts w:ascii="Courier New" w:cs="Courier New" w:eastAsia="Courier New" w:hAnsi="Courier New"/>
          <w:sz w:val="18"/>
          <w:szCs w:val="18"/>
          <w:color w:val="auto"/>
        </w:rPr>
        <w:t>on behalf of itself and:</w:t>
      </w:r>
    </w:p>
    <w:p>
      <w:pPr>
        <w:spacing w:after="0" w:line="200"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*Marsh &amp; McLennan Companies, Inc.</w:t>
      </w:r>
      <w:r>
        <w:rPr>
          <w:sz w:val="20"/>
          <w:szCs w:val="20"/>
          <w:color w:val="auto"/>
        </w:rPr>
        <w:tab/>
      </w:r>
      <w:r>
        <w:rPr>
          <w:rFonts w:ascii="Courier New" w:cs="Courier New" w:eastAsia="Courier New" w:hAnsi="Courier New"/>
          <w:sz w:val="16"/>
          <w:szCs w:val="16"/>
          <w:color w:val="auto"/>
        </w:rPr>
        <w:t>1166 Avenue of the</w:t>
      </w:r>
    </w:p>
    <w:p>
      <w:pPr>
        <w:spacing w:after="0" w:line="238" w:lineRule="auto"/>
        <w:rPr>
          <w:sz w:val="20"/>
          <w:szCs w:val="20"/>
          <w:color w:val="auto"/>
        </w:rPr>
      </w:pPr>
      <w:r>
        <w:rPr>
          <w:rFonts w:ascii="Courier New" w:cs="Courier New" w:eastAsia="Courier New" w:hAnsi="Courier New"/>
          <w:sz w:val="18"/>
          <w:szCs w:val="18"/>
          <w:color w:val="auto"/>
        </w:rPr>
        <w:t>Americas</w:t>
      </w:r>
    </w:p>
    <w:p>
      <w:pPr>
        <w:ind w:left="420"/>
        <w:spacing w:after="0"/>
        <w:tabs>
          <w:tab w:leader="none" w:pos="3680" w:val="left"/>
          <w:tab w:leader="none" w:pos="5140" w:val="left"/>
        </w:tabs>
        <w:rPr>
          <w:sz w:val="20"/>
          <w:szCs w:val="20"/>
          <w:color w:val="auto"/>
        </w:rPr>
      </w:pPr>
      <w:r>
        <w:rPr>
          <w:rFonts w:ascii="Courier New" w:cs="Courier New" w:eastAsia="Courier New" w:hAnsi="Courier New"/>
          <w:sz w:val="18"/>
          <w:szCs w:val="18"/>
          <w:color w:val="auto"/>
        </w:rPr>
        <w:t>("MMC")</w:t>
      </w:r>
      <w:r>
        <w:rPr>
          <w:sz w:val="20"/>
          <w:szCs w:val="20"/>
          <w:color w:val="auto"/>
        </w:rPr>
        <w:tab/>
      </w:r>
      <w:r>
        <w:rPr>
          <w:rFonts w:ascii="Courier New" w:cs="Courier New" w:eastAsia="Courier New" w:hAnsi="Courier New"/>
          <w:sz w:val="18"/>
          <w:szCs w:val="18"/>
          <w:color w:val="auto"/>
        </w:rPr>
        <w:t>New York, NY</w:t>
        <w:tab/>
        <w:t>10036</w:t>
      </w:r>
    </w:p>
    <w:p>
      <w:pPr>
        <w:spacing w:after="0" w:line="200"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Putnam Investment Management, Inc.</w:t>
      </w:r>
      <w:r>
        <w:rPr>
          <w:sz w:val="20"/>
          <w:szCs w:val="20"/>
          <w:color w:val="auto"/>
        </w:rPr>
        <w:tab/>
      </w:r>
      <w:r>
        <w:rPr>
          <w:rFonts w:ascii="Courier New" w:cs="Courier New" w:eastAsia="Courier New" w:hAnsi="Courier New"/>
          <w:sz w:val="16"/>
          <w:szCs w:val="16"/>
          <w:color w:val="auto"/>
        </w:rPr>
        <w:t>One Post Office Square</w:t>
      </w:r>
    </w:p>
    <w:p>
      <w:pPr>
        <w:ind w:left="420"/>
        <w:spacing w:after="0" w:line="238" w:lineRule="auto"/>
        <w:tabs>
          <w:tab w:leader="none" w:pos="3680" w:val="left"/>
        </w:tabs>
        <w:rPr>
          <w:sz w:val="20"/>
          <w:szCs w:val="20"/>
          <w:color w:val="auto"/>
        </w:rPr>
      </w:pPr>
      <w:r>
        <w:rPr>
          <w:rFonts w:ascii="Courier New" w:cs="Courier New" w:eastAsia="Courier New" w:hAnsi="Courier New"/>
          <w:sz w:val="18"/>
          <w:szCs w:val="18"/>
          <w:color w:val="auto"/>
        </w:rPr>
        <w:t>("PIM")</w:t>
      </w:r>
      <w:r>
        <w:rPr>
          <w:sz w:val="20"/>
          <w:szCs w:val="20"/>
          <w:color w:val="auto"/>
        </w:rPr>
        <w:tab/>
      </w:r>
      <w:r>
        <w:rPr>
          <w:rFonts w:ascii="Courier New" w:cs="Courier New" w:eastAsia="Courier New" w:hAnsi="Courier New"/>
          <w:sz w:val="18"/>
          <w:szCs w:val="18"/>
          <w:color w:val="auto"/>
        </w:rPr>
        <w:t>Boston, Massachusetts 02109</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The Putnam Advisory Company, Inc.</w:t>
      </w:r>
      <w:r>
        <w:rPr>
          <w:sz w:val="20"/>
          <w:szCs w:val="20"/>
          <w:color w:val="auto"/>
        </w:rPr>
        <w:tab/>
      </w:r>
      <w:r>
        <w:rPr>
          <w:rFonts w:ascii="Courier New" w:cs="Courier New" w:eastAsia="Courier New" w:hAnsi="Courier New"/>
          <w:sz w:val="16"/>
          <w:szCs w:val="16"/>
          <w:color w:val="auto"/>
        </w:rPr>
        <w:t>One Post Office Square</w:t>
      </w:r>
    </w:p>
    <w:p>
      <w:pPr>
        <w:ind w:left="420"/>
        <w:spacing w:after="0" w:line="238" w:lineRule="auto"/>
        <w:tabs>
          <w:tab w:leader="none" w:pos="3680" w:val="left"/>
        </w:tabs>
        <w:rPr>
          <w:sz w:val="20"/>
          <w:szCs w:val="20"/>
          <w:color w:val="auto"/>
        </w:rPr>
      </w:pPr>
      <w:r>
        <w:rPr>
          <w:rFonts w:ascii="Courier New" w:cs="Courier New" w:eastAsia="Courier New" w:hAnsi="Courier New"/>
          <w:sz w:val="18"/>
          <w:szCs w:val="18"/>
          <w:color w:val="auto"/>
        </w:rPr>
        <w:t>("PAC")</w:t>
      </w:r>
      <w:r>
        <w:rPr>
          <w:sz w:val="20"/>
          <w:szCs w:val="20"/>
          <w:color w:val="auto"/>
        </w:rPr>
        <w:tab/>
      </w:r>
      <w:r>
        <w:rPr>
          <w:rFonts w:ascii="Courier New" w:cs="Courier New" w:eastAsia="Courier New" w:hAnsi="Courier New"/>
          <w:sz w:val="18"/>
          <w:szCs w:val="18"/>
          <w:color w:val="auto"/>
        </w:rPr>
        <w:t>Boston, Massachusetts 02109</w:t>
      </w:r>
    </w:p>
    <w:p>
      <w:pPr>
        <w:spacing w:after="0" w:line="202" w:lineRule="exact"/>
        <w:rPr>
          <w:sz w:val="20"/>
          <w:szCs w:val="20"/>
          <w:color w:val="auto"/>
        </w:rPr>
      </w:pPr>
    </w:p>
    <w:p>
      <w:pPr>
        <w:spacing w:after="0"/>
        <w:tabs>
          <w:tab w:leader="none" w:pos="2100" w:val="left"/>
          <w:tab w:leader="none" w:pos="3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PI, PIM and PAC are</w:t>
      </w:r>
    </w:p>
    <w:p>
      <w:pPr>
        <w:ind w:left="1580"/>
        <w:spacing w:after="0" w:line="238" w:lineRule="auto"/>
        <w:rPr>
          <w:sz w:val="20"/>
          <w:szCs w:val="20"/>
          <w:color w:val="auto"/>
        </w:rPr>
      </w:pPr>
      <w:r>
        <w:rPr>
          <w:rFonts w:ascii="Courier New" w:cs="Courier New" w:eastAsia="Courier New" w:hAnsi="Courier New"/>
          <w:sz w:val="18"/>
          <w:szCs w:val="18"/>
          <w:color w:val="auto"/>
        </w:rPr>
        <w:t>corporations organized under Massachusetts law.</w:t>
      </w:r>
    </w:p>
    <w:p>
      <w:pPr>
        <w:ind w:left="1580"/>
        <w:spacing w:after="0"/>
        <w:rPr>
          <w:sz w:val="20"/>
          <w:szCs w:val="20"/>
          <w:color w:val="auto"/>
        </w:rPr>
      </w:pPr>
      <w:r>
        <w:rPr>
          <w:rFonts w:ascii="Courier New" w:cs="Courier New" w:eastAsia="Courier New" w:hAnsi="Courier New"/>
          <w:sz w:val="18"/>
          <w:szCs w:val="18"/>
          <w:color w:val="auto"/>
        </w:rPr>
        <w:t>The citizenship of other persons identified in</w:t>
      </w:r>
    </w:p>
    <w:p>
      <w:pPr>
        <w:ind w:left="1580"/>
        <w:spacing w:after="0" w:line="237" w:lineRule="auto"/>
        <w:rPr>
          <w:sz w:val="20"/>
          <w:szCs w:val="20"/>
          <w:color w:val="auto"/>
        </w:rPr>
      </w:pPr>
      <w:r>
        <w:rPr>
          <w:rFonts w:ascii="Courier New" w:cs="Courier New" w:eastAsia="Courier New" w:hAnsi="Courier New"/>
          <w:sz w:val="18"/>
          <w:szCs w:val="18"/>
          <w:color w:val="auto"/>
        </w:rPr>
        <w:t>Item 2(a) is designated as follows:</w:t>
      </w:r>
    </w:p>
    <w:p>
      <w:pPr>
        <w:spacing w:after="0" w:line="202"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Corporation - Delaware law</w:t>
      </w:r>
    </w:p>
    <w:p>
      <w:pPr>
        <w:spacing w:after="0" w:line="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Voluntary association known as</w:t>
      </w: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Massachusetts business trust - Massachusetts</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law</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232923102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w:t>
      </w:r>
    </w:p>
    <w:p>
      <w:pPr>
        <w:ind w:left="1060"/>
        <w:spacing w:after="0" w:line="238" w:lineRule="auto"/>
        <w:rPr>
          <w:sz w:val="20"/>
          <w:szCs w:val="20"/>
          <w:color w:val="auto"/>
        </w:rPr>
      </w:pPr>
      <w:r>
        <w:rPr>
          <w:rFonts w:ascii="Courier New" w:cs="Courier New" w:eastAsia="Courier New" w:hAnsi="Courier New"/>
          <w:sz w:val="18"/>
          <w:szCs w:val="18"/>
          <w:color w:val="auto"/>
        </w:rPr>
        <w:t>or 13d-2(b), check whether the person filing is a:</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Insurance Company as defined in Section 3(a)(19) of the</w:t>
      </w:r>
    </w:p>
    <w:p>
      <w:pPr>
        <w:ind w:left="1060"/>
        <w:spacing w:after="0" w:line="238" w:lineRule="auto"/>
        <w:rPr>
          <w:sz w:val="20"/>
          <w:szCs w:val="20"/>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Investment Company registered under Section 8 of the</w:t>
      </w:r>
    </w:p>
    <w:p>
      <w:pPr>
        <w:ind w:left="1060"/>
        <w:spacing w:after="0" w:line="238" w:lineRule="auto"/>
        <w:rPr>
          <w:sz w:val="20"/>
          <w:szCs w:val="20"/>
          <w:color w:val="auto"/>
        </w:rPr>
      </w:pPr>
      <w:r>
        <w:rPr>
          <w:rFonts w:ascii="Courier New" w:cs="Courier New" w:eastAsia="Courier New" w:hAnsi="Courier New"/>
          <w:sz w:val="18"/>
          <w:szCs w:val="18"/>
          <w:color w:val="auto"/>
        </w:rPr>
        <w:t>Investment Company Act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(e)( X )</w:t>
      </w:r>
      <w:r>
        <w:rPr>
          <w:sz w:val="20"/>
          <w:szCs w:val="20"/>
          <w:color w:val="auto"/>
        </w:rPr>
        <w:tab/>
      </w:r>
      <w:r>
        <w:rPr>
          <w:rFonts w:ascii="Courier New" w:cs="Courier New" w:eastAsia="Courier New" w:hAnsi="Courier New"/>
          <w:sz w:val="16"/>
          <w:szCs w:val="16"/>
          <w:color w:val="auto"/>
        </w:rPr>
        <w:t>Investment Adviser registered under Section 203 of the</w:t>
      </w:r>
    </w:p>
    <w:p>
      <w:pPr>
        <w:ind w:left="1060"/>
        <w:spacing w:after="0" w:line="238" w:lineRule="auto"/>
        <w:rPr>
          <w:sz w:val="20"/>
          <w:szCs w:val="20"/>
          <w:color w:val="auto"/>
        </w:rPr>
      </w:pPr>
      <w:r>
        <w:rPr>
          <w:rFonts w:ascii="Courier New" w:cs="Courier New" w:eastAsia="Courier New" w:hAnsi="Courier New"/>
          <w:sz w:val="18"/>
          <w:szCs w:val="18"/>
          <w:color w:val="auto"/>
        </w:rPr>
        <w:t>Investment Advisers Act of 1940</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Employee Benefit Plan, Pension Fund which is subject to</w:t>
      </w:r>
    </w:p>
    <w:p>
      <w:pPr>
        <w:spacing w:after="0" w:line="4" w:lineRule="exact"/>
        <w:rPr>
          <w:sz w:val="20"/>
          <w:szCs w:val="20"/>
          <w:color w:val="auto"/>
        </w:rPr>
      </w:pPr>
    </w:p>
    <w:p>
      <w:pPr>
        <w:ind w:left="1060" w:right="3679"/>
        <w:spacing w:after="0" w:line="236" w:lineRule="auto"/>
        <w:rPr>
          <w:sz w:val="20"/>
          <w:szCs w:val="20"/>
          <w:color w:val="auto"/>
        </w:rPr>
      </w:pPr>
      <w:r>
        <w:rPr>
          <w:rFonts w:ascii="Courier New" w:cs="Courier New" w:eastAsia="Courier New" w:hAnsi="Courier New"/>
          <w:sz w:val="18"/>
          <w:szCs w:val="18"/>
          <w:color w:val="auto"/>
        </w:rPr>
        <w:t>the provisions of the Employee Retirement Income Security Act of 1974 or Endowment Fund; see (Section 240.13d-1(b)(1)(ii)(F)</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(g)( X )</w:t>
      </w:r>
      <w:r>
        <w:rPr>
          <w:sz w:val="20"/>
          <w:szCs w:val="20"/>
          <w:color w:val="auto"/>
        </w:rPr>
        <w:tab/>
      </w:r>
      <w:r>
        <w:rPr>
          <w:rFonts w:ascii="Courier New" w:cs="Courier New" w:eastAsia="Courier New" w:hAnsi="Courier New"/>
          <w:sz w:val="16"/>
          <w:szCs w:val="16"/>
          <w:color w:val="auto"/>
        </w:rPr>
        <w:t>Parent Holding Company, in accordance with Section</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1060"/>
        <w:spacing w:after="0"/>
        <w:rPr>
          <w:sz w:val="20"/>
          <w:szCs w:val="20"/>
          <w:color w:val="auto"/>
        </w:rPr>
      </w:pPr>
      <w:r>
        <w:rPr>
          <w:rFonts w:ascii="Courier New" w:cs="Courier New" w:eastAsia="Courier New" w:hAnsi="Courier New"/>
          <w:sz w:val="18"/>
          <w:szCs w:val="18"/>
          <w:color w:val="auto"/>
        </w:rPr>
        <w:t>240.13d-1(b)(ii)(G)</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w:t>
      </w:r>
    </w:p>
    <w:p>
      <w:pPr>
        <w:spacing w:after="0" w:line="238" w:lineRule="auto"/>
        <w:rPr>
          <w:sz w:val="20"/>
          <w:szCs w:val="20"/>
          <w:color w:val="auto"/>
        </w:rPr>
      </w:pPr>
      <w:r>
        <w:rPr>
          <w:rFonts w:ascii="Courier New" w:cs="Courier New" w:eastAsia="Courier New" w:hAnsi="Courier New"/>
          <w:sz w:val="18"/>
          <w:szCs w:val="18"/>
          <w:color w:val="auto"/>
        </w:rPr>
        <w:t>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219"/>
          </w:cols>
          <w:pgMar w:left="240" w:top="136" w:right="1440" w:bottom="0" w:gutter="0" w:footer="0" w:header="0"/>
        </w:sectPr>
      </w:pP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1779"/>
          </w:cols>
          <w:pgMar w:left="240" w:top="136" w:right="1440" w:bottom="0" w:gutter="0" w:footer="0" w:header="0"/>
          <w:type w:val="continuous"/>
        </w:sectPr>
      </w:pP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4">
            <w:col w:w="5080" w:space="720"/>
            <w:col w:w="1380" w:space="720"/>
            <w:col w:w="860" w:space="720"/>
            <w:col w:w="739"/>
          </w:cols>
          <w:pgMar w:left="240" w:top="136" w:right="1440" w:bottom="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advisers</w:t>
      </w:r>
    </w:p>
    <w:p>
      <w:pPr>
        <w:spacing w:after="0" w:line="21"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Parent holding co.</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&amp; subsidiaries of PI)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PIM and PAC)</w:t>
      </w:r>
    </w:p>
    <w:p>
      <w:pPr>
        <w:spacing w:after="0" w:line="200" w:lineRule="exact"/>
        <w:rPr>
          <w:sz w:val="20"/>
          <w:szCs w:val="20"/>
          <w:color w:val="auto"/>
        </w:rPr>
      </w:pPr>
    </w:p>
    <w:p>
      <w:pPr>
        <w:sectPr>
          <w:pgSz w:w="11900" w:h="16838" w:orient="portrait"/>
          <w:cols w:equalWidth="0" w:num="3">
            <w:col w:w="4560" w:space="720"/>
            <w:col w:w="2440" w:space="720"/>
            <w:col w:w="177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1,119,200</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15,600</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1,134,800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bl>
    <w:p>
      <w:pPr>
        <w:spacing w:after="0" w:line="201"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6" w:lineRule="exact"/>
        <w:rPr>
          <w:sz w:val="20"/>
          <w:szCs w:val="20"/>
          <w:color w:val="auto"/>
        </w:rPr>
      </w:pPr>
    </w:p>
    <w:p>
      <w:pPr>
        <w:ind w:left="540" w:right="7359" w:hanging="532"/>
        <w:spacing w:after="0" w:line="268" w:lineRule="auto"/>
        <w:tabs>
          <w:tab w:leader="none" w:pos="5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ind w:left="540"/>
        <w:spacing w:after="0" w:line="233" w:lineRule="auto"/>
        <w:tabs>
          <w:tab w:leader="none" w:pos="3680" w:val="left"/>
          <w:tab w:leader="none" w:pos="5780" w:val="left"/>
          <w:tab w:leader="none" w:pos="7880" w:val="left"/>
          <w:tab w:leader="none" w:pos="946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9,000</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9,000</w:t>
      </w:r>
    </w:p>
    <w:p>
      <w:pPr>
        <w:spacing w:after="0" w:line="202"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w:t>
      </w:r>
    </w:p>
    <w:p>
      <w:pPr>
        <w:ind w:left="540"/>
        <w:spacing w:after="0" w:line="238" w:lineRule="auto"/>
        <w:rPr>
          <w:sz w:val="20"/>
          <w:szCs w:val="20"/>
          <w:color w:val="auto"/>
        </w:rPr>
      </w:pPr>
      <w:r>
        <w:rPr>
          <w:rFonts w:ascii="Courier New" w:cs="Courier New" w:eastAsia="Courier New" w:hAnsi="Courier New"/>
          <w:sz w:val="18"/>
          <w:szCs w:val="18"/>
          <w:color w:val="auto"/>
        </w:rPr>
        <w:t>or to direct the</w:t>
      </w:r>
    </w:p>
    <w:p>
      <w:pPr>
        <w:ind w:left="540"/>
        <w:spacing w:after="0"/>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136" w:right="1440" w:bottom="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136" w:right="1440" w:bottom="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dispose or to direct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disposition of;</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136" w:right="1440" w:bottom="0" w:gutter="0" w:footer="0" w:header="0"/>
          <w:type w:val="continuous"/>
        </w:sectPr>
      </w:pPr>
    </w:p>
    <w:p>
      <w:pPr>
        <w:spacing w:after="0" w:line="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*PIM is investment adviser to Putnam Family of Funds; PAC is investment adviser to institutional clients.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Ten Percent or Less of a Class.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ten percent of the class of securities, check the following (X).</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Ten Percent on Behalf of Another Person.</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ectPr>
          <w:pgSz w:w="11900" w:h="16838" w:orient="portrait"/>
          <w:cols w:equalWidth="0" w:num="1">
            <w:col w:w="10219"/>
          </w:cols>
          <w:pgMar w:left="240" w:top="136" w:right="1440" w:bottom="0" w:gutter="0" w:footer="0" w:header="0"/>
          <w:type w:val="continuous"/>
        </w:sectPr>
      </w:pPr>
    </w:p>
    <w:bookmarkStart w:id="6" w:name="page7"/>
    <w:bookmarkEnd w:id="6"/>
    <w:p>
      <w:pPr>
        <w:ind w:right="37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 which is a wholly-owned subsidiary of M&amp;MC, wholly owns two</w:t>
      </w:r>
    </w:p>
    <w:p>
      <w:pPr>
        <w:spacing w:after="0" w:line="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registered investment advisers: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38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1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ind w:left="540"/>
        <w:spacing w:after="0" w:line="238" w:lineRule="auto"/>
        <w:rPr>
          <w:sz w:val="20"/>
          <w:szCs w:val="20"/>
          <w:color w:val="auto"/>
        </w:rPr>
      </w:pPr>
      <w:r>
        <w:rPr>
          <w:rFonts w:ascii="Courier New" w:cs="Courier New" w:eastAsia="Courier New" w:hAnsi="Courier New"/>
          <w:sz w:val="18"/>
          <w:szCs w:val="18"/>
          <w:color w:val="auto"/>
        </w:rPr>
        <w:t>Assistant Vice President and Associate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5, 1996</w:t>
      </w:r>
    </w:p>
    <w:p>
      <w:pPr>
        <w:spacing w:after="0" w:line="200" w:lineRule="exact"/>
        <w:rPr>
          <w:sz w:val="20"/>
          <w:szCs w:val="20"/>
          <w:color w:val="auto"/>
        </w:rPr>
      </w:pPr>
    </w:p>
    <w:p>
      <w:pPr>
        <w:spacing w:after="0" w:line="20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185"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entitites,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142"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2"/>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3"/>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4"/>
    </w:lvl>
  </w:abstractNum>
  <w:abstractNum w:abstractNumId="8">
    <w:nsid w:val="2A487CB0"/>
    <w:multiLevelType w:val="hybridMultilevel"/>
    <w:lvl w:ilvl="0">
      <w:lvlJc w:val="left"/>
      <w:lvlText w:val="-"/>
      <w:numFmt w:val="bullet"/>
      <w:start w:val="1"/>
    </w:lvl>
    <w:lvl w:ilvl="1">
      <w:lvlJc w:val="left"/>
      <w:lvlText w:val="%2."/>
      <w:numFmt w:val="decimal"/>
      <w:start w:val="5"/>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9"/>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0"/>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12"/>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lvl w:ilvl="1">
      <w:lvlJc w:val="left"/>
      <w:lvlText w:val="%2"/>
      <w:numFmt w:val="upperLetter"/>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2"/>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3"/>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4"/>
    </w:lvl>
  </w:abstractNum>
  <w:abstractNum w:abstractNumId="26">
    <w:nsid w:val="75C6C33A"/>
    <w:multiLevelType w:val="hybridMultilevel"/>
    <w:lvl w:ilvl="0">
      <w:lvlJc w:val="left"/>
      <w:lvlText w:val="-"/>
      <w:numFmt w:val="bullet"/>
      <w:start w:val="1"/>
    </w:lvl>
    <w:lvl w:ilvl="1">
      <w:lvlJc w:val="left"/>
      <w:lvlText w:val="%2."/>
      <w:numFmt w:val="decimal"/>
      <w:start w:val="5"/>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9"/>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0"/>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2"/>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decimal"/>
      <w:start w:val="2"/>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3"/>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4"/>
    </w:lvl>
  </w:abstractNum>
  <w:abstractNum w:abstractNumId="44">
    <w:nsid w:val="10233C99"/>
    <w:multiLevelType w:val="hybridMultilevel"/>
    <w:lvl w:ilvl="0">
      <w:lvlJc w:val="left"/>
      <w:lvlText w:val="-"/>
      <w:numFmt w:val="bullet"/>
      <w:start w:val="1"/>
    </w:lvl>
    <w:lvl w:ilvl="1">
      <w:lvlJc w:val="left"/>
      <w:lvlText w:val="%2."/>
      <w:numFmt w:val="decimal"/>
      <w:start w:val="5"/>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9"/>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decimal"/>
      <w:start w:val="10"/>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1"/>
    </w:lvl>
  </w:abstractNum>
  <w:abstractNum w:abstractNumId="51">
    <w:nsid w:val="5FF87E05"/>
    <w:multiLevelType w:val="hybridMultilevel"/>
    <w:lvl w:ilvl="0">
      <w:lvlJc w:val="left"/>
      <w:lvlText w:val="%1."/>
      <w:numFmt w:val="decimal"/>
      <w:start w:val="12"/>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lvl w:ilvl="1">
      <w:lvlJc w:val="left"/>
      <w:lvlText w:val="%2"/>
      <w:numFmt w:val="upperLetter"/>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1."/>
      <w:numFmt w:val="decimal"/>
      <w:start w:val="2"/>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decimal"/>
      <w:start w:val="3"/>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4"/>
    </w:lvl>
  </w:abstractNum>
  <w:abstractNum w:abstractNumId="61">
    <w:nsid w:val="15014ACB"/>
    <w:multiLevelType w:val="hybridMultilevel"/>
    <w:lvl w:ilvl="0">
      <w:lvlJc w:val="left"/>
      <w:lvlText w:val="-"/>
      <w:numFmt w:val="bullet"/>
      <w:start w:val="1"/>
    </w:lvl>
    <w:lvl w:ilvl="1">
      <w:lvlJc w:val="left"/>
      <w:lvlText w:val="%2."/>
      <w:numFmt w:val="decimal"/>
      <w:start w:val="5"/>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1."/>
      <w:numFmt w:val="decimal"/>
      <w:start w:val="9"/>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10"/>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2"/>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3"/>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2"/>
    </w:lvl>
  </w:abstractNum>
  <w:abstractNum w:abstractNumId="75">
    <w:nsid w:val="BF72B14"/>
    <w:multiLevelType w:val="hybridMultilevel"/>
    <w:lvl w:ilvl="0">
      <w:lvlJc w:val="left"/>
      <w:lvlText w:val="(%1)"/>
      <w:numFmt w:val="decimal"/>
      <w:start w:val="3"/>
    </w:lvl>
  </w:abstractNum>
  <w:abstractNum w:abstractNumId="76">
    <w:nsid w:val="11447B7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2019-12-13T21:51:37Z</dcterms:created>
  <dcterms:modified xsi:type="dcterms:W3CDTF">2019-12-13T21:51:37Z</dcterms:modified>
</cp:coreProperties>
</file>