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Burell Scott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GROVE STREET, SUITE 388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BRAINTREE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74,218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74,218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74,218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as follows and in accordance with the terms of the Issuer's 2020 Omnibus Performance Award Plan, as amended: (a) on May 2, 2024, the option shall vest and shall become exercisable with respect to 25% of the common stock; and (b) on a quarterly basis over the next 30 months, the option shall equally vest and become exercisable with respect to the remaining 75% of the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Burell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99318" TargetMode="External"/><Relationship Id="rId4" Type="http://schemas.openxmlformats.org/officeDocument/2006/relationships/hyperlink" Target="http://www.sec.gov/cgi-bin/browse-edgar?action=getcompany&amp;CIK=000088397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3423</Characters>
  <CharactersWithSpaces>4001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