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&amp;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StemCells,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85857R105</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May 15, 2003</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5" w:lineRule="exact"/>
        <w:rPr>
          <w:sz w:val="24"/>
          <w:szCs w:val="24"/>
          <w:color w:val="auto"/>
        </w:rPr>
      </w:pPr>
    </w:p>
    <w:p>
      <w:pPr>
        <w:jc w:val="both"/>
        <w:ind w:left="540" w:right="7899" w:hanging="5"/>
        <w:spacing w:after="0" w:line="268"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280" w:right="451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Millennium Partners, L.P.</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180" w:hanging="535"/>
        <w:spacing w:after="0" w:line="238" w:lineRule="auto"/>
        <w:tabs>
          <w:tab w:leader="none" w:pos="71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Cayman Islands</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4,000,000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4,000,000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380" w:right="5159" w:hanging="845"/>
        <w:spacing w:after="0" w:line="236" w:lineRule="auto"/>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4,000,000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hanging="845"/>
        <w:spacing w:after="0" w:line="238"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(9) EXCLUDES CERTAIN SHARES **</w:t>
      </w:r>
    </w:p>
    <w:p>
      <w:pPr>
        <w:ind w:left="7180"/>
        <w:spacing w:after="0"/>
        <w:rPr>
          <w:sz w:val="20"/>
          <w:szCs w:val="20"/>
          <w:color w:val="auto"/>
        </w:rPr>
      </w:pPr>
      <w:r>
        <w:rPr>
          <w:rFonts w:ascii="Courier New" w:cs="Courier New" w:eastAsia="Courier New" w:hAnsi="Courier New"/>
          <w:sz w:val="18"/>
          <w:szCs w:val="18"/>
          <w:color w:val="auto"/>
        </w:rPr>
        <w:t>[ ]</w:t>
      </w:r>
    </w:p>
    <w:p>
      <w:pPr>
        <w:ind w:left="220" w:hanging="212"/>
        <w:spacing w:after="0" w:line="237"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380" w:right="5899" w:hanging="845"/>
        <w:spacing w:after="0" w:line="268" w:lineRule="auto"/>
        <w:tabs>
          <w:tab w:leader="none" w:pos="13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11.85%</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380" w:right="5999" w:hanging="845"/>
        <w:spacing w:after="0" w:line="235" w:lineRule="auto"/>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PN</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540" w:hanging="320"/>
        <w:spacing w:after="0"/>
        <w:tabs>
          <w:tab w:leader="none" w:pos="254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pacing w:after="0" w:line="209"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This Amendment No. 4 (this "Amendment") is hereby filed pursuant to Rule 13d-2(d) with respect to the shares of common stock, par value $0.01 per share (the "Common Stock") of StemCells, Inc. (the "Issuer") and amends and supplements the Schedule 13G originally filed by the Reporting Person on September 12, 2000 with the Securities Exchange Commission (the "SEC"), as amended by Amendment No. 1 filed with the SEC on February 23, 2001, Amendment No. 2 filed with the SEC on December 14, 2001 and Amendment No. 3 filed with the SEC on December 21, 2001, in connection with its beneficial ownership of shares of the Common Stock. In this Amendment, the undersigned amends and restates the entire text of Items 4, 7 and 10.</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900" w:hanging="839"/>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may be deemed the beneficial owner of:</w:t>
      </w:r>
    </w:p>
    <w:p>
      <w:pPr>
        <w:spacing w:after="0" w:line="4" w:lineRule="exact"/>
        <w:rPr>
          <w:rFonts w:ascii="Courier New" w:cs="Courier New" w:eastAsia="Courier New" w:hAnsi="Courier New"/>
          <w:sz w:val="18"/>
          <w:szCs w:val="18"/>
          <w:color w:val="auto"/>
        </w:rPr>
      </w:pPr>
    </w:p>
    <w:p>
      <w:pPr>
        <w:ind w:left="1900" w:right="1779" w:firstLine="4"/>
        <w:spacing w:after="0" w:line="268" w:lineRule="auto"/>
        <w:tabs>
          <w:tab w:leader="none" w:pos="232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4,000,000 shares of Common Stock held outright by Riverview Group, LLC, a Delaware limited liability company and wholly-owned subsidiary of the Reporting Person ("Riverview") and (ii) subject to the Ownership Limitation (defined below),</w:t>
      </w:r>
    </w:p>
    <w:p>
      <w:pPr>
        <w:ind w:left="1900" w:right="1779" w:firstLine="4"/>
        <w:spacing w:after="0" w:line="237" w:lineRule="auto"/>
        <w:tabs>
          <w:tab w:leader="none" w:pos="2321"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2,420,726 shares of Common Stock currently issuable to Riverview upon the exercise of certain warrants (the "Warrants") and (y) 1,000,000 shares of Common Stock currently issuable to Riverview upon the conversion of shares of the Issuer's 3% Cumulative Convertible Preferred Stock (the "Preferred Stock").</w:t>
      </w:r>
    </w:p>
    <w:p>
      <w:pPr>
        <w:spacing w:after="0" w:line="210" w:lineRule="exact"/>
        <w:rPr>
          <w:sz w:val="20"/>
          <w:szCs w:val="20"/>
          <w:color w:val="auto"/>
        </w:rPr>
      </w:pPr>
    </w:p>
    <w:p>
      <w:pPr>
        <w:ind w:left="1900" w:right="1779"/>
        <w:spacing w:after="0" w:line="238" w:lineRule="auto"/>
        <w:rPr>
          <w:sz w:val="20"/>
          <w:szCs w:val="20"/>
          <w:color w:val="auto"/>
        </w:rPr>
      </w:pPr>
      <w:r>
        <w:rPr>
          <w:rFonts w:ascii="Courier New" w:cs="Courier New" w:eastAsia="Courier New" w:hAnsi="Courier New"/>
          <w:sz w:val="18"/>
          <w:szCs w:val="18"/>
          <w:color w:val="auto"/>
        </w:rPr>
        <w:t>In accordance with Rule 13d-4 under the Securities Exchange Act of 1934, as amended, because the number of shares of Common Stock into which the Warrants and shares of Preferred Stock are exercisable or convertible, as applicable, are limited, pursuant to the terms of the Warrants and certificate of designations covering the Preferred Stock, to that number of shares of Common Stock which would result in Riverview having aggregate beneficial ownership of not more than 9.99% of the total issued and outstanding shares of Common Stock (the "Ownership Limitation"), the Reporting Person disclaims beneficial ownership of any and all shares of Common Stock that would cause Riverview's aggregate beneficial ownership to exceed the Ownership Limitation.</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Therefore, as of the date of filing of this Amendment, in accordance with the Ownership Limitation, the Reporting Person may be deemed the beneficial owner of 4,000,000 shares of Common Stock, and disclaims beneficial ownership of 3,420,726 shares of Common Stock.</w:t>
      </w:r>
    </w:p>
    <w:p>
      <w:pPr>
        <w:spacing w:after="0" w:line="203" w:lineRule="exact"/>
        <w:rPr>
          <w:sz w:val="20"/>
          <w:szCs w:val="20"/>
          <w:color w:val="auto"/>
        </w:rPr>
      </w:pPr>
    </w:p>
    <w:p>
      <w:pPr>
        <w:ind w:left="1900" w:hanging="839"/>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right="2739" w:firstLine="1896"/>
        <w:spacing w:after="0" w:line="290" w:lineRule="auto"/>
        <w:rPr>
          <w:sz w:val="20"/>
          <w:szCs w:val="20"/>
          <w:color w:val="auto"/>
        </w:rPr>
      </w:pPr>
      <w:r>
        <w:rPr>
          <w:rFonts w:ascii="Courier New" w:cs="Courier New" w:eastAsia="Courier New" w:hAnsi="Courier New"/>
          <w:sz w:val="16"/>
          <w:szCs w:val="16"/>
          <w:color w:val="auto"/>
        </w:rPr>
        <w:t>Approximately 11.85% as of the date of filing of this Amendment. (Based on confirmation of the Issuer's transfer agent to the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Reporting Person there were 29,768,273 shares of Common Stock issued and outstanding as of the close of business on May 13, 2003 and on May 15, 2003, the Issuer issued 4,000,000 shares of Common Stock to Riverview.)</w:t>
      </w:r>
    </w:p>
    <w:p>
      <w:pPr>
        <w:spacing w:after="0" w:line="203" w:lineRule="exact"/>
        <w:rPr>
          <w:sz w:val="20"/>
          <w:szCs w:val="20"/>
          <w:color w:val="auto"/>
        </w:rPr>
      </w:pPr>
    </w:p>
    <w:p>
      <w:pPr>
        <w:ind w:left="2000" w:hanging="939"/>
        <w:spacing w:after="0"/>
        <w:tabs>
          <w:tab w:leader="none" w:pos="20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4,000,000 shares of Common Stock.</w:t>
      </w:r>
    </w:p>
    <w:p>
      <w:pPr>
        <w:spacing w:after="0" w:line="206" w:lineRule="exact"/>
        <w:rPr>
          <w:rFonts w:ascii="Courier New" w:cs="Courier New" w:eastAsia="Courier New" w:hAnsi="Courier New"/>
          <w:sz w:val="18"/>
          <w:szCs w:val="18"/>
          <w:color w:val="auto"/>
        </w:rPr>
      </w:pPr>
    </w:p>
    <w:p>
      <w:pPr>
        <w:ind w:left="2640" w:right="3159" w:hanging="630"/>
        <w:spacing w:after="0" w:line="470" w:lineRule="auto"/>
        <w:tabs>
          <w:tab w:leader="none" w:pos="2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1" w:lineRule="exact"/>
        <w:rPr>
          <w:rFonts w:ascii="Courier New" w:cs="Courier New" w:eastAsia="Courier New" w:hAnsi="Courier New"/>
          <w:sz w:val="18"/>
          <w:szCs w:val="18"/>
          <w:color w:val="auto"/>
        </w:rPr>
      </w:pPr>
    </w:p>
    <w:p>
      <w:pPr>
        <w:ind w:left="2640" w:right="1999" w:hanging="630"/>
        <w:spacing w:after="0" w:line="470" w:lineRule="auto"/>
        <w:tabs>
          <w:tab w:leader="none" w:pos="2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4,000,000 shares of Common Stock.</w:t>
      </w:r>
    </w:p>
    <w:p>
      <w:pPr>
        <w:spacing w:after="0" w:line="11" w:lineRule="exact"/>
        <w:rPr>
          <w:rFonts w:ascii="Courier New" w:cs="Courier New" w:eastAsia="Courier New" w:hAnsi="Courier New"/>
          <w:sz w:val="18"/>
          <w:szCs w:val="18"/>
          <w:color w:val="auto"/>
        </w:rPr>
      </w:pPr>
    </w:p>
    <w:p>
      <w:pPr>
        <w:ind w:left="2640" w:right="1779" w:hanging="630"/>
        <w:spacing w:after="0" w:line="470" w:lineRule="auto"/>
        <w:tabs>
          <w:tab w:leader="none" w:pos="2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12" w:lineRule="exact"/>
        <w:rPr>
          <w:sz w:val="20"/>
          <w:szCs w:val="20"/>
          <w:color w:val="auto"/>
        </w:rPr>
      </w:pPr>
    </w:p>
    <w:p>
      <w:pPr>
        <w:ind w:left="1160" w:right="209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9" w:lineRule="exact"/>
        <w:rPr>
          <w:sz w:val="20"/>
          <w:szCs w:val="20"/>
          <w:color w:val="auto"/>
        </w:rPr>
      </w:pPr>
    </w:p>
    <w:p>
      <w:pPr>
        <w:ind w:left="1160" w:right="2619"/>
        <w:spacing w:after="0" w:line="235" w:lineRule="auto"/>
        <w:rPr>
          <w:sz w:val="20"/>
          <w:szCs w:val="20"/>
          <w:color w:val="auto"/>
        </w:rPr>
      </w:pPr>
      <w:r>
        <w:rPr>
          <w:rFonts w:ascii="Courier New" w:cs="Courier New" w:eastAsia="Courier New" w:hAnsi="Courier New"/>
          <w:sz w:val="18"/>
          <w:szCs w:val="18"/>
          <w:color w:val="auto"/>
        </w:rPr>
        <w:t>The 4,000,000 shares of Common Stock referred to in the first paragraph of Item 4(a) above are held by Riverview.</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2099"/>
        <w:spacing w:after="0" w:line="272" w:lineRule="auto"/>
        <w:rPr>
          <w:sz w:val="20"/>
          <w:szCs w:val="20"/>
          <w:color w:val="auto"/>
        </w:rPr>
      </w:pPr>
      <w:r>
        <w:rPr>
          <w:rFonts w:ascii="Courier New" w:cs="Courier New" w:eastAsia="Courier New" w:hAnsi="Courier New"/>
          <w:sz w:val="16"/>
          <w:szCs w:val="16"/>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27, 2003</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MILLENNIUM PARTNERS, L.P.</w:t>
      </w:r>
    </w:p>
    <w:p>
      <w:pPr>
        <w:spacing w:after="0" w:line="200" w:lineRule="exact"/>
        <w:rPr>
          <w:sz w:val="20"/>
          <w:szCs w:val="20"/>
          <w:color w:val="auto"/>
        </w:rPr>
      </w:pPr>
    </w:p>
    <w:p>
      <w:pPr>
        <w:spacing w:after="0" w:line="204" w:lineRule="exact"/>
        <w:rPr>
          <w:sz w:val="20"/>
          <w:szCs w:val="20"/>
          <w:color w:val="auto"/>
        </w:rPr>
      </w:pP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Williams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100" w:val="left"/>
        </w:tabs>
        <w:rPr>
          <w:sz w:val="20"/>
          <w:szCs w:val="20"/>
          <w:color w:val="auto"/>
        </w:rPr>
      </w:pPr>
      <w:r>
        <w:rPr>
          <w:rFonts w:ascii="Courier New" w:cs="Courier New" w:eastAsia="Courier New" w:hAnsi="Courier New"/>
          <w:sz w:val="18"/>
          <w:szCs w:val="18"/>
          <w:color w:val="auto"/>
        </w:rPr>
        <w:t>Name:</w:t>
        <w:tab/>
        <w:t>Robert Williams</w:t>
      </w:r>
    </w:p>
    <w:p>
      <w:pPr>
        <w:ind w:left="3380"/>
        <w:spacing w:after="0" w:line="237" w:lineRule="auto"/>
        <w:rPr>
          <w:sz w:val="20"/>
          <w:szCs w:val="20"/>
          <w:color w:val="auto"/>
        </w:rPr>
      </w:pPr>
      <w:r>
        <w:rPr>
          <w:rFonts w:ascii="Courier New" w:cs="Courier New" w:eastAsia="Courier New" w:hAnsi="Courier New"/>
          <w:sz w:val="18"/>
          <w:szCs w:val="18"/>
          <w:color w:val="auto"/>
        </w:rPr>
        <w:t>Title: 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7545E146"/>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515F007C"/>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
    <w:nsid w:val="5BD062C2"/>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
    <w:nsid w:val="12200854"/>
    <w:multiLevelType w:val="hybridMultilevel"/>
    <w:lvl w:ilvl="0">
      <w:lvlJc w:val="left"/>
      <w:lvlText w:val="-"/>
      <w:numFmt w:val="bullet"/>
      <w:start w:val="1"/>
    </w:lvl>
    <w:lvl w:ilvl="1">
      <w:lvlJc w:val="left"/>
      <w:lvlText w:val="(%2)"/>
      <w:numFmt w:val="decimal"/>
      <w:start w:val="9"/>
    </w:lvl>
  </w:abstractNum>
  <w:abstractNum w:abstractNumId="6">
    <w:nsid w:val="4DB127F8"/>
    <w:multiLevelType w:val="hybridMultilevel"/>
    <w:lvl w:ilvl="0">
      <w:lvlJc w:val="left"/>
      <w:lvlText w:val="-"/>
      <w:numFmt w:val="bullet"/>
      <w:start w:val="1"/>
    </w:lvl>
    <w:lvl w:ilvl="1">
      <w:lvlJc w:val="left"/>
      <w:lvlText w:val="(%2)"/>
      <w:numFmt w:val="decimal"/>
      <w:start w:val="10"/>
    </w:lvl>
  </w:abstractNum>
  <w:abstractNum w:abstractNumId="7">
    <w:nsid w:val="216231B"/>
    <w:multiLevelType w:val="hybridMultilevel"/>
    <w:lvl w:ilvl="0">
      <w:lvlJc w:val="left"/>
      <w:lvlText w:val="-"/>
      <w:numFmt w:val="bullet"/>
      <w:start w:val="1"/>
    </w:lvl>
    <w:lvl w:ilvl="1">
      <w:lvlJc w:val="left"/>
      <w:lvlText w:val="(%2)"/>
      <w:numFmt w:val="decimal"/>
      <w:start w:val="11"/>
    </w:lvl>
    <w:lvl w:ilvl="2">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2)"/>
      <w:numFmt w:val="decimal"/>
      <w:start w:val="12"/>
    </w:lvl>
    <w:lvl w:ilvl="2">
      <w:lvlJc w:val="left"/>
      <w:lvlText w:val="**"/>
      <w:numFmt w:val="bullet"/>
      <w:start w:val="1"/>
    </w:lvl>
  </w:abstractNum>
  <w:abstractNum w:abstractNumId="9">
    <w:nsid w:val="1190CDE7"/>
    <w:multiLevelType w:val="hybridMultilevel"/>
    <w:lvl w:ilvl="0">
      <w:lvlJc w:val="left"/>
      <w:lvlText w:val="(%1)"/>
      <w:numFmt w:val="lowerLetter"/>
      <w:start w:val="1"/>
    </w:lvl>
    <w:lvl w:ilvl="1">
      <w:lvlJc w:val="left"/>
      <w:lvlText w:val="(%2)"/>
      <w:numFmt w:val="lowerLetter"/>
      <w:start w:val="9"/>
    </w:lvl>
  </w:abstractNum>
  <w:abstractNum w:abstractNumId="10">
    <w:nsid w:val="66EF438D"/>
    <w:multiLevelType w:val="hybridMultilevel"/>
    <w:lvl w:ilvl="0">
      <w:lvlJc w:val="left"/>
      <w:lvlText w:val="%1"/>
      <w:numFmt w:val="lowerLetter"/>
      <w:start w:val="1"/>
    </w:lvl>
    <w:lvl w:ilvl="1">
      <w:lvlJc w:val="left"/>
      <w:lvlText w:val="(%2)"/>
      <w:numFmt w:val="lowerLetter"/>
      <w:start w:val="24"/>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2019-12-11T22:54:02Z</dcterms:created>
  <dcterms:modified xsi:type="dcterms:W3CDTF">2019-12-11T22:54:02Z</dcterms:modified>
</cp:coreProperties>
</file>