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25,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47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39"/>
        </w:trPr>
        <w:tc>
          <w:tcPr>
            <w:tcW w:w="3260" w:type="dxa"/>
            <w:vAlign w:val="bottom"/>
            <w:tcBorders>
              <w:bottom w:val="single" w:sz="8" w:color="808080"/>
            </w:tcBorders>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Borders>
              <w:bottom w:val="single" w:sz="8" w:color="808080"/>
            </w:tcBorders>
          </w:tcPr>
          <w:p>
            <w:pPr>
              <w:jc w:val="center"/>
              <w:ind w:left="650"/>
              <w:spacing w:after="0"/>
              <w:rPr>
                <w:sz w:val="20"/>
                <w:szCs w:val="20"/>
                <w:color w:val="auto"/>
              </w:rPr>
            </w:pPr>
            <w:r>
              <w:rPr>
                <w:rFonts w:ascii="Arial" w:cs="Arial" w:eastAsia="Arial" w:hAnsi="Arial"/>
                <w:sz w:val="18"/>
                <w:szCs w:val="18"/>
                <w:b w:val="1"/>
                <w:bCs w:val="1"/>
                <w:color w:val="auto"/>
                <w:w w:val="90"/>
              </w:rPr>
              <w:t>0-19871</w:t>
            </w: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jc w:val="right"/>
              <w:ind w:right="1190"/>
              <w:spacing w:after="0"/>
              <w:rPr>
                <w:sz w:val="20"/>
                <w:szCs w:val="20"/>
                <w:color w:val="auto"/>
              </w:rPr>
            </w:pPr>
            <w:r>
              <w:rPr>
                <w:rFonts w:ascii="Arial" w:cs="Arial" w:eastAsia="Arial" w:hAnsi="Arial"/>
                <w:sz w:val="18"/>
                <w:szCs w:val="18"/>
                <w:b w:val="1"/>
                <w:bCs w:val="1"/>
                <w:color w:val="auto"/>
              </w:rPr>
              <w:t>94-3078125</w:t>
            </w:r>
          </w:p>
        </w:tc>
      </w:tr>
      <w:tr>
        <w:trPr>
          <w:trHeight w:val="215"/>
        </w:trPr>
        <w:tc>
          <w:tcPr>
            <w:tcW w:w="3260" w:type="dxa"/>
            <w:vAlign w:val="bottom"/>
          </w:tcPr>
          <w:p>
            <w:pPr>
              <w:jc w:val="center"/>
              <w:ind w:left="110"/>
              <w:spacing w:after="0"/>
              <w:rPr>
                <w:sz w:val="20"/>
                <w:szCs w:val="20"/>
                <w:color w:val="auto"/>
              </w:rPr>
            </w:pPr>
            <w:r>
              <w:rPr>
                <w:rFonts w:ascii="Arial" w:cs="Arial" w:eastAsia="Arial" w:hAnsi="Arial"/>
                <w:sz w:val="18"/>
                <w:szCs w:val="18"/>
                <w:color w:val="auto"/>
                <w:w w:val="92"/>
              </w:rPr>
              <w:t>(State or other jurisdiction</w:t>
            </w:r>
          </w:p>
        </w:tc>
        <w:tc>
          <w:tcPr>
            <w:tcW w:w="474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(Commission</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260" w:type="dxa"/>
            <w:vAlign w:val="bottom"/>
          </w:tcPr>
          <w:p>
            <w:pPr>
              <w:jc w:val="center"/>
              <w:ind w:left="110"/>
              <w:spacing w:after="0"/>
              <w:rPr>
                <w:sz w:val="20"/>
                <w:szCs w:val="20"/>
                <w:color w:val="auto"/>
              </w:rPr>
            </w:pPr>
            <w:r>
              <w:rPr>
                <w:rFonts w:ascii="Arial" w:cs="Arial" w:eastAsia="Arial" w:hAnsi="Arial"/>
                <w:sz w:val="18"/>
                <w:szCs w:val="18"/>
                <w:color w:val="auto"/>
                <w:w w:val="93"/>
              </w:rPr>
              <w:t>of incorporation)</w:t>
            </w:r>
          </w:p>
        </w:tc>
        <w:tc>
          <w:tcPr>
            <w:tcW w:w="474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00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3"/>
              </w:rPr>
              <w:t>3155 Porter Drive, Palo Alto, California</w:t>
            </w:r>
          </w:p>
        </w:tc>
        <w:tc>
          <w:tcPr>
            <w:tcW w:w="3420" w:type="dxa"/>
            <w:vAlign w:val="bottom"/>
          </w:tcPr>
          <w:p>
            <w:pPr>
              <w:jc w:val="right"/>
              <w:ind w:right="1390"/>
              <w:spacing w:after="0"/>
              <w:rPr>
                <w:sz w:val="20"/>
                <w:szCs w:val="20"/>
                <w:color w:val="auto"/>
              </w:rPr>
            </w:pPr>
            <w:r>
              <w:rPr>
                <w:rFonts w:ascii="Arial" w:cs="Arial" w:eastAsia="Arial" w:hAnsi="Arial"/>
                <w:sz w:val="18"/>
                <w:szCs w:val="18"/>
                <w:b w:val="1"/>
                <w:bCs w:val="1"/>
                <w:color w:val="auto"/>
              </w:rPr>
              <w:t>94304</w:t>
            </w:r>
          </w:p>
        </w:tc>
      </w:tr>
      <w:tr>
        <w:trPr>
          <w:trHeight w:val="230"/>
        </w:trPr>
        <w:tc>
          <w:tcPr>
            <w:tcW w:w="7440" w:type="dxa"/>
            <w:vAlign w:val="bottom"/>
            <w:tcBorders>
              <w:top w:val="single" w:sz="8" w:color="808080"/>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20"/>
                <w:szCs w:val="20"/>
                <w:color w:val="auto"/>
              </w:rPr>
            </w:pPr>
          </w:p>
        </w:tc>
        <w:tc>
          <w:tcPr>
            <w:tcW w:w="3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(605)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5.03 Amendments to Articles of Incorporation or Bylaws; Change in Fiscal Year.</w:t>
        </w:r>
      </w:hyperlink>
    </w:p>
    <w:p>
      <w:pPr>
        <w:spacing w:after="0" w:line="3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Effective May 25, 2004, StemCells, Inc. (the “Company”) filed an amendment to its Restated Certificate of Incorporation to increase the total number of shares of stock that the Company shall have the authority to issue from 76,000,000 shares to 126,000,000 shares. A copy of the Certificate of Amendment, as filed, is attached hereto as Exhibit 4.1.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06"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Exhibit 4.1 Certificate of Amendment of the Restated Certificate of Incorporation of 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STEMCELLS, INC.</w:t>
            </w:r>
          </w:p>
        </w:tc>
        <w:tc>
          <w:tcPr>
            <w:tcW w:w="168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Martin McGlynn</w:t>
            </w:r>
          </w:p>
        </w:tc>
        <w:tc>
          <w:tcPr>
            <w:tcW w:w="168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McGlynn</w:t>
            </w:r>
          </w:p>
        </w:tc>
        <w:tc>
          <w:tcPr>
            <w:tcW w:w="168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October 25, 2004</w:t>
            </w: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80" w:type="dxa"/>
            <w:vAlign w:val="bottom"/>
          </w:tcPr>
          <w:p>
            <w:pPr>
              <w:spacing w:after="0"/>
              <w:rPr>
                <w:sz w:val="20"/>
                <w:szCs w:val="20"/>
                <w:color w:val="auto"/>
              </w:rPr>
            </w:pPr>
          </w:p>
        </w:tc>
      </w:tr>
      <w:tr>
        <w:trPr>
          <w:trHeight w:val="834"/>
        </w:trPr>
        <w:tc>
          <w:tcPr>
            <w:tcW w:w="35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Exhibit 4.1</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right="1339"/>
        <w:spacing w:after="0" w:line="277" w:lineRule="auto"/>
        <w:rPr>
          <w:sz w:val="20"/>
          <w:szCs w:val="20"/>
          <w:color w:val="auto"/>
        </w:rPr>
      </w:pPr>
      <w:r>
        <w:rPr>
          <w:rFonts w:ascii="Arial" w:cs="Arial" w:eastAsia="Arial" w:hAnsi="Arial"/>
          <w:sz w:val="18"/>
          <w:szCs w:val="18"/>
          <w:color w:val="auto"/>
        </w:rPr>
        <w:t>Certificate of Amendment of the Restated Certificate of Incorporation of StemCells, Inc.</w:t>
      </w:r>
    </w:p>
    <w:p>
      <w:pPr>
        <w:sectPr>
          <w:pgSz w:w="11900" w:h="16838" w:orient="portrait"/>
          <w:cols w:equalWidth="0" w:num="2">
            <w:col w:w="2920" w:space="720"/>
            <w:col w:w="6579"/>
          </w:cols>
          <w:pgMar w:left="240" w:top="419" w:right="1440"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RESTATED CERTIFICATE OF INCORPORATION OF</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STEMCELLS, INC.</w:t>
      </w:r>
    </w:p>
    <w:p>
      <w:pPr>
        <w:spacing w:after="0" w:line="18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Section 242 of the General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Law of the State of 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StemCells, Inc., a Delaware corporation (the “Corporation”), does hereby certify as follows:</w:t>
      </w:r>
    </w:p>
    <w:p>
      <w:pPr>
        <w:spacing w:after="0" w:line="185"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FIRST, the Restated Certificate of Incorporation of StemCells, Inc. (the “Corporation”) is hereby amended so that the first paragraph of Section Four is deleted in its entirety and restated as follows:</w:t>
      </w:r>
    </w:p>
    <w:p>
      <w:pPr>
        <w:spacing w:after="0" w:line="130" w:lineRule="exact"/>
        <w:rPr>
          <w:sz w:val="20"/>
          <w:szCs w:val="20"/>
          <w:color w:val="auto"/>
        </w:rPr>
      </w:pPr>
    </w:p>
    <w:p>
      <w:pPr>
        <w:ind w:left="360" w:right="320" w:firstLine="225"/>
        <w:spacing w:after="0" w:line="264" w:lineRule="auto"/>
        <w:rPr>
          <w:sz w:val="20"/>
          <w:szCs w:val="20"/>
          <w:color w:val="auto"/>
        </w:rPr>
      </w:pPr>
      <w:r>
        <w:rPr>
          <w:rFonts w:ascii="Arial" w:cs="Arial" w:eastAsia="Arial" w:hAnsi="Arial"/>
          <w:sz w:val="18"/>
          <w:szCs w:val="18"/>
          <w:color w:val="auto"/>
        </w:rPr>
        <w:t>Four. The total number of shares of stock that this Corporation shall have authority to issue is 126,000,000, consisting of 125,000,000 shares of Common Stock, with a par value of $.01 per share (the “Common Stock”), and 1,000,000 shares of Undesignated Preferred Stock with a par value of $.01 per share (the “Undesignated Preferred Stock”).</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SECOND, the foregoing amendment has been duly adopted in accordance with Section 242 of the General Corporate Law of the State of Delaware.</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WITNESS WHEREOF, the undersigned has caused this Certificate to be duly executed in its corporate name this 25th day of May, 2004.</w:t>
      </w:r>
    </w:p>
    <w:p>
      <w:pPr>
        <w:spacing w:after="0" w:line="23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 /s/ Iris Brest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Iris Brest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2019-12-13T21:52:01Z</dcterms:created>
  <dcterms:modified xsi:type="dcterms:W3CDTF">2019-12-13T21:52:01Z</dcterms:modified>
</cp:coreProperties>
</file>