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GREER R SCOTT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06/03/2010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80"/>
              <w:spacing w:after="0"/>
              <w:rPr>
                <w:sz w:val="20"/>
                <w:szCs w:val="20"/>
                <w:color w:val="auto"/>
              </w:rPr>
            </w:pPr>
            <w:r>
              <w:rPr>
                <w:rFonts w:ascii="Arial" w:cs="Arial" w:eastAsia="Arial" w:hAnsi="Arial"/>
                <w:sz w:val="14"/>
                <w:szCs w:val="14"/>
                <w:color w:val="auto"/>
              </w:rPr>
              <w:t>(First)</w:t>
            </w:r>
          </w:p>
        </w:tc>
        <w:tc>
          <w:tcPr>
            <w:tcW w:w="124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C/O STEMCELLS, INC.</w:t>
            </w:r>
          </w:p>
        </w:tc>
        <w:tc>
          <w:tcPr>
            <w:tcW w:w="12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3155 PORTER DRIVE</w:t>
            </w:r>
          </w:p>
        </w:tc>
        <w:tc>
          <w:tcPr>
            <w:tcW w:w="12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w w:val="99"/>
              </w:rPr>
              <w:t>PALO ALTO</w:t>
            </w:r>
          </w:p>
        </w:tc>
        <w:tc>
          <w:tcPr>
            <w:tcW w:w="960" w:type="dxa"/>
            <w:vAlign w:val="bottom"/>
          </w:tcPr>
          <w:p>
            <w:pPr>
              <w:ind w:left="80"/>
              <w:spacing w:after="0"/>
              <w:rPr>
                <w:sz w:val="20"/>
                <w:szCs w:val="20"/>
                <w:color w:val="auto"/>
              </w:rPr>
            </w:pPr>
            <w:r>
              <w:rPr>
                <w:rFonts w:ascii="Arial" w:cs="Arial" w:eastAsia="Arial" w:hAnsi="Arial"/>
                <w:sz w:val="18"/>
                <w:szCs w:val="18"/>
                <w:color w:val="0000FF"/>
              </w:rPr>
              <w:t>CA</w:t>
            </w:r>
          </w:p>
        </w:tc>
        <w:tc>
          <w:tcPr>
            <w:tcW w:w="1240" w:type="dxa"/>
            <w:vAlign w:val="bottom"/>
          </w:tcPr>
          <w:p>
            <w:pPr>
              <w:ind w:left="200"/>
              <w:spacing w:after="0"/>
              <w:rPr>
                <w:sz w:val="20"/>
                <w:szCs w:val="20"/>
                <w:color w:val="auto"/>
              </w:rPr>
            </w:pPr>
            <w:r>
              <w:rPr>
                <w:rFonts w:ascii="Arial" w:cs="Arial" w:eastAsia="Arial" w:hAnsi="Arial"/>
                <w:sz w:val="18"/>
                <w:szCs w:val="18"/>
                <w:color w:val="0000FF"/>
              </w:rPr>
              <w:t>94304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200,000</w:t>
            </w:r>
            <w:r>
              <w:rPr>
                <w:rFonts w:ascii="Arial" w:cs="Arial" w:eastAsia="Arial" w:hAnsi="Arial"/>
                <w:sz w:val="22"/>
                <w:szCs w:val="22"/>
                <w:color w:val="008000"/>
                <w:vertAlign w:val="superscript"/>
              </w:rPr>
              <w:t>(1)</w:t>
            </w:r>
          </w:p>
        </w:tc>
        <w:tc>
          <w:tcPr>
            <w:tcW w:w="1060" w:type="dxa"/>
            <w:vAlign w:val="bottom"/>
            <w:tcBorders>
              <w:bottom w:val="single" w:sz="8" w:color="2C2C2C"/>
            </w:tcBorders>
          </w:tcPr>
          <w:p>
            <w:pPr>
              <w:ind w:left="8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Includes 150,000 restricted stock units granted as non-employee director compensation, with 1/3 vesting on June 3, 2011, 1/3 vesting on June 3, 2012 and 1/3 vesting on June 3, 2013.</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06/10/2010</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Kenneth Stratton, George Koshy and Martin McGlynn, signing singly, the undersigned's true and lawful attorney-in-fact to:</w:t>
      </w:r>
    </w:p>
    <w:p>
      <w:pPr>
        <w:spacing w:after="0" w:line="209" w:lineRule="exact"/>
        <w:rPr>
          <w:sz w:val="20"/>
          <w:szCs w:val="20"/>
          <w:color w:val="auto"/>
        </w:rPr>
      </w:pPr>
    </w:p>
    <w:p>
      <w:pPr>
        <w:ind w:right="145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StemCells, Inc. (the "Company"), Forms 3, 4 and</w:t>
      </w: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NASDAQ Stock Market;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of 1933 or the rules promulgated thereunder, including Rule 144, or the Securities and Exchange Act of 1934 or the rules promulgated thereunder, including Section 16.</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June, 2010.</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R. Scott Greer</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 Scott Greer</w:t>
      </w:r>
    </w:p>
    <w:p>
      <w:pPr>
        <w:ind w:left="8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11703" TargetMode="External"/><Relationship Id="rId12"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2019-12-24T02:46:26Z</dcterms:created>
  <dcterms:modified xsi:type="dcterms:W3CDTF">2019-12-24T02:46:26Z</dcterms:modified>
</cp:coreProperties>
</file>