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64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644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Sharon Simon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MICROBOT MEDICAL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 GROVE STREET, SUITE 388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Microbot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MBOT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General Manager, CTO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BRAINTREE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02184</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3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restart"/>
          </w:tcPr>
          <w:p>
            <w:pPr>
              <w:jc w:val="right"/>
              <w:ind w:right="302"/>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43,750</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02/05/2025</w:t>
            </w: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43,750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02/05/2035</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43,750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jc w:val="center"/>
              <w:ind w:right="56"/>
              <w:spacing w:after="0"/>
              <w:rPr>
                <w:sz w:val="20"/>
                <w:szCs w:val="20"/>
                <w:color w:val="auto"/>
              </w:rPr>
            </w:pPr>
            <w:r>
              <w:rPr>
                <w:rFonts w:ascii="Times New Roman" w:cs="Times New Roman" w:eastAsia="Times New Roman" w:hAnsi="Times New Roman"/>
                <w:sz w:val="13"/>
                <w:szCs w:val="13"/>
                <w:color w:val="0000FF"/>
              </w:rPr>
              <w:t>02/26/2024</w:t>
            </w:r>
            <w:r>
              <w:rPr>
                <w:rFonts w:ascii="Times New Roman" w:cs="Times New Roman" w:eastAsia="Times New Roman" w:hAnsi="Times New Roman"/>
                <w:sz w:val="21"/>
                <w:szCs w:val="21"/>
                <w:color w:val="008000"/>
                <w:vertAlign w:val="superscript"/>
              </w:rPr>
              <w:t>(2)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8,750</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8,750</w:t>
            </w:r>
          </w:p>
        </w:tc>
        <w:tc>
          <w:tcPr>
            <w:tcW w:w="340" w:type="dxa"/>
            <w:vAlign w:val="bottom"/>
          </w:tcPr>
          <w:p>
            <w:pPr>
              <w:spacing w:after="0"/>
              <w:rPr>
                <w:sz w:val="5"/>
                <w:szCs w:val="5"/>
                <w:color w:val="auto"/>
              </w:rPr>
            </w:pPr>
          </w:p>
        </w:tc>
        <w:tc>
          <w:tcPr>
            <w:tcW w:w="76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3"/>
                <w:szCs w:val="13"/>
                <w:color w:val="0000FF"/>
              </w:rPr>
              <w:t>02/05/2025</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02/26/2034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8,750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28"/>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Buy)</w:t>
            </w:r>
          </w:p>
        </w:tc>
        <w:tc>
          <w:tcPr>
            <w:tcW w:w="3740" w:type="dxa"/>
            <w:vAlign w:val="bottom"/>
          </w:tcPr>
          <w:p>
            <w:pPr>
              <w:jc w:val="center"/>
              <w:ind w:left="3176"/>
              <w:spacing w:after="0" w:line="128"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500" w:type="dxa"/>
            <w:vAlign w:val="bottom"/>
            <w:vMerge w:val="continue"/>
          </w:tcPr>
          <w:p>
            <w:pPr>
              <w:spacing w:after="0"/>
              <w:rPr>
                <w:sz w:val="7"/>
                <w:szCs w:val="7"/>
                <w:color w:val="auto"/>
              </w:rPr>
            </w:pPr>
          </w:p>
        </w:tc>
        <w:tc>
          <w:tcPr>
            <w:tcW w:w="3740" w:type="dxa"/>
            <w:vAlign w:val="bottom"/>
            <w:vMerge w:val="restart"/>
          </w:tcPr>
          <w:p>
            <w:pPr>
              <w:jc w:val="center"/>
              <w:ind w:left="3176"/>
              <w:spacing w:after="0"/>
              <w:rPr>
                <w:sz w:val="20"/>
                <w:szCs w:val="20"/>
                <w:color w:val="auto"/>
              </w:rPr>
            </w:pPr>
            <w:r>
              <w:rPr>
                <w:rFonts w:ascii="Times New Roman" w:cs="Times New Roman" w:eastAsia="Times New Roman" w:hAnsi="Times New Roman"/>
                <w:sz w:val="13"/>
                <w:szCs w:val="13"/>
                <w:color w:val="0000FF"/>
                <w:w w:val="94"/>
              </w:rPr>
              <w:t>share</w:t>
            </w:r>
          </w:p>
        </w:tc>
        <w:tc>
          <w:tcPr>
            <w:tcW w:w="0" w:type="dxa"/>
            <w:vAlign w:val="bottom"/>
          </w:tcPr>
          <w:p>
            <w:pPr>
              <w:spacing w:after="0"/>
              <w:rPr>
                <w:sz w:val="1"/>
                <w:szCs w:val="1"/>
                <w:color w:val="auto"/>
              </w:rPr>
            </w:pPr>
          </w:p>
        </w:tc>
      </w:tr>
      <w:tr>
        <w:trPr>
          <w:trHeight w:val="77"/>
        </w:trPr>
        <w:tc>
          <w:tcPr>
            <w:tcW w:w="350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as follows and in accordance with the terms of the Issuer's 2020 Omnibus Performance Award Plan (the "Plan"): (a) on August 5, 2025, the option shall vest and shall become exercisable with respect to 25% of the common stock; and (b) on a quarterly basis over the next 30 months, the option shall equally vest and become exercisable with respect to the remaining 75% of the common stock, subject to acceleration pursuant to the terms of the Plan.</w:t>
      </w:r>
    </w:p>
    <w:p>
      <w:pPr>
        <w:spacing w:after="0" w:line="26"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options, granted on February 26, 2024, were performance-based options the vesting of which was subject to the satisfaction of milestones. On February 5, 2025, the Compensation Committee of the Board of Directors of the Issuer confirmed and determined that the milestones with respect to 8,750 options have been met and, accordingly, vested.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Simon Sharon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02/07/2025</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1272" TargetMode="External"/><Relationship Id="rId14"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2025-02-07T15:42:33Z</dcterms:created>
  <dcterms:modified xsi:type="dcterms:W3CDTF">2025-02-07T15:42:33Z</dcterms:modified>
</cp:coreProperties>
</file>