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11, 2021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7"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January 11, 2021, Microbot Medical Inc. issued a press release announcing that it has concluded 2020 with the achievement of several operating and developmental milestones, with plans to execute additional developmental, regulatory and clinical goals in 2021 as specified in the press release.</w:t>
      </w:r>
    </w:p>
    <w:p>
      <w:pPr>
        <w:spacing w:after="0" w:line="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press release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156845</wp:posOffset>
            </wp:positionV>
            <wp:extent cx="1911350" cy="754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1135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Demonstrates Significant Progress in 2020; Outlines Anticipated Milestones for 2021</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Hingham, MA – January 11, 2021 </w:t>
      </w:r>
      <w:r>
        <w:rPr>
          <w:rFonts w:ascii="Times New Roman" w:cs="Times New Roman" w:eastAsia="Times New Roman" w:hAnsi="Times New Roman"/>
          <w:sz w:val="18"/>
          <w:szCs w:val="18"/>
          <w:color w:val="auto"/>
        </w:rPr>
        <w:t>– Microbot Medical Inc. (Nasdaq CM: MBOT) has concluded 2020 with the achievement of several operating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developmental milestones. The Company believes it is well positioned to leverage and capitalize upon this momentum through 2021, with plans to execute additional developmental, regulatory and clinical goals.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2020 Operational and Product Achievements</w:t>
      </w:r>
    </w:p>
    <w:p>
      <w:pPr>
        <w:spacing w:after="0" w:line="229" w:lineRule="exact"/>
        <w:rPr>
          <w:sz w:val="20"/>
          <w:szCs w:val="20"/>
          <w:color w:val="auto"/>
        </w:rPr>
      </w:pPr>
    </w:p>
    <w:p>
      <w:pPr>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Officially unveiled the LIBERTY™ Robotic System, the world’s first fully disposable surgical robotic system, which features a unique compact design with the capability to be operated remotely, reduce radiation exposure and physical strain to the physician.</w:t>
      </w: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animal feasibility studies using the LIBERTY™ Robotic System. To date, the LIBERTY Robotic system met the required end points with no intraoperative adverse events. The results support the Company’s objectives to allow physicians to remotely conduct catheter-based procedures from outside procedure rooms, avoiding radiation exposure, physical strain and the risk of cross contamination from infectious pathogens, such as COVID 19.</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a pre-submission meeting with the U.S. Food and Drug Administration (FDA) to apply for an Early Feasibility Study (EFS) for the Self-Cleaning Shunt (SCS).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IP Portfolio with Global Patent Allowances resulting in a total of 40 patents granted and 23 patent applications pending approval.</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Bolstered management team with Dr. Eyal Morag as Chief Medical Officer, to lead development and execution of clinical strategy for the Company’s technology platforms, including the Self-Cleaning Shunt (SCS) and LIBERTY Robotic System, as well as its future pipeline. Dr. Morag had been a member of the Company’s Scientific Advisory Board since November 2017.</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Board of Directors with the additions of Eileen Stockburger and Tal Wenderow.</w:t>
      </w:r>
    </w:p>
    <w:p>
      <w:pPr>
        <w:spacing w:after="0" w:line="229" w:lineRule="exact"/>
        <w:rPr>
          <w:rFonts w:ascii="Times New Roman" w:cs="Times New Roman" w:eastAsia="Times New Roman" w:hAnsi="Times New Roman"/>
          <w:sz w:val="18"/>
          <w:szCs w:val="18"/>
          <w:color w:val="auto"/>
        </w:rPr>
      </w:pPr>
    </w:p>
    <w:p>
      <w:pPr>
        <w:ind w:left="9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Eileen Stockburger </w:t>
      </w:r>
      <w:r>
        <w:rPr>
          <w:rFonts w:ascii="Times New Roman" w:cs="Times New Roman" w:eastAsia="Times New Roman" w:hAnsi="Times New Roman"/>
          <w:sz w:val="18"/>
          <w:szCs w:val="18"/>
          <w:color w:val="auto"/>
        </w:rPr>
        <w:t>is an experienced executive and consultant with extensive expertise in strategizing, managing and closing sizable,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complex worldwide mergers and acquisitions, licensing agreements and divestitures, as well as expertise in business development, strategic planning and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ind w:left="9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Tal Wenderow </w:t>
      </w:r>
      <w:r>
        <w:rPr>
          <w:rFonts w:ascii="Times New Roman" w:cs="Times New Roman" w:eastAsia="Times New Roman" w:hAnsi="Times New Roman"/>
          <w:sz w:val="18"/>
          <w:szCs w:val="18"/>
          <w:color w:val="auto"/>
        </w:rPr>
        <w:t>is an expert medical device and robotics executive with a proven track record in small and mid-size companies. He co-founded Corindus Vascular Robotics, a robotic-assisted vascular interventions company, and contributed to the company’s success, leading to its $1.1 billion acquisition by Siemens Healthineers AG in October 2019.</w:t>
      </w:r>
    </w:p>
    <w:p>
      <w:pPr>
        <w:spacing w:after="0" w:line="20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thought leadership capabilities with the addition of new members to the Company’s Scientific Advisory Board (SAB).</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Anticipated 2021 Key Operational and Product Milestones</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animal feasibility studies on the LIBERTY Robotic System.</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design freeze for LIBERTY Robotic System by Q3 2021.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pivotal animal study for the LIBERTY Robotic system in the second half of 2021.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Finalize FDA pre-submission for the LIBERTY Robotic System by Q4 2021.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EFS pre-submission in regards to the SCS with the FDA by end of Q1 2021.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explore M&amp;A opportunities that will enhance the Company’s assets and core capabilities.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protect the Company’s global IP portfolio in global jurisdictions, which creates significant barriers to entry.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recruit medical pioneers and thought leaders to the Company’s senior leadership, Board of Directors and SAB.</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 including LIBERTY and SCS, the outcome of its studies to evaluate LIBERTY,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
      <w:numFmt w:val="bullet"/>
      <w:start w:val="1"/>
    </w:lvl>
  </w:abstractNum>
  <w:abstractNum w:abstractNumId="2">
    <w:nsid w:val="2AE8944A"/>
    <w:multiLevelType w:val="hybridMultilevel"/>
    <w:lvl w:ilvl="0">
      <w:lvlJc w:val="left"/>
      <w:lvlText w:val="●"/>
      <w:numFmt w:val="bullet"/>
      <w:start w:val="1"/>
    </w:lvl>
    <w:lvl w:ilvl="1">
      <w:lvlJc w:val="left"/>
      <w:lvlText w:val=" "/>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2021-01-11T06:24:58Z</dcterms:created>
  <dcterms:modified xsi:type="dcterms:W3CDTF">2021-01-11T06:24:58Z</dcterms:modified>
</cp:coreProperties>
</file>