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131445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 or 15(d) of</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SECURITIES EXCHANGE ACT OF 1934</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16,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126365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STEMCELLS, INC.</w:t>
      </w: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52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(Exact name of registrant as specified in its charter)</w:t>
            </w:r>
          </w:p>
        </w:tc>
        <w:tc>
          <w:tcPr>
            <w:tcW w:w="3040" w:type="dxa"/>
            <w:vAlign w:val="bottom"/>
          </w:tcPr>
          <w:p>
            <w:pPr>
              <w:spacing w:after="0"/>
              <w:rPr>
                <w:sz w:val="20"/>
                <w:szCs w:val="20"/>
                <w:color w:val="auto"/>
              </w:rPr>
            </w:pPr>
          </w:p>
        </w:tc>
      </w:tr>
      <w:tr>
        <w:trPr>
          <w:trHeight w:val="418"/>
        </w:trPr>
        <w:tc>
          <w:tcPr>
            <w:tcW w:w="312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Delaware</w:t>
            </w:r>
          </w:p>
        </w:tc>
        <w:tc>
          <w:tcPr>
            <w:tcW w:w="404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90"/>
              </w:rPr>
              <w:t>0-19871</w:t>
            </w:r>
          </w:p>
        </w:tc>
        <w:tc>
          <w:tcPr>
            <w:tcW w:w="1220" w:type="dxa"/>
            <w:vAlign w:val="bottom"/>
          </w:tcPr>
          <w:p>
            <w:pPr>
              <w:spacing w:after="0"/>
              <w:rPr>
                <w:sz w:val="24"/>
                <w:szCs w:val="24"/>
                <w:color w:val="auto"/>
              </w:rPr>
            </w:pPr>
          </w:p>
        </w:tc>
        <w:tc>
          <w:tcPr>
            <w:tcW w:w="3040" w:type="dxa"/>
            <w:vAlign w:val="bottom"/>
          </w:tcPr>
          <w:p>
            <w:pPr>
              <w:jc w:val="center"/>
              <w:ind w:right="290"/>
              <w:spacing w:after="0"/>
              <w:rPr>
                <w:sz w:val="20"/>
                <w:szCs w:val="20"/>
                <w:color w:val="auto"/>
              </w:rPr>
            </w:pPr>
            <w:r>
              <w:rPr>
                <w:rFonts w:ascii="Arial" w:cs="Arial" w:eastAsia="Arial" w:hAnsi="Arial"/>
                <w:sz w:val="18"/>
                <w:szCs w:val="18"/>
                <w:b w:val="1"/>
                <w:bCs w:val="1"/>
                <w:color w:val="auto"/>
                <w:w w:val="89"/>
              </w:rPr>
              <w:t>94-3078125</w:t>
            </w:r>
          </w:p>
        </w:tc>
      </w:tr>
      <w:tr>
        <w:trPr>
          <w:trHeight w:val="216"/>
        </w:trPr>
        <w:tc>
          <w:tcPr>
            <w:tcW w:w="3120" w:type="dxa"/>
            <w:vAlign w:val="bottom"/>
          </w:tcPr>
          <w:p>
            <w:pPr>
              <w:jc w:val="center"/>
              <w:ind w:left="250"/>
              <w:spacing w:after="0"/>
              <w:rPr>
                <w:sz w:val="20"/>
                <w:szCs w:val="20"/>
                <w:color w:val="auto"/>
              </w:rPr>
            </w:pPr>
            <w:r>
              <w:rPr>
                <w:rFonts w:ascii="Arial" w:cs="Arial" w:eastAsia="Arial" w:hAnsi="Arial"/>
                <w:sz w:val="18"/>
                <w:szCs w:val="18"/>
                <w:color w:val="auto"/>
                <w:w w:val="92"/>
              </w:rPr>
              <w:t>(State or other jurisdiction</w:t>
            </w:r>
          </w:p>
        </w:tc>
        <w:tc>
          <w:tcPr>
            <w:tcW w:w="1160" w:type="dxa"/>
            <w:vAlign w:val="bottom"/>
          </w:tcPr>
          <w:p>
            <w:pPr>
              <w:spacing w:after="0"/>
              <w:rPr>
                <w:sz w:val="18"/>
                <w:szCs w:val="18"/>
                <w:color w:val="auto"/>
              </w:rPr>
            </w:pPr>
          </w:p>
        </w:tc>
        <w:tc>
          <w:tcPr>
            <w:tcW w:w="4100" w:type="dxa"/>
            <w:vAlign w:val="bottom"/>
            <w:gridSpan w:val="2"/>
          </w:tcPr>
          <w:p>
            <w:pPr>
              <w:jc w:val="center"/>
              <w:ind w:right="1200"/>
              <w:spacing w:after="0"/>
              <w:rPr>
                <w:sz w:val="20"/>
                <w:szCs w:val="20"/>
                <w:color w:val="auto"/>
              </w:rPr>
            </w:pPr>
            <w:r>
              <w:rPr>
                <w:rFonts w:ascii="Arial" w:cs="Arial" w:eastAsia="Arial" w:hAnsi="Arial"/>
                <w:sz w:val="18"/>
                <w:szCs w:val="18"/>
                <w:color w:val="auto"/>
                <w:w w:val="92"/>
              </w:rPr>
              <w:t>(Commission File Number)</w:t>
            </w:r>
          </w:p>
        </w:tc>
        <w:tc>
          <w:tcPr>
            <w:tcW w:w="3040" w:type="dxa"/>
            <w:vAlign w:val="bottom"/>
          </w:tcPr>
          <w:p>
            <w:pPr>
              <w:jc w:val="center"/>
              <w:ind w:right="290"/>
              <w:spacing w:after="0"/>
              <w:rPr>
                <w:sz w:val="20"/>
                <w:szCs w:val="20"/>
                <w:color w:val="auto"/>
              </w:rPr>
            </w:pPr>
            <w:r>
              <w:rPr>
                <w:rFonts w:ascii="Arial" w:cs="Arial" w:eastAsia="Arial" w:hAnsi="Arial"/>
                <w:sz w:val="18"/>
                <w:szCs w:val="18"/>
                <w:color w:val="auto"/>
                <w:w w:val="92"/>
              </w:rPr>
              <w:t>(I.R.S. Employer</w:t>
            </w:r>
          </w:p>
        </w:tc>
      </w:tr>
      <w:tr>
        <w:trPr>
          <w:trHeight w:val="230"/>
        </w:trPr>
        <w:tc>
          <w:tcPr>
            <w:tcW w:w="3120" w:type="dxa"/>
            <w:vAlign w:val="bottom"/>
          </w:tcPr>
          <w:p>
            <w:pPr>
              <w:jc w:val="center"/>
              <w:ind w:left="250"/>
              <w:spacing w:after="0"/>
              <w:rPr>
                <w:sz w:val="20"/>
                <w:szCs w:val="20"/>
                <w:color w:val="auto"/>
              </w:rPr>
            </w:pPr>
            <w:r>
              <w:rPr>
                <w:rFonts w:ascii="Arial" w:cs="Arial" w:eastAsia="Arial" w:hAnsi="Arial"/>
                <w:sz w:val="18"/>
                <w:szCs w:val="18"/>
                <w:color w:val="auto"/>
                <w:w w:val="93"/>
              </w:rPr>
              <w:t>of incorporation)</w:t>
            </w:r>
          </w:p>
        </w:tc>
        <w:tc>
          <w:tcPr>
            <w:tcW w:w="116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040" w:type="dxa"/>
            <w:vAlign w:val="bottom"/>
          </w:tcPr>
          <w:p>
            <w:pPr>
              <w:jc w:val="center"/>
              <w:ind w:right="290"/>
              <w:spacing w:after="0"/>
              <w:rPr>
                <w:sz w:val="20"/>
                <w:szCs w:val="20"/>
                <w:color w:val="auto"/>
              </w:rPr>
            </w:pPr>
            <w:r>
              <w:rPr>
                <w:rFonts w:ascii="Arial" w:cs="Arial" w:eastAsia="Arial" w:hAnsi="Arial"/>
                <w:sz w:val="18"/>
                <w:szCs w:val="18"/>
                <w:color w:val="auto"/>
                <w:w w:val="94"/>
              </w:rPr>
              <w:t>Identification Number)</w:t>
            </w:r>
          </w:p>
        </w:tc>
      </w:tr>
      <w:tr>
        <w:trPr>
          <w:trHeight w:val="373"/>
        </w:trPr>
        <w:tc>
          <w:tcPr>
            <w:tcW w:w="3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10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3"/>
              </w:rPr>
              <w:t>3155 Porter Drive</w:t>
            </w:r>
          </w:p>
        </w:tc>
        <w:tc>
          <w:tcPr>
            <w:tcW w:w="3040" w:type="dxa"/>
            <w:vAlign w:val="bottom"/>
          </w:tcPr>
          <w:p>
            <w:pPr>
              <w:spacing w:after="0"/>
              <w:rPr>
                <w:sz w:val="24"/>
                <w:szCs w:val="24"/>
                <w:color w:val="auto"/>
              </w:rPr>
            </w:pPr>
          </w:p>
        </w:tc>
      </w:tr>
      <w:tr>
        <w:trPr>
          <w:trHeight w:val="220"/>
        </w:trPr>
        <w:tc>
          <w:tcPr>
            <w:tcW w:w="3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100" w:type="dxa"/>
            <w:vAlign w:val="bottom"/>
            <w:gridSpan w:val="2"/>
          </w:tcPr>
          <w:p>
            <w:pPr>
              <w:jc w:val="center"/>
              <w:ind w:right="1240"/>
              <w:spacing w:after="0"/>
              <w:rPr>
                <w:sz w:val="20"/>
                <w:szCs w:val="20"/>
                <w:color w:val="auto"/>
              </w:rPr>
            </w:pPr>
            <w:r>
              <w:rPr>
                <w:rFonts w:ascii="Arial" w:cs="Arial" w:eastAsia="Arial" w:hAnsi="Arial"/>
                <w:sz w:val="18"/>
                <w:szCs w:val="18"/>
                <w:b w:val="1"/>
                <w:bCs w:val="1"/>
                <w:color w:val="auto"/>
                <w:w w:val="92"/>
              </w:rPr>
              <w:t>Palo Alto, California 94304</w:t>
            </w:r>
          </w:p>
        </w:tc>
        <w:tc>
          <w:tcPr>
            <w:tcW w:w="3040" w:type="dxa"/>
            <w:vAlign w:val="bottom"/>
          </w:tcPr>
          <w:p>
            <w:pPr>
              <w:spacing w:after="0"/>
              <w:rPr>
                <w:sz w:val="19"/>
                <w:szCs w:val="19"/>
                <w:color w:val="auto"/>
              </w:rPr>
            </w:pPr>
          </w:p>
        </w:tc>
      </w:tr>
      <w:tr>
        <w:trPr>
          <w:trHeight w:val="230"/>
        </w:trPr>
        <w:tc>
          <w:tcPr>
            <w:tcW w:w="3120" w:type="dxa"/>
            <w:vAlign w:val="bottom"/>
          </w:tcPr>
          <w:p>
            <w:pPr>
              <w:spacing w:after="0"/>
              <w:rPr>
                <w:sz w:val="20"/>
                <w:szCs w:val="20"/>
                <w:color w:val="auto"/>
              </w:rPr>
            </w:pPr>
          </w:p>
        </w:tc>
        <w:tc>
          <w:tcPr>
            <w:tcW w:w="526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(Address, of principal executive offices, including zip code)</w:t>
            </w:r>
          </w:p>
        </w:tc>
        <w:tc>
          <w:tcPr>
            <w:tcW w:w="3040" w:type="dxa"/>
            <w:vAlign w:val="bottom"/>
          </w:tcPr>
          <w:p>
            <w:pPr>
              <w:spacing w:after="0"/>
              <w:rPr>
                <w:sz w:val="20"/>
                <w:szCs w:val="20"/>
                <w:color w:val="auto"/>
              </w:rPr>
            </w:pPr>
          </w:p>
        </w:tc>
      </w:tr>
      <w:tr>
        <w:trPr>
          <w:trHeight w:val="391"/>
        </w:trPr>
        <w:tc>
          <w:tcPr>
            <w:tcW w:w="3120" w:type="dxa"/>
            <w:vAlign w:val="bottom"/>
          </w:tcPr>
          <w:p>
            <w:pPr>
              <w:spacing w:after="0"/>
              <w:rPr>
                <w:sz w:val="24"/>
                <w:szCs w:val="24"/>
                <w:color w:val="auto"/>
              </w:rPr>
            </w:pPr>
          </w:p>
        </w:tc>
        <w:tc>
          <w:tcPr>
            <w:tcW w:w="4040" w:type="dxa"/>
            <w:vAlign w:val="bottom"/>
            <w:gridSpan w:val="2"/>
          </w:tcPr>
          <w:p>
            <w:pPr>
              <w:jc w:val="center"/>
              <w:ind w:left="1070"/>
              <w:spacing w:after="0"/>
              <w:rPr>
                <w:sz w:val="20"/>
                <w:szCs w:val="20"/>
                <w:color w:val="auto"/>
              </w:rPr>
            </w:pPr>
            <w:r>
              <w:rPr>
                <w:rFonts w:ascii="Arial" w:cs="Arial" w:eastAsia="Arial" w:hAnsi="Arial"/>
                <w:sz w:val="18"/>
                <w:szCs w:val="18"/>
                <w:b w:val="1"/>
                <w:bCs w:val="1"/>
                <w:color w:val="auto"/>
                <w:w w:val="90"/>
              </w:rPr>
              <w:t>(650) 475-3100</w:t>
            </w:r>
          </w:p>
        </w:tc>
        <w:tc>
          <w:tcPr>
            <w:tcW w:w="122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0"/>
        </w:trPr>
        <w:tc>
          <w:tcPr>
            <w:tcW w:w="3120" w:type="dxa"/>
            <w:vAlign w:val="bottom"/>
          </w:tcPr>
          <w:p>
            <w:pPr>
              <w:spacing w:after="0"/>
              <w:rPr>
                <w:sz w:val="20"/>
                <w:szCs w:val="20"/>
                <w:color w:val="auto"/>
              </w:rPr>
            </w:pPr>
          </w:p>
        </w:tc>
        <w:tc>
          <w:tcPr>
            <w:tcW w:w="526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(Registrant’s Telephone number including area code)</w:t>
            </w:r>
          </w:p>
        </w:tc>
        <w:tc>
          <w:tcPr>
            <w:tcW w:w="3040" w:type="dxa"/>
            <w:vAlign w:val="bottom"/>
          </w:tcPr>
          <w:p>
            <w:pPr>
              <w:spacing w:after="0"/>
              <w:rPr>
                <w:sz w:val="20"/>
                <w:szCs w:val="20"/>
                <w:color w:val="auto"/>
              </w:rPr>
            </w:pPr>
          </w:p>
        </w:tc>
      </w:tr>
      <w:tr>
        <w:trPr>
          <w:trHeight w:val="176"/>
        </w:trPr>
        <w:tc>
          <w:tcPr>
            <w:tcW w:w="3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80" w:type="dxa"/>
            <w:vAlign w:val="bottom"/>
            <w:tcBorders>
              <w:bottom w:val="single" w:sz="8" w:color="808080"/>
            </w:tcBorders>
          </w:tcPr>
          <w:p>
            <w:pPr>
              <w:spacing w:after="0"/>
              <w:rPr>
                <w:sz w:val="15"/>
                <w:szCs w:val="15"/>
                <w:color w:val="auto"/>
              </w:rPr>
            </w:pPr>
          </w:p>
        </w:tc>
        <w:tc>
          <w:tcPr>
            <w:tcW w:w="1220" w:type="dxa"/>
            <w:vAlign w:val="bottom"/>
          </w:tcPr>
          <w:p>
            <w:pPr>
              <w:spacing w:after="0"/>
              <w:rPr>
                <w:sz w:val="15"/>
                <w:szCs w:val="15"/>
                <w:color w:val="auto"/>
              </w:rPr>
            </w:pPr>
          </w:p>
        </w:tc>
        <w:tc>
          <w:tcPr>
            <w:tcW w:w="3040" w:type="dxa"/>
            <w:vAlign w:val="bottom"/>
          </w:tcPr>
          <w:p>
            <w:pPr>
              <w:spacing w:after="0"/>
              <w:rPr>
                <w:sz w:val="15"/>
                <w:szCs w:val="15"/>
                <w:color w:val="auto"/>
              </w:rPr>
            </w:pPr>
          </w:p>
        </w:tc>
      </w:tr>
      <w:tr>
        <w:trPr>
          <w:trHeight w:val="166"/>
        </w:trPr>
        <w:tc>
          <w:tcPr>
            <w:tcW w:w="3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40" w:type="dxa"/>
            <w:vAlign w:val="bottom"/>
          </w:tcPr>
          <w:p>
            <w:pPr>
              <w:spacing w:after="0"/>
              <w:rPr>
                <w:sz w:val="14"/>
                <w:szCs w:val="14"/>
                <w:color w:val="auto"/>
              </w:rPr>
            </w:pPr>
          </w:p>
        </w:tc>
      </w:tr>
      <w:tr>
        <w:trPr>
          <w:trHeight w:val="61"/>
        </w:trPr>
        <w:tc>
          <w:tcPr>
            <w:tcW w:w="3120" w:type="dxa"/>
            <w:vAlign w:val="bottom"/>
            <w:shd w:val="clear" w:color="auto" w:fill="000000"/>
          </w:tcPr>
          <w:p>
            <w:pPr>
              <w:spacing w:after="0"/>
              <w:rPr>
                <w:sz w:val="5"/>
                <w:szCs w:val="5"/>
                <w:color w:val="auto"/>
              </w:rPr>
            </w:pPr>
          </w:p>
        </w:tc>
        <w:tc>
          <w:tcPr>
            <w:tcW w:w="1160" w:type="dxa"/>
            <w:vAlign w:val="bottom"/>
            <w:shd w:val="clear" w:color="auto" w:fill="000000"/>
          </w:tcPr>
          <w:p>
            <w:pPr>
              <w:spacing w:after="0"/>
              <w:rPr>
                <w:sz w:val="5"/>
                <w:szCs w:val="5"/>
                <w:color w:val="auto"/>
              </w:rPr>
            </w:pPr>
          </w:p>
        </w:tc>
        <w:tc>
          <w:tcPr>
            <w:tcW w:w="288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r>
      <w:tr>
        <w:trPr>
          <w:trHeight w:val="615"/>
        </w:trPr>
        <w:tc>
          <w:tcPr>
            <w:tcW w:w="312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30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ind w:left="320"/>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5. Other Events</w:t>
        </w:r>
      </w:hyperlink>
    </w:p>
    <w:p>
      <w:pPr>
        <w:spacing w:after="0" w:line="8" w:lineRule="exact"/>
        <w:rPr>
          <w:sz w:val="20"/>
          <w:szCs w:val="20"/>
          <w:color w:val="auto"/>
        </w:rPr>
      </w:pPr>
    </w:p>
    <w:p>
      <w:pPr>
        <w:ind w:left="320"/>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Item 7. Financial Statements, Pro Forma Financial Information and Exhibits.</w:t>
        </w:r>
      </w:hyperlink>
    </w:p>
    <w:p>
      <w:pPr>
        <w:spacing w:after="0" w:line="15"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SIGNATURE</w:t>
        </w:r>
      </w:hyperlink>
    </w:p>
    <w:p>
      <w:pPr>
        <w:spacing w:after="0" w:line="230" w:lineRule="auto"/>
        <w:rPr>
          <w:rFonts w:ascii="Arial" w:cs="Arial" w:eastAsia="Arial" w:hAnsi="Arial"/>
          <w:sz w:val="22"/>
          <w:szCs w:val="22"/>
          <w:u w:val="single" w:color="auto"/>
          <w:color w:val="0000EE"/>
        </w:rPr>
      </w:pPr>
      <w:hyperlink w:anchor="page6">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EXHIBIT 99.1</w:t>
      </w:r>
    </w:p>
    <w:p>
      <w:pPr>
        <w:spacing w:after="0" w:line="230" w:lineRule="auto"/>
        <w:rPr>
          <w:sz w:val="20"/>
          <w:szCs w:val="20"/>
          <w:color w:val="auto"/>
        </w:rPr>
      </w:pPr>
      <w:r>
        <w:rPr>
          <w:rFonts w:ascii="Arial" w:cs="Arial" w:eastAsia="Arial" w:hAnsi="Arial"/>
          <w:sz w:val="22"/>
          <w:szCs w:val="22"/>
          <w:u w:val="single" w:color="auto"/>
          <w:color w:val="0000EE"/>
        </w:rPr>
        <w:t>EXHIBIT 99.2</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00EE"/>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5. Other Events</w:t>
      </w:r>
    </w:p>
    <w:p>
      <w:pPr>
        <w:spacing w:after="0" w:line="198"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June 16, 2004, StemCells, Inc. entered into a definitive agreement with institutional and other accredited investors with respect to the private placement of approximately 13,158,000 shares of its common stock at a purchase price of $1.52 per share, for gross proceeds of approximately $20,000,000. Investors also will receive warrants to purchase approximately 3,289,500 shares of common stock at an exercise price of $1.90 per share. C.E. Unterberg, Towbin LLC served as placement agent for the transaction.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Item 7. Financial Statements, Pro Forma Financial Information and Exhibits.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99.1 Form of Securities Purchase Agreement dated as of June 16, 2004 between StemCells, Inc. and certain Purchasers parties thereto.</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99.2 Form of Common Stock Warrant.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99.3 Press Release dated June 17, 2004.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SIGNATURES</w:t>
      </w:r>
    </w:p>
    <w:p>
      <w:pPr>
        <w:spacing w:after="0" w:line="198"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4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STEMCELLS, INC.</w:t>
      </w:r>
    </w:p>
    <w:p>
      <w:pPr>
        <w:spacing w:after="0" w:line="225" w:lineRule="exact"/>
        <w:rPr>
          <w:sz w:val="20"/>
          <w:szCs w:val="20"/>
          <w:color w:val="auto"/>
        </w:rPr>
      </w:pPr>
    </w:p>
    <w:p>
      <w:pPr>
        <w:ind w:left="5700"/>
        <w:spacing w:after="0"/>
        <w:tabs>
          <w:tab w:leader="none" w:pos="6160" w:val="left"/>
        </w:tabs>
        <w:rPr>
          <w:sz w:val="20"/>
          <w:szCs w:val="20"/>
          <w:color w:val="auto"/>
        </w:rPr>
      </w:pPr>
      <w:r>
        <w:rPr>
          <w:rFonts w:ascii="Arial" w:cs="Arial" w:eastAsia="Arial" w:hAnsi="Arial"/>
          <w:sz w:val="18"/>
          <w:szCs w:val="18"/>
          <w:color w:val="auto"/>
        </w:rPr>
        <w:t>By:</w:t>
        <w:tab/>
        <w:t>/s/ Martin McGlynn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23495</wp:posOffset>
            </wp:positionV>
            <wp:extent cx="33274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Martin McGlynn</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17, 2004</w:t>
      </w:r>
    </w:p>
    <w:p>
      <w:pPr>
        <w:spacing w:after="0" w:line="18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20"/>
          </w:cols>
          <w:pgMar w:left="240" w:top="419" w:right="11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EXHIBIT INDEX</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6"/>
          <w:szCs w:val="16"/>
          <w:color w:val="auto"/>
        </w:rPr>
        <w:t>99.1 Form of Securities Purchase Agreement dated as of June 16, 2004 between StemCells, Inc. and certain Purchasers parties thereto.</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99.2 Form of Common Stock Warrant.</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99.3 Press Release dated June 17, 2004.</w:t>
      </w:r>
    </w:p>
    <w:p>
      <w:pPr>
        <w:sectPr>
          <w:pgSz w:w="11900" w:h="16838" w:orient="portrait"/>
          <w:cols w:equalWidth="0" w:num="1">
            <w:col w:w="10219"/>
          </w:cols>
          <w:pgMar w:left="240" w:top="419" w:right="1440" w:bottom="1440" w:gutter="0" w:footer="0" w:header="0"/>
        </w:sectPr>
      </w:pPr>
    </w:p>
    <w:bookmarkStart w:id="6" w:name="page7"/>
    <w:bookmarkEnd w:id="6"/>
    <w:p>
      <w:pPr>
        <w:jc w:val="right"/>
        <w:ind w:right="1779"/>
        <w:spacing w:after="0"/>
        <w:rPr>
          <w:sz w:val="20"/>
          <w:szCs w:val="20"/>
          <w:color w:val="auto"/>
        </w:rPr>
      </w:pPr>
      <w:r>
        <w:rPr>
          <w:rFonts w:ascii="Courier New" w:cs="Courier New" w:eastAsia="Courier New" w:hAnsi="Courier New"/>
          <w:sz w:val="18"/>
          <w:szCs w:val="18"/>
          <w:color w:val="auto"/>
        </w:rPr>
        <w:t>EXHIBIT 99.1</w:t>
      </w:r>
    </w:p>
    <w:p>
      <w:pPr>
        <w:spacing w:after="0" w:line="200" w:lineRule="exact"/>
        <w:rPr>
          <w:sz w:val="20"/>
          <w:szCs w:val="20"/>
          <w:color w:val="auto"/>
        </w:rPr>
      </w:pPr>
    </w:p>
    <w:p>
      <w:pPr>
        <w:spacing w:after="0" w:line="204"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SECURITIES PURCHASE AGREEMENT</w:t>
      </w:r>
    </w:p>
    <w:p>
      <w:pPr>
        <w:spacing w:after="0" w:line="207" w:lineRule="exact"/>
        <w:rPr>
          <w:sz w:val="20"/>
          <w:szCs w:val="20"/>
          <w:color w:val="auto"/>
        </w:rPr>
      </w:pPr>
    </w:p>
    <w:p>
      <w:pPr>
        <w:ind w:right="1879" w:firstLine="632"/>
        <w:spacing w:after="0" w:line="275" w:lineRule="auto"/>
        <w:rPr>
          <w:sz w:val="20"/>
          <w:szCs w:val="20"/>
          <w:color w:val="auto"/>
        </w:rPr>
      </w:pPr>
      <w:r>
        <w:rPr>
          <w:rFonts w:ascii="Courier New" w:cs="Courier New" w:eastAsia="Courier New" w:hAnsi="Courier New"/>
          <w:sz w:val="16"/>
          <w:szCs w:val="16"/>
          <w:color w:val="auto"/>
        </w:rPr>
        <w:t>This Securities Purchase Agreement (this "AGREEMENT") is made and entered into as of June 16, 2004, by and among StemCells, Inc., a Delaware corporation (the "COMPANY"), and each of the purchasers listed on Exhibit A attached hereto (collectively, the "PURCHASERS" and individually, a "PURCHASER").</w:t>
      </w:r>
    </w:p>
    <w:p>
      <w:pPr>
        <w:spacing w:after="0" w:line="17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879" w:firstLine="632"/>
        <w:spacing w:after="0" w:line="237" w:lineRule="auto"/>
        <w:rPr>
          <w:sz w:val="20"/>
          <w:szCs w:val="20"/>
          <w:color w:val="auto"/>
        </w:rPr>
      </w:pPr>
      <w:r>
        <w:rPr>
          <w:rFonts w:ascii="Courier New" w:cs="Courier New" w:eastAsia="Courier New" w:hAnsi="Courier New"/>
          <w:sz w:val="18"/>
          <w:szCs w:val="18"/>
          <w:color w:val="auto"/>
        </w:rPr>
        <w:t>WHEREAS, the Company desires to issue and sell to the Purchasers, and the Purchasers desire to purchase from the Company, up to 3,500,000 units (each, a "UNIT"), each unit consisting of four shares of common stock, par value $0.01 per share, of the Company (the "COMMON STOCK") and one five-year warrant to purchase one share of Common Stock, on the terms and conditions set forth in this Agreement;</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WHEREAS, the Company and each Purchaser are executing and delivering this Agreement in reliance upon the exemption from securities registration afforded by the provisions of Regulation D ("REGULATION D"), as promulgated by the United States Securities and Exchange Commission (the "SEC") under the Securities Act of 1933, as amended (the "SECURITIES ACT").</w:t>
      </w:r>
    </w:p>
    <w:p>
      <w:pPr>
        <w:spacing w:after="0" w:line="209" w:lineRule="exact"/>
        <w:rPr>
          <w:sz w:val="20"/>
          <w:szCs w:val="20"/>
          <w:color w:val="auto"/>
        </w:rPr>
      </w:pPr>
    </w:p>
    <w:p>
      <w:pPr>
        <w:jc w:val="both"/>
        <w:ind w:right="2099" w:firstLine="632"/>
        <w:spacing w:after="0" w:line="237" w:lineRule="auto"/>
        <w:rPr>
          <w:sz w:val="20"/>
          <w:szCs w:val="20"/>
          <w:color w:val="auto"/>
        </w:rPr>
      </w:pPr>
      <w:r>
        <w:rPr>
          <w:rFonts w:ascii="Courier New" w:cs="Courier New" w:eastAsia="Courier New" w:hAnsi="Courier New"/>
          <w:sz w:val="18"/>
          <w:szCs w:val="18"/>
          <w:color w:val="auto"/>
        </w:rPr>
        <w:t>NOW, THEREFORE, in consideration of the foregoing, the mutual promises hereinafter set forth, and other good and valuable consideration, the receipt and sufficiency of which are hereby acknowledged, the parties hereto agree as follows:</w:t>
      </w:r>
    </w:p>
    <w:p>
      <w:pPr>
        <w:spacing w:after="0" w:line="202" w:lineRule="exact"/>
        <w:rPr>
          <w:sz w:val="20"/>
          <w:szCs w:val="20"/>
          <w:color w:val="auto"/>
        </w:rPr>
      </w:pPr>
    </w:p>
    <w:p>
      <w:pPr>
        <w:ind w:left="960" w:hanging="320"/>
        <w:spacing w:after="0"/>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PURCHASE AND SELL STOCK.</w:t>
      </w:r>
    </w:p>
    <w:p>
      <w:pPr>
        <w:spacing w:after="0" w:line="206"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The Company's Board of Directors has authorized the issuance and sale, pursuant to the terms and conditions of this Agreement, of up to 3,500,000 Units, each Unit to consist of (i) four shares of Common Stock (the "PURCHASED SHARES") and (ii) one five-year warrant exercisable to purchase one share of Common Stock at $1.90 per share, substantially in the form attached hereto as Exhibit B (the "PURCHASED WARRANTS" and together with the Purchased Shares, the "PURCHASED SECURITIES").</w:t>
      </w:r>
    </w:p>
    <w:p>
      <w:pPr>
        <w:spacing w:after="0" w:line="211"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to Purchase and Sell Securities. Subject to the terms and conditions of this Agreement, each Purchaser severally agrees to purchase, and the Company agrees to sell and issue to each Purchaser, at the Closing (as defined below), that number of Units set forth opposite such Purchaser's name on Exhibit A attached hereto. The purchase price of each Unit (the "PER UNIT PRICE") shall be $6.08.</w:t>
      </w:r>
    </w:p>
    <w:p>
      <w:pPr>
        <w:spacing w:after="0" w:line="209"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Use of Proceeds. The Company intends to apply the net proceeds from the sale of the Purchased Securities for working capital and general corporate purposes, as well as in connection with selected acquisitions that may be considered in the future to expand its product and service offerings or for other strategic purposes.</w:t>
      </w:r>
    </w:p>
    <w:p>
      <w:pPr>
        <w:spacing w:after="0" w:line="208" w:lineRule="exact"/>
        <w:rPr>
          <w:rFonts w:ascii="Courier New" w:cs="Courier New" w:eastAsia="Courier New" w:hAnsi="Courier New"/>
          <w:sz w:val="18"/>
          <w:szCs w:val="18"/>
          <w:color w:val="auto"/>
        </w:rPr>
      </w:pPr>
    </w:p>
    <w:p>
      <w:pPr>
        <w:jc w:val="both"/>
        <w:ind w:right="1779" w:firstLine="1272"/>
        <w:spacing w:after="0" w:line="236" w:lineRule="auto"/>
        <w:tabs>
          <w:tab w:leader="none" w:pos="1685"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Obligations Several Not Joint. The obligations of each Purchaser under this Agreement are several and not joint with the obligations of any other Purchaser, and no</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339"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Purchaser shall be responsible in any way for the performance of the obligations of any other Purchaser under this Agreement. Nothing contained herein, and no action taken by any Purchaser pursuant 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this Agreement. Each Purchaser shall be entitled to independently protect and enforce its rights, including without limitation the rights arising out of this Agreement, and it shall not be necessary for any other Purchaser to be joined as an additional party in any proceeding for such purpose.</w:t>
      </w:r>
    </w:p>
    <w:p>
      <w:pPr>
        <w:spacing w:after="0" w:line="216" w:lineRule="exact"/>
        <w:rPr>
          <w:sz w:val="20"/>
          <w:szCs w:val="20"/>
          <w:color w:val="auto"/>
        </w:rPr>
      </w:pPr>
    </w:p>
    <w:p>
      <w:pPr>
        <w:ind w:right="1779" w:firstLine="640"/>
        <w:spacing w:after="0" w:line="268" w:lineRule="auto"/>
        <w:tabs>
          <w:tab w:leader="none" w:pos="948"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The purchase and sale of the Purchased Securities shall take place at the offices of Ropes &amp; Gray LLP, One California Street, Suite 2200, San Francisco, California 94111, at 11 a.m. pacific time, on June 17, 2004, or at such other time and place as the Company and Purchasers representing a majority of the Units to be purchased, mutually agree upon (which time and place are referred to in this Agreement as the "CLOSING"). At the Closing, the Company shall, against delivery of payment for the Purchased Securities by wire transfer of immediately available funds in accordance with the Company's instructions,</w:t>
      </w:r>
    </w:p>
    <w:p>
      <w:pPr>
        <w:spacing w:after="0" w:line="1" w:lineRule="exact"/>
        <w:rPr>
          <w:rFonts w:ascii="Courier New" w:cs="Courier New" w:eastAsia="Courier New" w:hAnsi="Courier New"/>
          <w:sz w:val="16"/>
          <w:szCs w:val="16"/>
          <w:color w:val="auto"/>
        </w:rPr>
      </w:pPr>
    </w:p>
    <w:p>
      <w:pPr>
        <w:ind w:right="1779" w:firstLine="8"/>
        <w:spacing w:after="0" w:line="270" w:lineRule="auto"/>
        <w:tabs>
          <w:tab w:leader="none" w:pos="421"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authorize its transfer agent to issue to each Purchaser one or more stock certificates (the "CERTIFICATES") registered in the name of each Purchaser (or in such nominee name(s) as designated by such Purchaser in the Stock Certificate Questionnaire (attached hereto as Appendix I) (the "STOCK CERTIFICATE QUESTIONNAIRE"), representing the number of Purchased Shares set forth opposite the appropriate Purchaser's name on Exhibit A hereto, and bearing the legend set forth in Section 4(j) herein and (ii) issue the number of Purchased Warrants set forth across such Purchaser's name on Exhibit A hereto. Closing documents may be delivered by facsimile with original signature pages sent by overnight courier. The date of the Closing is referred to herein as the Closing Date.</w:t>
      </w:r>
    </w:p>
    <w:p>
      <w:pPr>
        <w:spacing w:after="0" w:line="189" w:lineRule="exact"/>
        <w:rPr>
          <w:rFonts w:ascii="Courier New" w:cs="Courier New" w:eastAsia="Courier New" w:hAnsi="Courier New"/>
          <w:sz w:val="16"/>
          <w:szCs w:val="16"/>
          <w:color w:val="auto"/>
        </w:rPr>
      </w:pPr>
    </w:p>
    <w:p>
      <w:pPr>
        <w:ind w:right="1779" w:firstLine="640"/>
        <w:spacing w:after="0" w:line="279" w:lineRule="auto"/>
        <w:tabs>
          <w:tab w:leader="none" w:pos="948"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COMPANY. Except as set forth in the SEC Documents (as defined below) or the Disclosure Letter attached hereto as Exhibit B, the Company hereby represents and warrants to each Purchaser that:</w:t>
      </w:r>
    </w:p>
    <w:p>
      <w:pPr>
        <w:spacing w:after="0" w:line="178" w:lineRule="exact"/>
        <w:rPr>
          <w:rFonts w:ascii="Courier New" w:cs="Courier New" w:eastAsia="Courier New" w:hAnsi="Courier New"/>
          <w:sz w:val="16"/>
          <w:szCs w:val="16"/>
          <w:color w:val="auto"/>
        </w:rPr>
      </w:pPr>
    </w:p>
    <w:p>
      <w:pPr>
        <w:ind w:right="1779" w:firstLine="1272"/>
        <w:spacing w:after="0" w:line="268" w:lineRule="auto"/>
        <w:tabs>
          <w:tab w:leader="none" w:pos="1685" w:val="left"/>
        </w:tabs>
        <w:numPr>
          <w:ilvl w:val="2"/>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 Good Standing and Qualification. The Company is a corporation duly organized, validly existing and in good standing under the laws of the State of Delaware and has all corporate power and authority required to</w:t>
      </w:r>
    </w:p>
    <w:p>
      <w:pPr>
        <w:ind w:right="1779" w:firstLine="8"/>
        <w:spacing w:after="0" w:line="271" w:lineRule="auto"/>
        <w:tabs>
          <w:tab w:leader="none" w:pos="42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carry on its business as presently conducted and (ii) enter into this Agreement and the other agreements, instruments and documents contemplated hereby, and to consummate the transactions contemplated hereby and thereby. The Company is qualified to do business and is in good standing in each jurisdiction in which the failure to so qualify would have a Material Adverse Effect. As used in this Agreement, "MATERIAL ADVERSE EFFECT" means a material adverse effect on, or a material adverse change in, or a group of such effects on or changes in, the business, operations, financial condition, results of operations, assets or liabilities of the Company and its subsidiaries, taken as a whole.</w:t>
      </w:r>
    </w:p>
    <w:p>
      <w:pPr>
        <w:spacing w:after="0" w:line="183" w:lineRule="exact"/>
        <w:rPr>
          <w:rFonts w:ascii="Courier New" w:cs="Courier New" w:eastAsia="Courier New" w:hAnsi="Courier New"/>
          <w:sz w:val="16"/>
          <w:szCs w:val="16"/>
          <w:color w:val="auto"/>
        </w:rPr>
      </w:pPr>
    </w:p>
    <w:p>
      <w:pPr>
        <w:ind w:right="1999" w:firstLine="1272"/>
        <w:spacing w:after="0" w:line="236" w:lineRule="auto"/>
        <w:tabs>
          <w:tab w:leader="none" w:pos="1685"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Capitalization. The capitalization of the Company, without listing the Purchased Shares to be purchased pursuant to this Agreement, is as follows: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20" w:right="1440" w:bottom="1440" w:gutter="0" w:footer="0" w:header="0"/>
        </w:sectPr>
      </w:pPr>
    </w:p>
    <w:bookmarkStart w:id="8" w:name="page9"/>
    <w:bookmarkEnd w:id="8"/>
    <w:p>
      <w:pPr>
        <w:ind w:right="1999" w:firstLine="1904"/>
        <w:spacing w:after="0" w:line="237" w:lineRule="auto"/>
        <w:tabs>
          <w:tab w:leader="none" w:pos="231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the Company consists of 125,000,000 shares of Common Stock, $0.01 par value per share ("COMMON STOCK") and 1,000,000 shares of preferred stock, $.01 par value per share ("PREFERRED STOCK").</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June 14, 2004, the issued and outstanding capital stock of the Company consisted of 41,042,651 shares of Common Stock. The shares of issued and outstanding capital stock of the Company have been duly authorized and validly issued, are fully paid and nonassessable and have not been issued in violation of or are not otherwise subject to any preemptive or other similar rights.</w:t>
      </w:r>
    </w:p>
    <w:p>
      <w:pPr>
        <w:spacing w:after="0" w:line="209" w:lineRule="exact"/>
        <w:rPr>
          <w:rFonts w:ascii="Courier New" w:cs="Courier New" w:eastAsia="Courier New" w:hAnsi="Courier New"/>
          <w:sz w:val="18"/>
          <w:szCs w:val="18"/>
          <w:color w:val="auto"/>
        </w:rPr>
      </w:pPr>
    </w:p>
    <w:p>
      <w:pPr>
        <w:ind w:right="2939" w:firstLine="1904"/>
        <w:spacing w:after="0" w:line="235" w:lineRule="auto"/>
        <w:tabs>
          <w:tab w:leader="none" w:pos="252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June 14, 2004, there were no issued and outstanding shares of Preferred Stock.</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June 14, 2004, the Company had (1) 5,035,203 shares of Common Stock reserved for issuance upon exercise of outstanding options granted under the StemCells Acquisition Plan, the Company's 1992 Equity Incentive Plan, the Company's 2001 Equity Incentive Plan and the Company's 2004 Equity Incentive Plan (collectively, the "OPTION PLANS") and (2) 2,249,187 shares of Common Stock reserved for issuance upon exercise of outstanding warrants.</w:t>
      </w:r>
    </w:p>
    <w:p>
      <w:pPr>
        <w:spacing w:after="0" w:line="211" w:lineRule="exact"/>
        <w:rPr>
          <w:rFonts w:ascii="Courier New" w:cs="Courier New" w:eastAsia="Courier New" w:hAnsi="Courier New"/>
          <w:sz w:val="18"/>
          <w:szCs w:val="18"/>
          <w:color w:val="auto"/>
        </w:rPr>
      </w:pPr>
    </w:p>
    <w:p>
      <w:pPr>
        <w:ind w:right="1999" w:firstLine="1904"/>
        <w:spacing w:after="0" w:line="235" w:lineRule="auto"/>
        <w:tabs>
          <w:tab w:leader="none" w:pos="2318"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June 14, 2004, the Company had 3,853,133 shares of Common Stock available for future grant under the Option Plans.</w:t>
      </w:r>
    </w:p>
    <w:p>
      <w:pPr>
        <w:spacing w:after="0" w:line="202" w:lineRule="exact"/>
        <w:rPr>
          <w:rFonts w:ascii="Courier New" w:cs="Courier New" w:eastAsia="Courier New" w:hAnsi="Courier New"/>
          <w:sz w:val="18"/>
          <w:szCs w:val="18"/>
          <w:color w:val="auto"/>
        </w:rPr>
      </w:pPr>
    </w:p>
    <w:p>
      <w:pPr>
        <w:ind w:left="2440" w:hanging="536"/>
        <w:spacing w:after="0"/>
        <w:tabs>
          <w:tab w:leader="none" w:pos="24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June 14, 2004, the Company had no Employee Stock</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Plan.</w:t>
      </w:r>
    </w:p>
    <w:p>
      <w:pPr>
        <w:spacing w:after="0" w:line="207" w:lineRule="exact"/>
        <w:rPr>
          <w:sz w:val="20"/>
          <w:szCs w:val="20"/>
          <w:color w:val="auto"/>
        </w:rPr>
      </w:pPr>
    </w:p>
    <w:p>
      <w:pPr>
        <w:ind w:right="2099" w:firstLine="632"/>
        <w:spacing w:after="0" w:line="272" w:lineRule="auto"/>
        <w:rPr>
          <w:sz w:val="20"/>
          <w:szCs w:val="20"/>
          <w:color w:val="auto"/>
        </w:rPr>
      </w:pPr>
      <w:r>
        <w:rPr>
          <w:rFonts w:ascii="Courier New" w:cs="Courier New" w:eastAsia="Courier New" w:hAnsi="Courier New"/>
          <w:sz w:val="16"/>
          <w:szCs w:val="16"/>
          <w:color w:val="auto"/>
        </w:rPr>
        <w:t>With the exception of the foregoing in this Section 3(b), there are no outstanding subscriptions, options, warrants, convertible or exchangeable securities or other rights granted to or by the Company to purchase shares of Common Stock or other securities of the Company and there are no commitments, plans or arrangements to issue any shares of Common Stock or any security convertible into or exchangeable for Common Stock.</w:t>
      </w:r>
    </w:p>
    <w:p>
      <w:pPr>
        <w:spacing w:after="0" w:line="186" w:lineRule="exact"/>
        <w:rPr>
          <w:sz w:val="20"/>
          <w:szCs w:val="20"/>
          <w:color w:val="auto"/>
        </w:rPr>
      </w:pPr>
    </w:p>
    <w:p>
      <w:pPr>
        <w:ind w:right="1779" w:firstLine="1272"/>
        <w:spacing w:after="0" w:line="237"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Subsidiaries. Except for StemCells California, Inc. (the "SUBSIDIARY"), the Company does not have any subsidiaries and the Company does not own any capital stock of, assets comprising the business of, obligations of, or any other interest (including any equity or partnership interest) in, any person or entity.</w:t>
      </w:r>
    </w:p>
    <w:p>
      <w:pPr>
        <w:spacing w:after="0" w:line="208"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Authorization. All corporate actions on the part of the Company necessary for the authorization, execution, delivery of, and the performance of all obligations of the Company under this Agreement and the authorization, issuance, reservation for issuance and delivery of all of the Purchased Securities being sold under this Agreement have been taken, no further consent or authorization of the Company or the Board of Directors or its stockholders is required (including with respect to NASD Marketplace Rule 4350(i)(1)(D)), and this Agreement constitutes the legal, valid and binding obligation of the Company, enforceable against the Company in accordance with its terms, except (i) as may be limited by (1) applicable bankruptcy, insolvency, reorganization or others laws of general application relating to or affecting the enforcement of creditors' rights generally and (2) the effect of rules of law</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20" w:right="1440" w:bottom="1440" w:gutter="0" w:footer="0" w:header="0"/>
        </w:sectPr>
      </w:pPr>
    </w:p>
    <w:bookmarkStart w:id="9" w:name="page10"/>
    <w:bookmarkEnd w:id="9"/>
    <w:p>
      <w:pPr>
        <w:ind w:right="1779"/>
        <w:spacing w:after="0" w:line="236" w:lineRule="auto"/>
        <w:rPr>
          <w:sz w:val="20"/>
          <w:szCs w:val="20"/>
          <w:color w:val="auto"/>
        </w:rPr>
      </w:pPr>
      <w:r>
        <w:rPr>
          <w:rFonts w:ascii="Courier New" w:cs="Courier New" w:eastAsia="Courier New" w:hAnsi="Courier New"/>
          <w:sz w:val="18"/>
          <w:szCs w:val="18"/>
          <w:color w:val="auto"/>
        </w:rPr>
        <w:t>governing the availability of equitable remedies and (ii) as rights to indemnity or contribution may be limited under federal or state securities laws or by principles of public policy thereunder.</w:t>
      </w:r>
    </w:p>
    <w:p>
      <w:pPr>
        <w:spacing w:after="0" w:line="203" w:lineRule="exact"/>
        <w:rPr>
          <w:sz w:val="20"/>
          <w:szCs w:val="20"/>
          <w:color w:val="auto"/>
        </w:rPr>
      </w:pPr>
    </w:p>
    <w:p>
      <w:pPr>
        <w:ind w:left="1700" w:hanging="428"/>
        <w:spacing w:after="0"/>
        <w:tabs>
          <w:tab w:leader="none" w:pos="170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Valid Issuance of Purchased Securities.</w:t>
      </w:r>
    </w:p>
    <w:p>
      <w:pPr>
        <w:spacing w:after="0" w:line="206"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Purchased Securities. The Purchased Shares will be, upon payment therefor by the Purchasers in accordance with this Agreement, duly authorized, validly issued, fully paid and non-assessable, free from all taxes, liens and charges with respect to the issue thereof.</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Purchased Warrants. The warrants to be issued pursuant to this Agreement will be, upon payment therefor by the Purchasers in accordance with this Agreement, duly authorized and validly issued, free from all taxes, liens and charges with respect to the issue thereof.</w:t>
      </w:r>
    </w:p>
    <w:p>
      <w:pPr>
        <w:spacing w:after="0" w:line="207" w:lineRule="exact"/>
        <w:rPr>
          <w:rFonts w:ascii="Courier New" w:cs="Courier New" w:eastAsia="Courier New" w:hAnsi="Courier New"/>
          <w:sz w:val="18"/>
          <w:szCs w:val="18"/>
          <w:color w:val="auto"/>
        </w:rPr>
      </w:pPr>
    </w:p>
    <w:p>
      <w:pPr>
        <w:ind w:right="1779" w:firstLine="1904"/>
        <w:spacing w:after="0" w:line="237" w:lineRule="auto"/>
        <w:tabs>
          <w:tab w:leader="none" w:pos="252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Underlying Shares of Common Stock. The issuance of the shares of Common Stock issued or issuable from time to time upon the exercise of the Purchased Warrants (the "UNDERLYING SHARES") will be, and at all times prior to such exercise, will have been, duly authorized, duly reserved for issuance upon such exercise and payment of the exercise price of the Purchased Warrants, and will be, upon such exercise and payment, validly issued, fully-paid and non-assessable free from all taxes, liens and charges with respect to the issue thereof.</w:t>
      </w:r>
    </w:p>
    <w:p>
      <w:pPr>
        <w:spacing w:after="0" w:line="212"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Securities Laws. Subject to the accuracy of the representations made by the Purchasers in Section 4 hereof, the Purchased Securities (assuming no change in applicable law and no unlawful distribution of the Purchased Securities by the Purchasers or other parties) will be issued to the Purchasers in compliance with applicable exemptions from (1) the registration and prospectus delivery requirements of the Securities Act and (2) the registration and qualification requirements of all applicable securities laws of the states of the United States.</w:t>
      </w:r>
    </w:p>
    <w:p>
      <w:pPr>
        <w:spacing w:after="0" w:line="212"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Governmental Consents. No consent, approval, order or authorization of, or registration, qualification, designation, declaration or filing with, or notice to, any federal, state or local governmental authority or self regulatory agency on the part of the Company is required in connection with the issuance of the Purchased Securities to the Purchasers, or the consummation of the other transactions contemplated by this Agreement, except (i) such filings as have been made prior to the date hereof, (ii) the filing of a notification form with The Nasdaq SmallCap Market ("NASDAQ") and (iii) such additional post-Closing filings as may be required to comply with applicable state and federal securities laws and the listing requirements of Nasdaq.</w:t>
      </w:r>
    </w:p>
    <w:p>
      <w:pPr>
        <w:spacing w:after="0" w:line="189"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Non-Contravention. Assuming the accuracy of the representations and warranties made by the Purchasers in Section 4 hereof, the execution, delivery and performance of this Agreement by the Company, and the consummation by the Company of the transactions contemplated hereby (including issuance of the Purchased Securities), do not (i) contravene or conflict with the Certificate of Incorporation (the "CERTIFICATE OF INCORPORATION") or Bylaws (the "BYLAWS") of the Company; (ii) constitute a violation of any provision of any federal, state, local or foreign law, rule, regulation, order or decree applicable to the Company; or (iii) constitute a</w:t>
      </w: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1440" w:gutter="0" w:footer="0" w:header="0"/>
        </w:sectPr>
      </w:pPr>
    </w:p>
    <w:bookmarkStart w:id="10" w:name="page11"/>
    <w:bookmarkEnd w:id="10"/>
    <w:p>
      <w:pPr>
        <w:ind w:right="1999"/>
        <w:spacing w:after="0" w:line="237" w:lineRule="auto"/>
        <w:rPr>
          <w:sz w:val="20"/>
          <w:szCs w:val="20"/>
          <w:color w:val="auto"/>
        </w:rPr>
      </w:pPr>
      <w:r>
        <w:rPr>
          <w:rFonts w:ascii="Courier New" w:cs="Courier New" w:eastAsia="Courier New" w:hAnsi="Courier New"/>
          <w:sz w:val="18"/>
          <w:szCs w:val="18"/>
          <w:color w:val="auto"/>
        </w:rPr>
        <w:t>default or require any consent under, give rise to any right of termination, cancellation or acceleration of, or to a loss of any material benefit to which the Company is entitled under, or result in the creation or imposition of any lien, claim or encumbrance on any assets of the Company under, any material contract to which the Company is a party or any material permit, license or similar right relating to the Company or by which the Company may be bound or affected, except in the case of clauses (ii) and (iii), for such violations, breaches or defaults as would not be reasonably likely to have a Material Adverse Effect.</w:t>
      </w:r>
    </w:p>
    <w:p>
      <w:pPr>
        <w:spacing w:after="0" w:line="214" w:lineRule="exact"/>
        <w:rPr>
          <w:sz w:val="20"/>
          <w:szCs w:val="20"/>
          <w:color w:val="auto"/>
        </w:rPr>
      </w:pPr>
    </w:p>
    <w:p>
      <w:pPr>
        <w:ind w:right="1779" w:firstLine="1272"/>
        <w:spacing w:after="0" w:line="270" w:lineRule="auto"/>
        <w:tabs>
          <w:tab w:leader="none" w:pos="168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There is no action, suit, proceeding, claim, arbitration or investigation ("ACTION") pending or, to the Company's knowledge, threatened in writing: (i) against the Company, its activities, properties or assets, or any officer, director or employee of the Company in connection with such officer's, director's or employee's relationship with, or actions taken on behalf of, the Company, that is reasonably likely to have a Material Adverse Effect on the Company, or (ii) that seeks to prevent, enjoin, alter, challenge or delay the transactions contemplated by this Agreement (including the issuance of the Purchased Securities). The Company is not a party to or subject to the provisions of, any order, writ, injunction, judgment or decree of any court or government agency or instrumentality that is reasonably likely to have a Material Adverse Effect. The Company does not intend to initiate any Action that is reasonably likely to have a Material Adverse Effect on the Company.</w:t>
      </w:r>
    </w:p>
    <w:p>
      <w:pPr>
        <w:spacing w:after="0" w:line="389"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with Law and Charter Documents. The Company is not in violation or default of any provisions of the Certificate of Incorporation or the Bylaws. The Company has complied and is currently in compliance with all applicable statutes, laws, rules, regulations and orders of the United States of America and all states thereof, foreign countries and other governmental bodies and agencies having jurisdiction over the Company's business or properties, except for any instance of non-compliance that has not had, and would not reasonably be expected to have, a Material Adverse Effect.</w:t>
      </w:r>
    </w:p>
    <w:p>
      <w:pPr>
        <w:spacing w:after="0" w:line="212"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Non-Public Information. The Company has not provided to the Purchasers any material non-public information other than information related to the transactions contemplated by this Agreement, all of which information related to the transactions contemplated hereby shall be disclosed by the Company pursuant to Section 9(m) hereof.</w:t>
      </w:r>
    </w:p>
    <w:p>
      <w:pPr>
        <w:spacing w:after="0" w:line="203"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Documents.</w:t>
      </w:r>
    </w:p>
    <w:p>
      <w:pPr>
        <w:spacing w:after="0" w:line="206" w:lineRule="exact"/>
        <w:rPr>
          <w:rFonts w:ascii="Courier New" w:cs="Courier New" w:eastAsia="Courier New" w:hAnsi="Courier New"/>
          <w:sz w:val="18"/>
          <w:szCs w:val="18"/>
          <w:color w:val="auto"/>
        </w:rPr>
      </w:pPr>
    </w:p>
    <w:p>
      <w:pPr>
        <w:ind w:right="1779" w:firstLine="2536"/>
        <w:spacing w:after="0" w:line="270" w:lineRule="auto"/>
        <w:tabs>
          <w:tab w:leader="none" w:pos="295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The Company has filed in a timely manner all reports, schedules, forms, statements and other documents required to be filed by it with the SEC pursuant to the reporting requirements of the Securities Exchange Act of 1934, as amended (the "EXCHANGE ACT"), and the rules and regulations promulgated thereunder, except for where the failure to do so would not be reasonably likely to have a Material Adverse Effect. The Company has made available to the Purchasers through its website (www.stemcellsinc.com) prior to the date hereof copies of its Annual Report on Form 10-K and 10-K/A for the fiscal year ended December 31, 2003 (the "FORM 10-K"), its quarterly report on Form 10-Q for the fiscal quarter ended March 31, 2004 (the "FORM 10-Q"), its Proxy Statement for its Annual Meeting of Stockholders held on May 11, 2004 (the "PROXY STATEMENT"), and any Current Report on Form 8-K for events occurring since March 31, 2004 ("FORM 8-KS") filed by the Company with the SEC (the Form 10-K, the Form 10-Q, the Proxy Statement and the Form 8-Ks (together with all</w:t>
      </w:r>
    </w:p>
    <w:p>
      <w:pPr>
        <w:spacing w:after="0" w:line="200" w:lineRule="exact"/>
        <w:rPr>
          <w:sz w:val="20"/>
          <w:szCs w:val="20"/>
          <w:color w:val="auto"/>
        </w:rPr>
      </w:pP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20" w:right="1440" w:bottom="1440" w:gutter="0" w:footer="0" w:header="0"/>
        </w:sectPr>
      </w:pPr>
    </w:p>
    <w:bookmarkStart w:id="11" w:name="page12"/>
    <w:bookmarkEnd w:id="11"/>
    <w:p>
      <w:pPr>
        <w:ind w:right="1779"/>
        <w:spacing w:after="0" w:line="237" w:lineRule="auto"/>
        <w:rPr>
          <w:sz w:val="20"/>
          <w:szCs w:val="20"/>
          <w:color w:val="auto"/>
        </w:rPr>
      </w:pPr>
      <w:r>
        <w:rPr>
          <w:rFonts w:ascii="Courier New" w:cs="Courier New" w:eastAsia="Courier New" w:hAnsi="Courier New"/>
          <w:sz w:val="18"/>
          <w:szCs w:val="18"/>
          <w:color w:val="auto"/>
        </w:rPr>
        <w:t>exhibits, schedules and other attachments that are filed with such documents) are collectively referred to herein as the "SEC DOCUMENTS"). Each of the SEC Documents, as of the respective dates thereof (or, if amended or superseded by a filing prior to the Closing Date, then on the date of such filing), did not contain any untrue statement of a material fact or omit to state a material fact necessary in order to make the statements made therein, in light of the circumstances under which they were made, not misleading. Each SEC Document, as it may have been subsequently amended by filings made by the Company with the SEC prior to the date hereof, complied in all material respects with the requirements of the Exchange Act and the rules and regulations of the SEC promulgated thereunder applicable to such SEC Document.</w:t>
      </w:r>
    </w:p>
    <w:p>
      <w:pPr>
        <w:spacing w:after="0" w:line="216" w:lineRule="exact"/>
        <w:rPr>
          <w:sz w:val="20"/>
          <w:szCs w:val="20"/>
          <w:color w:val="auto"/>
        </w:rPr>
      </w:pPr>
    </w:p>
    <w:p>
      <w:pPr>
        <w:ind w:left="2960" w:hanging="424"/>
        <w:spacing w:after="0"/>
        <w:tabs>
          <w:tab w:leader="none" w:pos="2960" w:val="left"/>
        </w:tabs>
        <w:numPr>
          <w:ilvl w:val="2"/>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Sarbanes-Oxley. The Chief Executive Officer and the</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acting Chief Financial Officer of the Company have signed, and the Company has furnished to the SEC, all certifications required by Sections 302 and 906 of the Sarbanes-Oxley Act of 2002. Such certifications contain no qualifications or exceptions to the matters certified therein and have not been modified or withdrawn; and neither the Company nor any of its officers has received notice from any governmental entity questioning or challenging the accuracy, completeness, form or manner of filing or submission of such certifications. The Company is otherwise in compliance with all applicable effective provisions of the Sarbanes-Oxley Act of 2002 and the rules and regulations issued thereunder by the SEC, except where such non-compliance would not be reasonably likely to have a Material Adverse Effect.</w:t>
      </w:r>
    </w:p>
    <w:p>
      <w:pPr>
        <w:spacing w:after="0" w:line="210" w:lineRule="exact"/>
        <w:rPr>
          <w:rFonts w:ascii="Courier New" w:cs="Courier New" w:eastAsia="Courier New" w:hAnsi="Courier New"/>
          <w:sz w:val="16"/>
          <w:szCs w:val="16"/>
          <w:color w:val="auto"/>
        </w:rPr>
      </w:pPr>
    </w:p>
    <w:p>
      <w:pPr>
        <w:ind w:left="2960" w:hanging="424"/>
        <w:spacing w:after="0"/>
        <w:tabs>
          <w:tab w:leader="none" w:pos="2960" w:val="left"/>
        </w:tabs>
        <w:numPr>
          <w:ilvl w:val="2"/>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The financial statements of</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in the SEC Documents present fairly, in accordance with United States generally accepted accounting principles ("GAAP"), consistently applied, the financial position of the Company as of the dates indicated, and the results of its operations and cash flows for the periods therein specified, subject, in the case of unaudited financial statements for interim periods, to normal year-end audit adjustments.</w:t>
      </w:r>
    </w:p>
    <w:p>
      <w:pPr>
        <w:spacing w:after="0" w:line="209" w:lineRule="exact"/>
        <w:rPr>
          <w:rFonts w:ascii="Courier New" w:cs="Courier New" w:eastAsia="Courier New" w:hAnsi="Courier New"/>
          <w:sz w:val="18"/>
          <w:szCs w:val="18"/>
          <w:color w:val="auto"/>
        </w:rPr>
      </w:pPr>
    </w:p>
    <w:p>
      <w:pPr>
        <w:jc w:val="both"/>
        <w:ind w:right="1999" w:firstLine="1272"/>
        <w:spacing w:after="0" w:line="279" w:lineRule="auto"/>
        <w:tabs>
          <w:tab w:leader="none" w:pos="1685"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Absence of Certain Changes Since the Balance Sheet Date. Since March 31, 2004, the business and operations of the Company have been conducted in the ordinary course consistent with past practice, and there has not been:</w:t>
      </w:r>
    </w:p>
    <w:p>
      <w:pPr>
        <w:spacing w:after="0" w:line="178"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or other distribution of the assets of the Company with respect to any shares of capital stock of the Company or any repurchase, redemption or other acquisition by the Company or any subsidiary of the Company of any outstanding shares of the Company's capital stock;</w:t>
      </w:r>
    </w:p>
    <w:p>
      <w:pPr>
        <w:spacing w:after="0" w:line="208" w:lineRule="exact"/>
        <w:rPr>
          <w:rFonts w:ascii="Courier New" w:cs="Courier New" w:eastAsia="Courier New" w:hAnsi="Courier New"/>
          <w:sz w:val="18"/>
          <w:szCs w:val="18"/>
          <w:color w:val="auto"/>
        </w:rPr>
      </w:pPr>
    </w:p>
    <w:p>
      <w:pPr>
        <w:jc w:val="both"/>
        <w:ind w:right="1999" w:firstLine="1904"/>
        <w:spacing w:after="0" w:line="237" w:lineRule="auto"/>
        <w:tabs>
          <w:tab w:leader="none" w:pos="2423"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damage, destruction or loss, whether or not covered by insurance, except for such occurrences, individually and collectively, that have not had, and would not reasonably be expected to have, a Material Adverse Effect;</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waiver by the Company of a valuable right or of a</w:t>
      </w:r>
    </w:p>
    <w:p>
      <w:pPr>
        <w:spacing w:after="0" w:line="4"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 debt owed to it, except for such waivers, individually and collectively, that have not had, and would not reasonably be expected to have, a Material Adverse Effect;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20" w:right="1440" w:bottom="1440" w:gutter="0" w:footer="0" w:header="0"/>
        </w:sectPr>
      </w:pPr>
    </w:p>
    <w:bookmarkStart w:id="12" w:name="page13"/>
    <w:bookmarkEnd w:id="12"/>
    <w:p>
      <w:pPr>
        <w:ind w:right="1779" w:firstLine="1904"/>
        <w:spacing w:after="0" w:line="236" w:lineRule="auto"/>
        <w:tabs>
          <w:tab w:leader="none" w:pos="2423"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or amendment to, or any waiver of any material right under a material contract or arrangement by which the Company or any of its assets or properties is bound or subject;</w:t>
      </w:r>
    </w:p>
    <w:p>
      <w:pPr>
        <w:spacing w:after="0" w:line="208" w:lineRule="exact"/>
        <w:rPr>
          <w:rFonts w:ascii="Courier New" w:cs="Courier New" w:eastAsia="Courier New" w:hAnsi="Courier New"/>
          <w:sz w:val="18"/>
          <w:szCs w:val="18"/>
          <w:color w:val="auto"/>
        </w:rPr>
      </w:pPr>
    </w:p>
    <w:p>
      <w:pPr>
        <w:ind w:right="1779" w:firstLine="1904"/>
        <w:spacing w:after="0" w:line="279" w:lineRule="auto"/>
        <w:tabs>
          <w:tab w:leader="none" w:pos="2318" w:val="left"/>
        </w:tabs>
        <w:numPr>
          <w:ilvl w:val="2"/>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by the Company in its accounting principles, methods or practices or in the manner in which it keeps its accounting books and records, except any such change required by a change in GAAP or by the SEC; or</w:t>
      </w:r>
    </w:p>
    <w:p>
      <w:pPr>
        <w:spacing w:after="0" w:line="178" w:lineRule="exact"/>
        <w:rPr>
          <w:rFonts w:ascii="Courier New" w:cs="Courier New" w:eastAsia="Courier New" w:hAnsi="Courier New"/>
          <w:sz w:val="16"/>
          <w:szCs w:val="16"/>
          <w:color w:val="auto"/>
        </w:rPr>
      </w:pPr>
    </w:p>
    <w:p>
      <w:pPr>
        <w:ind w:right="1779" w:firstLine="1904"/>
        <w:spacing w:after="0" w:line="236" w:lineRule="auto"/>
        <w:tabs>
          <w:tab w:leader="none" w:pos="2423" w:val="left"/>
        </w:tabs>
        <w:numPr>
          <w:ilvl w:val="2"/>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event or condition of any character, except for such events and conditions that have not resulted, and are not expected to result, either individually or collectively, in a Material Adverse Effect.</w:t>
      </w:r>
    </w:p>
    <w:p>
      <w:pPr>
        <w:spacing w:after="0" w:line="208" w:lineRule="exact"/>
        <w:rPr>
          <w:rFonts w:ascii="Courier New" w:cs="Courier New" w:eastAsia="Courier New" w:hAnsi="Courier New"/>
          <w:sz w:val="18"/>
          <w:szCs w:val="18"/>
          <w:color w:val="auto"/>
        </w:rPr>
      </w:pPr>
    </w:p>
    <w:p>
      <w:pPr>
        <w:ind w:right="1779" w:firstLine="1272"/>
        <w:spacing w:after="0" w:line="238" w:lineRule="auto"/>
        <w:tabs>
          <w:tab w:leader="none" w:pos="1685"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Intellectual Property. The Company owns or possesses sufficient rights to use all patents, patent rights, inventions, trade secrets, know-how, trademarks, service marks, trade names, copyrights or other intellectual property (collectively, "INTELLECTUAL PROPERTY"), which are necessary to conduct its businesses as currently conducted, except where the failure to currently own or possess would not reasonably be expected to result, either individually or in the aggregate, in a Material Adverse Effect. The Company has not received any written notice of, and has no actual knowledge of, any infringement of or conflict with asserted rights of others with respect to any Intellectual Property which, either individually or in the aggregate, would reasonably be expected to have a Material Adverse Effect, and to the Company's knowledge, none of the patent rights owned or licensed by the Company are unenforceable or invalid.</w:t>
      </w:r>
    </w:p>
    <w:p>
      <w:pPr>
        <w:spacing w:after="0" w:line="207" w:lineRule="exact"/>
        <w:rPr>
          <w:rFonts w:ascii="Courier New" w:cs="Courier New" w:eastAsia="Courier New" w:hAnsi="Courier New"/>
          <w:sz w:val="18"/>
          <w:szCs w:val="18"/>
          <w:color w:val="auto"/>
        </w:rPr>
      </w:pPr>
    </w:p>
    <w:p>
      <w:pPr>
        <w:ind w:right="1999" w:firstLine="1272"/>
        <w:spacing w:after="0" w:line="237" w:lineRule="auto"/>
        <w:tabs>
          <w:tab w:leader="none" w:pos="1685"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Except as provided in Section 5 herein, effective upon the Closing, the Company is not currently subject to any agreement providing any person or entity any rights (including piggyback registration rights) to have any securities of the Company registered with the SEC or registered or qualified with any other governmental authority.</w:t>
      </w:r>
    </w:p>
    <w:p>
      <w:pPr>
        <w:spacing w:after="0" w:line="208" w:lineRule="exact"/>
        <w:rPr>
          <w:rFonts w:ascii="Courier New" w:cs="Courier New" w:eastAsia="Courier New" w:hAnsi="Courier New"/>
          <w:sz w:val="18"/>
          <w:szCs w:val="18"/>
          <w:color w:val="auto"/>
        </w:rPr>
      </w:pPr>
    </w:p>
    <w:p>
      <w:pPr>
        <w:ind w:right="1779" w:firstLine="1272"/>
        <w:spacing w:after="0" w:line="268" w:lineRule="auto"/>
        <w:tabs>
          <w:tab w:leader="none" w:pos="1685" w:val="left"/>
        </w:tabs>
        <w:numPr>
          <w:ilvl w:val="1"/>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to Property and Assets. The properties and assets of the Company are owned by the Company free and clear of all mortgages, deeds of trust, liens, charges, encumbrances and security interests except for (i) statutory liens for the payment of current taxes that are not yet delinquent and</w:t>
      </w:r>
    </w:p>
    <w:p>
      <w:pPr>
        <w:ind w:left="540" w:hanging="532"/>
        <w:spacing w:after="0" w:line="238"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liens, encumbrances and security interests that arise in the ordinary</w:t>
      </w:r>
    </w:p>
    <w:p>
      <w:pPr>
        <w:spacing w:after="0" w:line="4"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course of business and do not in any material respect affect the properties and assets of the Company. With respect to the property and assets it leases, the Company is in compliance with such leases in all material respects.</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Taxes. The Company has filed or has valid extensions of the time to file all necessary federal, state, and foreign income and franchise tax returns due prior to the date hereof and has paid or accrued all taxes shown as due thereon, and the Company has no knowledge of any material tax deficiency which has been or might be asserted or threatened against it.</w:t>
      </w:r>
    </w:p>
    <w:p>
      <w:pPr>
        <w:spacing w:after="0" w:line="208" w:lineRule="exact"/>
        <w:rPr>
          <w:rFonts w:ascii="Courier New" w:cs="Courier New" w:eastAsia="Courier New" w:hAnsi="Courier New"/>
          <w:sz w:val="18"/>
          <w:szCs w:val="18"/>
          <w:color w:val="auto"/>
        </w:rPr>
      </w:pPr>
    </w:p>
    <w:p>
      <w:pPr>
        <w:ind w:right="1779" w:firstLine="1272"/>
        <w:spacing w:after="0" w:line="236" w:lineRule="auto"/>
        <w:tabs>
          <w:tab w:leader="none" w:pos="1685"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Insurance. The Company maintains insurance of the types and in the amounts that the Company reasonably believes is prudent and adequate for its business, all of which insurance is in full force and effect.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20" w:right="1440" w:bottom="1440" w:gutter="0" w:footer="0" w:header="0"/>
        </w:sectPr>
      </w:pPr>
    </w:p>
    <w:bookmarkStart w:id="13" w:name="page14"/>
    <w:bookmarkEnd w:id="13"/>
    <w:p>
      <w:pPr>
        <w:ind w:left="-8" w:right="2099" w:firstLine="1272"/>
        <w:spacing w:after="0" w:line="236" w:lineRule="auto"/>
        <w:tabs>
          <w:tab w:leader="none" w:pos="167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Labor Relations. No material labor dispute exists or, to the knowledge of the Company, is imminent with respect to any of the employees of the Company.</w:t>
      </w:r>
    </w:p>
    <w:p>
      <w:pPr>
        <w:spacing w:after="0" w:line="208" w:lineRule="exact"/>
        <w:rPr>
          <w:rFonts w:ascii="Courier New" w:cs="Courier New" w:eastAsia="Courier New" w:hAnsi="Courier New"/>
          <w:sz w:val="18"/>
          <w:szCs w:val="18"/>
          <w:color w:val="auto"/>
        </w:rPr>
      </w:pPr>
    </w:p>
    <w:p>
      <w:pPr>
        <w:ind w:left="-8" w:right="1779" w:firstLine="1272"/>
        <w:spacing w:after="0" w:line="237" w:lineRule="auto"/>
        <w:tabs>
          <w:tab w:leader="none" w:pos="1677"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Internal Accounting Controls. The Company and the Subsidiary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w:t>
      </w:r>
    </w:p>
    <w:p>
      <w:pPr>
        <w:spacing w:after="0" w:line="214" w:lineRule="exact"/>
        <w:rPr>
          <w:rFonts w:ascii="Courier New" w:cs="Courier New" w:eastAsia="Courier New" w:hAnsi="Courier New"/>
          <w:sz w:val="18"/>
          <w:szCs w:val="18"/>
          <w:color w:val="auto"/>
        </w:rPr>
      </w:pPr>
    </w:p>
    <w:p>
      <w:pPr>
        <w:ind w:left="-8" w:right="1779" w:firstLine="1272"/>
        <w:spacing w:after="0" w:line="268" w:lineRule="auto"/>
        <w:tabs>
          <w:tab w:leader="none" w:pos="1677"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Transactions With Officers and Directors. None of the officers or directors of the Company has entered into any transaction with the Company or any Subsidiary that would be required to be disclosed pursuant to Item 404(a),</w:t>
      </w:r>
    </w:p>
    <w:p>
      <w:pPr>
        <w:ind w:left="412" w:hanging="412"/>
        <w:spacing w:after="0" w:line="238" w:lineRule="auto"/>
        <w:tabs>
          <w:tab w:leader="none" w:pos="41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 (c) of Regulation S-K of the SEC.</w:t>
      </w:r>
    </w:p>
    <w:p>
      <w:pPr>
        <w:spacing w:after="0" w:line="207" w:lineRule="exact"/>
        <w:rPr>
          <w:rFonts w:ascii="Courier New" w:cs="Courier New" w:eastAsia="Courier New" w:hAnsi="Courier New"/>
          <w:sz w:val="18"/>
          <w:szCs w:val="18"/>
          <w:color w:val="auto"/>
        </w:rPr>
      </w:pPr>
    </w:p>
    <w:p>
      <w:pPr>
        <w:ind w:left="-8" w:right="1879" w:firstLine="1272"/>
        <w:spacing w:after="0" w:line="237" w:lineRule="auto"/>
        <w:tabs>
          <w:tab w:leader="none" w:pos="1677"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Solicitation. Neither the Company nor any other person or entity authorized by the Company to act on its behalf has engaged in a general solicitation or general advertising (within the meaning of Regulation D of the Securities Act) of investors with respect to offers or sales of the Purchased Securities.</w:t>
      </w:r>
    </w:p>
    <w:p>
      <w:pPr>
        <w:spacing w:after="0" w:line="208" w:lineRule="exact"/>
        <w:rPr>
          <w:rFonts w:ascii="Courier New" w:cs="Courier New" w:eastAsia="Courier New" w:hAnsi="Courier New"/>
          <w:sz w:val="18"/>
          <w:szCs w:val="18"/>
          <w:color w:val="auto"/>
        </w:rPr>
      </w:pPr>
    </w:p>
    <w:p>
      <w:pPr>
        <w:ind w:left="-8" w:right="1779" w:firstLine="1272"/>
        <w:spacing w:after="0" w:line="237" w:lineRule="auto"/>
        <w:tabs>
          <w:tab w:leader="none" w:pos="1677"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Matters. The Company meets the eligibility requirements for use of a registration statement on Form S-3 for the resale of the Purchased Shares by the Purchasers. Assuming the completion and timely delivery of the Registration Statement/Suitability Questionnaire (attached hereto as Appendix II) (the "REGISTRATION STATEMENT QUESTIONNAIRE") by each Purchaser to the Company, the Company is not aware of any facts or circumstances that would prohibit or delay the preparation and filing of a registration statement with respect to the Registrable Shares (as defined below).</w:t>
      </w:r>
    </w:p>
    <w:p>
      <w:pPr>
        <w:spacing w:after="0" w:line="213" w:lineRule="exact"/>
        <w:rPr>
          <w:rFonts w:ascii="Courier New" w:cs="Courier New" w:eastAsia="Courier New" w:hAnsi="Courier New"/>
          <w:sz w:val="18"/>
          <w:szCs w:val="18"/>
          <w:color w:val="auto"/>
        </w:rPr>
      </w:pPr>
    </w:p>
    <w:p>
      <w:pPr>
        <w:ind w:left="-8" w:right="1879" w:firstLine="1272"/>
        <w:spacing w:after="0" w:line="238" w:lineRule="auto"/>
        <w:tabs>
          <w:tab w:leader="none" w:pos="1677"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Integrated Offering. Neither the Company, nor any Affiliate (as hereafter defined) of the Company, nor any person acting on its or their behalf has, directly or indirectly, made any offers or sales of any security or solicited any offers to buy any security, under circumstances that would cause this offering of the Purchased Securities to be integrated with prior offerings by the Company for purposes of the Securities Act, any applicable state securities laws or any applicable stockholder approval provisions, including, without limitation, under the rules and regulations of any national securities exchange or automated quotation system on which any of the securities of the Company are listed or designated, nor will the Company take any action or steps that would cause the offering of the Purchased Shares to be integrated with other offerings.</w:t>
      </w:r>
    </w:p>
    <w:p>
      <w:pPr>
        <w:spacing w:after="0" w:line="207" w:lineRule="exact"/>
        <w:rPr>
          <w:rFonts w:ascii="Courier New" w:cs="Courier New" w:eastAsia="Courier New" w:hAnsi="Courier New"/>
          <w:sz w:val="18"/>
          <w:szCs w:val="18"/>
          <w:color w:val="auto"/>
        </w:rPr>
      </w:pPr>
    </w:p>
    <w:p>
      <w:pPr>
        <w:ind w:left="-8" w:right="1879" w:firstLine="1272"/>
        <w:spacing w:after="0" w:line="237" w:lineRule="auto"/>
        <w:tabs>
          <w:tab w:leader="none" w:pos="1677"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Nasdaq Listing Matters. The Common Stock of the Company is registered and listed on Nasdaq under the ticker symbol "STEM." The Company has not received any notice that it is not in compliance with the listing or maintenance requirements of Nasdaq. The issuance and sale of the Purchased Shares under this Agreement does not contravene the rules and regulations of Nasdaq.</w:t>
      </w:r>
    </w:p>
    <w:p>
      <w:pPr>
        <w:spacing w:after="0" w:line="200" w:lineRule="exact"/>
        <w:rPr>
          <w:sz w:val="20"/>
          <w:szCs w:val="20"/>
          <w:color w:val="auto"/>
        </w:rPr>
      </w:pPr>
    </w:p>
    <w:p>
      <w:pPr>
        <w:spacing w:after="0" w:line="20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1"/>
          </w:cols>
          <w:pgMar w:left="248" w:top="520" w:right="1440" w:bottom="1440" w:gutter="0" w:footer="0" w:header="0"/>
        </w:sectPr>
      </w:pPr>
    </w:p>
    <w:bookmarkStart w:id="14" w:name="page15"/>
    <w:bookmarkEnd w:id="14"/>
    <w:p>
      <w:pPr>
        <w:ind w:left="-640" w:right="1879" w:firstLine="1272"/>
        <w:spacing w:after="0" w:line="237" w:lineRule="auto"/>
        <w:tabs>
          <w:tab w:leader="none" w:pos="1045"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The Company is not now, and after the sale of the Purchased Shares under this Agreement and the application of the net proceeds from the sale of the Purchased Shares described in Section 1(c) herein will not be, an "investment company" within the meaning of the Investment Company Act of 1940, as amended.</w:t>
      </w:r>
    </w:p>
    <w:p>
      <w:pPr>
        <w:spacing w:after="0" w:line="208" w:lineRule="exact"/>
        <w:rPr>
          <w:rFonts w:ascii="Courier New" w:cs="Courier New" w:eastAsia="Courier New" w:hAnsi="Courier New"/>
          <w:sz w:val="18"/>
          <w:szCs w:val="18"/>
          <w:color w:val="auto"/>
        </w:rPr>
      </w:pPr>
    </w:p>
    <w:p>
      <w:pPr>
        <w:ind w:left="-640" w:right="1879" w:firstLine="640"/>
        <w:spacing w:after="0" w:line="236" w:lineRule="auto"/>
        <w:tabs>
          <w:tab w:leader="none" w:pos="30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WARRANTIES AND CERTAIN AGREEMENTS OF THE PURCHASERS. Each Purchaser hereby represents and warrants to the Company, severally and not jointly, and agrees that:</w:t>
      </w:r>
    </w:p>
    <w:p>
      <w:pPr>
        <w:spacing w:after="0" w:line="208" w:lineRule="exact"/>
        <w:rPr>
          <w:rFonts w:ascii="Courier New" w:cs="Courier New" w:eastAsia="Courier New" w:hAnsi="Courier New"/>
          <w:sz w:val="18"/>
          <w:szCs w:val="18"/>
          <w:color w:val="auto"/>
        </w:rPr>
      </w:pPr>
    </w:p>
    <w:p>
      <w:pPr>
        <w:ind w:left="-640" w:right="1879" w:firstLine="1272"/>
        <w:spacing w:after="0" w:line="237" w:lineRule="auto"/>
        <w:tabs>
          <w:tab w:leader="none" w:pos="104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Good Standing and Qualification. The Purchaser has all corporate, membership or partnership power and authority required to enter into this Agreement and the other agreements, instruments and documents contemplated hereby, and to consummate the transactions contemplated hereby and thereby.</w:t>
      </w:r>
    </w:p>
    <w:p>
      <w:pPr>
        <w:spacing w:after="0" w:line="208" w:lineRule="exact"/>
        <w:rPr>
          <w:rFonts w:ascii="Courier New" w:cs="Courier New" w:eastAsia="Courier New" w:hAnsi="Courier New"/>
          <w:sz w:val="18"/>
          <w:szCs w:val="18"/>
          <w:color w:val="auto"/>
        </w:rPr>
      </w:pPr>
    </w:p>
    <w:p>
      <w:pPr>
        <w:ind w:left="-640" w:right="1779" w:firstLine="1272"/>
        <w:spacing w:after="0" w:line="237" w:lineRule="auto"/>
        <w:tabs>
          <w:tab w:leader="none" w:pos="104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Authorization. The execution of this Agreement has been duly authorized by all necessary corporate, membership or partnership action on the part of the Purchaser. This Agreement constitutes the Purchaser's legal, valid and binding obligation, enforceable in accordance with its terms, except (i) as may be limited by (1) applicable bankruptcy, insolvency, reorganization or other laws of general application relating to or affecting the enforcement of creditors' rights generally and (2) the effect of rules of law governing the availability of equitable remedies and (ii) as rights to indemnity or contribution may be limited under federal or state securities laws or by principles of public policy thereunder.</w:t>
      </w:r>
    </w:p>
    <w:p>
      <w:pPr>
        <w:spacing w:after="0" w:line="214" w:lineRule="exact"/>
        <w:rPr>
          <w:rFonts w:ascii="Courier New" w:cs="Courier New" w:eastAsia="Courier New" w:hAnsi="Courier New"/>
          <w:sz w:val="18"/>
          <w:szCs w:val="18"/>
          <w:color w:val="auto"/>
        </w:rPr>
      </w:pPr>
    </w:p>
    <w:p>
      <w:pPr>
        <w:jc w:val="both"/>
        <w:ind w:left="-640" w:right="1779" w:firstLine="1272"/>
        <w:spacing w:after="0" w:line="279" w:lineRule="auto"/>
        <w:tabs>
          <w:tab w:leader="none" w:pos="1045"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Litigation. There is no Action pending, or to its knowledge threatened, to which such Purchaser is a party that is reasonably likely to prevent, enjoin, alter or delay the transactions contemplated by this Agreement.</w:t>
      </w:r>
    </w:p>
    <w:p>
      <w:pPr>
        <w:spacing w:after="0" w:line="178" w:lineRule="exact"/>
        <w:rPr>
          <w:rFonts w:ascii="Courier New" w:cs="Courier New" w:eastAsia="Courier New" w:hAnsi="Courier New"/>
          <w:sz w:val="16"/>
          <w:szCs w:val="16"/>
          <w:color w:val="auto"/>
        </w:rPr>
      </w:pPr>
    </w:p>
    <w:p>
      <w:pPr>
        <w:ind w:left="-640" w:right="1779" w:firstLine="1272"/>
        <w:spacing w:after="0" w:line="237" w:lineRule="auto"/>
        <w:tabs>
          <w:tab w:leader="none" w:pos="104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for Own Account. The Purchased Securities are being acquired for investment for the Purchaser's own account, not as a nominee or agent, and not with a view to the public resale or distribution thereof within the meaning of the Securities Act, without prejudice, however, to such Purchaser's right at all times to sell or otherwise dispose of all or any part of such securities in compliance with applicable federal and state securities laws and as otherwise contemplated by this Agreement. The Purchaser also represents that it has not been formed for the specific purpose of acquiring the Purchased Securities.</w:t>
      </w:r>
    </w:p>
    <w:p>
      <w:pPr>
        <w:spacing w:after="0" w:line="213" w:lineRule="exact"/>
        <w:rPr>
          <w:rFonts w:ascii="Courier New" w:cs="Courier New" w:eastAsia="Courier New" w:hAnsi="Courier New"/>
          <w:sz w:val="18"/>
          <w:szCs w:val="18"/>
          <w:color w:val="auto"/>
        </w:rPr>
      </w:pPr>
    </w:p>
    <w:p>
      <w:pPr>
        <w:ind w:left="-640" w:right="1879" w:firstLine="1272"/>
        <w:spacing w:after="0" w:line="271" w:lineRule="auto"/>
        <w:tabs>
          <w:tab w:leader="none" w:pos="1045"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 Experience. The Purchaser understands that the purchase of the Purchased Securities involves substantial risk. The Purchaser has experience as an investor in securities of companies and acknowledges that it can bear the economic risk of its investment in the Purchased Securities and has such knowledge and experience in financial or business matters that it is capable of evaluating the merits and risks of this investment in the Purchased Securities and protecting its own interests in connection with this investment.</w:t>
      </w:r>
    </w:p>
    <w:p>
      <w:pPr>
        <w:spacing w:after="0" w:line="187" w:lineRule="exact"/>
        <w:rPr>
          <w:rFonts w:ascii="Courier New" w:cs="Courier New" w:eastAsia="Courier New" w:hAnsi="Courier New"/>
          <w:sz w:val="16"/>
          <w:szCs w:val="16"/>
          <w:color w:val="auto"/>
        </w:rPr>
      </w:pPr>
    </w:p>
    <w:p>
      <w:pPr>
        <w:ind w:left="-640" w:right="2099" w:firstLine="1272"/>
        <w:spacing w:after="0" w:line="236" w:lineRule="auto"/>
        <w:tabs>
          <w:tab w:leader="none" w:pos="104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Accredited Investor Status. The Purchaser is an "accredited investor" within the meaning of Regulation D promulgated under the Securities Act.</w:t>
      </w:r>
    </w:p>
    <w:p>
      <w:pPr>
        <w:spacing w:after="0" w:line="208" w:lineRule="exact"/>
        <w:rPr>
          <w:rFonts w:ascii="Courier New" w:cs="Courier New" w:eastAsia="Courier New" w:hAnsi="Courier New"/>
          <w:sz w:val="18"/>
          <w:szCs w:val="18"/>
          <w:color w:val="auto"/>
        </w:rPr>
      </w:pPr>
    </w:p>
    <w:p>
      <w:pPr>
        <w:ind w:left="-640" w:right="1879" w:firstLine="1272"/>
        <w:spacing w:after="0" w:line="237" w:lineRule="auto"/>
        <w:tabs>
          <w:tab w:leader="none" w:pos="1045"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Reliance Upon Purchaser's Representations. The Purchaser understands that the issuance and sale of the Purchased Securities to it will not be registered under the Securities Act on the ground that such issuance and sale will be exempt from registration under</w:t>
      </w:r>
    </w:p>
    <w:p>
      <w:pPr>
        <w:spacing w:after="0" w:line="200" w:lineRule="exact"/>
        <w:rPr>
          <w:sz w:val="20"/>
          <w:szCs w:val="20"/>
          <w:color w:val="auto"/>
        </w:rPr>
      </w:pPr>
    </w:p>
    <w:p>
      <w:pPr>
        <w:spacing w:after="0" w:line="204"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579"/>
          </w:cols>
          <w:pgMar w:left="880" w:top="520" w:right="1440" w:bottom="1440" w:gutter="0" w:footer="0" w:header="0"/>
        </w:sectPr>
      </w:pPr>
    </w:p>
    <w:bookmarkStart w:id="15" w:name="page16"/>
    <w:bookmarkEnd w:id="15"/>
    <w:p>
      <w:pPr>
        <w:jc w:val="both"/>
        <w:ind w:right="2319"/>
        <w:spacing w:after="0" w:line="236" w:lineRule="auto"/>
        <w:rPr>
          <w:sz w:val="20"/>
          <w:szCs w:val="20"/>
          <w:color w:val="auto"/>
        </w:rPr>
      </w:pPr>
      <w:r>
        <w:rPr>
          <w:rFonts w:ascii="Courier New" w:cs="Courier New" w:eastAsia="Courier New" w:hAnsi="Courier New"/>
          <w:sz w:val="18"/>
          <w:szCs w:val="18"/>
          <w:color w:val="auto"/>
        </w:rPr>
        <w:t>the Securities Act pursuant to Section 4(2) thereof, and that the Company's reliance on such exemption is based on each Purchaser's representations set forth herein.</w:t>
      </w:r>
    </w:p>
    <w:p>
      <w:pPr>
        <w:spacing w:after="0" w:line="209" w:lineRule="exact"/>
        <w:rPr>
          <w:sz w:val="20"/>
          <w:szCs w:val="20"/>
          <w:color w:val="auto"/>
        </w:rPr>
      </w:pPr>
    </w:p>
    <w:p>
      <w:pPr>
        <w:ind w:right="1879" w:firstLine="1272"/>
        <w:spacing w:after="0" w:line="237" w:lineRule="auto"/>
        <w:tabs>
          <w:tab w:leader="none" w:pos="168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Receipt of Information. The Purchaser has had an opportunity to ask questions and receive answers from the Company regarding the terms and conditions of the issuance and sale of the Purchased Securities and the business, properties, prospects and financial condition of the Company and to obtain any additional information requested and has received and considered all information it deems relevant to make an informed decision to purchase the Purchased Securities. Neither such inquiries nor any other investigation conducted by or on behalf of such Purchaser or its representatives or counsel shall modify, amend or affect such Purchaser's right to rely on the truth, accuracy and completeness of such information and the Company's representations and warranties contained in this Agreement.</w:t>
      </w:r>
    </w:p>
    <w:p>
      <w:pPr>
        <w:spacing w:after="0" w:line="215" w:lineRule="exact"/>
        <w:rPr>
          <w:rFonts w:ascii="Courier New" w:cs="Courier New" w:eastAsia="Courier New" w:hAnsi="Courier New"/>
          <w:sz w:val="18"/>
          <w:szCs w:val="18"/>
          <w:color w:val="auto"/>
        </w:rPr>
      </w:pPr>
    </w:p>
    <w:p>
      <w:pPr>
        <w:ind w:right="1779" w:firstLine="1272"/>
        <w:spacing w:after="0" w:line="269" w:lineRule="auto"/>
        <w:tabs>
          <w:tab w:leader="none" w:pos="1685"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Restricted Securities. The Purchaser understands that the Purchased Securities have not been registered under the Securities Act and will not sell, offer to sell, assign, pledge, hypothecate or otherwise transfer any of the Purchased Securities unless (i) pursuant to an effective registration statement under the Securities Act, (ii) such holder provides the Company with an opinion of counsel, in form and substance reasonably acceptable to the Company and its counsel, to the effect that a sale, assignment or transfer of the Purchased Securities may be made without registration under the Securities Act and the transferee agrees to be bound by the terms and conditions of this Agreement, (iii) such holder provides the Company with reasonable assurances (in the form of seller and broker representation letters) that the Purchased Shares or the Underlying Shares, as the case may be, can be sold pursuant to Rule 144 promulgated under the Securities Act ("RULE 144") or (iv) pursuant to Rule 144(k) promulgated under the Securities Act following the applicable holding period. Notwithstanding anything to the contrary contained in this Agreement, including but not limited to in Section 5(c)(i) below, the Purchaser may transfer (without restriction and without the need for an opinion of counsel) the Purchased Shares or the Underlying Shares to its Affiliates (as defined below) provided that each such Affiliate is an "accredited investor" under Regulation D, and such Affiliate agrees to be bound by the terms and conditions of this Agreement.</w:t>
      </w:r>
    </w:p>
    <w:p>
      <w:pPr>
        <w:spacing w:after="0" w:line="200" w:lineRule="exact"/>
        <w:rPr>
          <w:sz w:val="20"/>
          <w:szCs w:val="20"/>
          <w:color w:val="auto"/>
        </w:rPr>
      </w:pPr>
    </w:p>
    <w:p>
      <w:pPr>
        <w:spacing w:after="0" w:line="397" w:lineRule="exact"/>
        <w:rPr>
          <w:sz w:val="20"/>
          <w:szCs w:val="20"/>
          <w:color w:val="auto"/>
        </w:rPr>
      </w:pPr>
    </w:p>
    <w:p>
      <w:pPr>
        <w:ind w:right="1879" w:firstLine="632"/>
        <w:spacing w:after="0" w:line="272" w:lineRule="auto"/>
        <w:rPr>
          <w:sz w:val="20"/>
          <w:szCs w:val="20"/>
          <w:color w:val="auto"/>
        </w:rPr>
      </w:pPr>
      <w:r>
        <w:rPr>
          <w:rFonts w:ascii="Courier New" w:cs="Courier New" w:eastAsia="Courier New" w:hAnsi="Courier New"/>
          <w:sz w:val="16"/>
          <w:szCs w:val="16"/>
          <w:color w:val="auto"/>
        </w:rPr>
        <w:t>For the purposes of this Agreement, an "AFFILIATE" of any specified Purchaser means any other person or entity directly or indirectly controlling, controlled by or under direct or indirect common control with such specified Purchaser. For purposes of this definition, "CONTROL" means the power to direct the management and policies of such person or firm, directly or indirectly, whether through the ownership of voting securities, by contract or otherwise.</w:t>
      </w:r>
    </w:p>
    <w:p>
      <w:pPr>
        <w:spacing w:after="0" w:line="180" w:lineRule="exact"/>
        <w:rPr>
          <w:sz w:val="20"/>
          <w:szCs w:val="20"/>
          <w:color w:val="auto"/>
        </w:rPr>
      </w:pPr>
    </w:p>
    <w:p>
      <w:pPr>
        <w:ind w:left="1700" w:hanging="428"/>
        <w:spacing w:after="0"/>
        <w:tabs>
          <w:tab w:leader="none" w:pos="170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Legends.</w:t>
      </w:r>
    </w:p>
    <w:p>
      <w:pPr>
        <w:spacing w:after="0" w:line="206" w:lineRule="exact"/>
        <w:rPr>
          <w:rFonts w:ascii="Courier New" w:cs="Courier New" w:eastAsia="Courier New" w:hAnsi="Courier New"/>
          <w:sz w:val="18"/>
          <w:szCs w:val="18"/>
          <w:color w:val="auto"/>
        </w:rPr>
      </w:pPr>
    </w:p>
    <w:p>
      <w:pPr>
        <w:jc w:val="both"/>
        <w:ind w:right="2319" w:firstLine="1904"/>
        <w:spacing w:after="0" w:line="236" w:lineRule="auto"/>
        <w:tabs>
          <w:tab w:leader="none" w:pos="2318"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Purchased Shares and Underlying Shares. The Purchaser agrees that the Certificates for the Purchased Shares and Underlying Shares shall bear the following legend:</w:t>
      </w:r>
    </w:p>
    <w:p>
      <w:pPr>
        <w:spacing w:after="0" w:line="209" w:lineRule="exact"/>
        <w:rPr>
          <w:sz w:val="20"/>
          <w:szCs w:val="20"/>
          <w:color w:val="auto"/>
        </w:rPr>
      </w:pPr>
    </w:p>
    <w:p>
      <w:pPr>
        <w:ind w:left="1280" w:right="2099"/>
        <w:spacing w:after="0" w:line="279" w:lineRule="auto"/>
        <w:rPr>
          <w:sz w:val="20"/>
          <w:szCs w:val="20"/>
          <w:color w:val="auto"/>
        </w:rPr>
      </w:pPr>
      <w:r>
        <w:rPr>
          <w:rFonts w:ascii="Courier New" w:cs="Courier New" w:eastAsia="Courier New" w:hAnsi="Courier New"/>
          <w:sz w:val="16"/>
          <w:szCs w:val="16"/>
          <w:color w:val="auto"/>
        </w:rPr>
        <w:t>THESE SECURITIES HAVE NOT BEEN REGISTERED WITH THE SECURITIES AND EXCHANGE COMMISSION OR THE SECURITIES COMMISSION OF ANY STATE IN RELIANCE UPON AN EXEMPTION FROM REGISTRATION UNDER THE SECURITIES</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20" w:right="1440" w:bottom="1440" w:gutter="0" w:footer="0" w:header="0"/>
        </w:sectPr>
      </w:pPr>
    </w:p>
    <w:bookmarkStart w:id="16" w:name="page17"/>
    <w:bookmarkEnd w:id="16"/>
    <w:p>
      <w:pPr>
        <w:ind w:left="1280" w:right="1779"/>
        <w:spacing w:after="0" w:line="238" w:lineRule="auto"/>
        <w:rPr>
          <w:sz w:val="20"/>
          <w:szCs w:val="20"/>
          <w:color w:val="auto"/>
        </w:rPr>
      </w:pPr>
      <w:r>
        <w:rPr>
          <w:rFonts w:ascii="Courier New" w:cs="Courier New" w:eastAsia="Courier New" w:hAnsi="Courier New"/>
          <w:sz w:val="18"/>
          <w:szCs w:val="18"/>
          <w:color w:val="auto"/>
        </w:rPr>
        <w:t>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AS EVIDENCED BY A LEGAL OPINION OF COUNSEL TO THE TRANSFEROR TO SUCH EFFECT, THE SUBSTANCE OF WHICH SHALL BE REASONABLY ACCEPTABLE TO THE COMPANY. THESE SECURITIES MAY BE PLEDGED IN CONNECTION WITH A BONA FIDE MARGIN ACCOUNT WITH A REGISTERED BROKER-DEALER OR OTHER LOAN WITH A FINANCIAL INSTITUTION THAT IS AN "ACCREDITED INVESTOR" AS DEFINED IN RULE 501(a) UNDER THE SECURITIES ACT.</w:t>
      </w:r>
    </w:p>
    <w:p>
      <w:pPr>
        <w:spacing w:after="0" w:line="207" w:lineRule="exact"/>
        <w:rPr>
          <w:sz w:val="20"/>
          <w:szCs w:val="20"/>
          <w:color w:val="auto"/>
        </w:rPr>
      </w:pPr>
    </w:p>
    <w:p>
      <w:pPr>
        <w:ind w:right="1779" w:firstLine="632"/>
        <w:spacing w:after="0" w:line="238" w:lineRule="auto"/>
        <w:rPr>
          <w:sz w:val="20"/>
          <w:szCs w:val="20"/>
          <w:color w:val="auto"/>
        </w:rPr>
      </w:pPr>
      <w:r>
        <w:rPr>
          <w:rFonts w:ascii="Courier New" w:cs="Courier New" w:eastAsia="Courier New" w:hAnsi="Courier New"/>
          <w:sz w:val="18"/>
          <w:szCs w:val="18"/>
          <w:color w:val="auto"/>
        </w:rPr>
        <w:t>The Company acknowledges and agrees that a Purchaser may from time to time pledge pursuant to a bona fide margin agreement with a registered broker-dealer or grant a security interest in some or all of the Securities to a financial institution that is an "accredited investor" as defined in Rule 501(a) under the Securities Act and who agrees to be bound by the provisions of this Agreement and, if required under the terms of such arrangement, such Purchaser may transfer pledged or secured Securities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Securities may reasonably request in connection with a pledge or transfer of the Securities, the preparation and filing of any required prospectus supplement under Rule 424(b)(3) under the Securities Act or other applicable provision of the Securities Act to appropriately amend the list of selling stockholders thereunder.</w:t>
      </w:r>
    </w:p>
    <w:p>
      <w:pPr>
        <w:spacing w:after="0" w:line="209" w:lineRule="exact"/>
        <w:rPr>
          <w:sz w:val="20"/>
          <w:szCs w:val="20"/>
          <w:color w:val="auto"/>
        </w:rPr>
      </w:pPr>
    </w:p>
    <w:p>
      <w:pPr>
        <w:ind w:right="1779" w:firstLine="632"/>
        <w:spacing w:after="0" w:line="269" w:lineRule="auto"/>
        <w:rPr>
          <w:sz w:val="20"/>
          <w:szCs w:val="20"/>
          <w:color w:val="auto"/>
        </w:rPr>
      </w:pPr>
      <w:r>
        <w:rPr>
          <w:rFonts w:ascii="Courier New" w:cs="Courier New" w:eastAsia="Courier New" w:hAnsi="Courier New"/>
          <w:sz w:val="16"/>
          <w:szCs w:val="16"/>
          <w:color w:val="auto"/>
        </w:rPr>
        <w:t>Certificates evidencing the Shares and Underlying Shares shall not contain any legend, (i) while a registration statement (including the Registration Statement) covering the resale of such security is effective under the Securities Act, or (ii) following any sale of such Shares or Underlying Shares pursuant to Rule 144, or (iii) if such Shares or Underlying Shares are eligible for sale under Rule 144(k), or (iv) if such legend is not required under applicable requirements of the Securities Act (including judicial interpretations and pronouncements issued by the Staff of the Commission). The Company shall cause its counsel to issue a legal opinion to the Company's transfer agent promptly after the date on which the Registration Statement is declared effective (the "EFFECTIVE DATE") if required by the Company's transfer agent to effect the removal of the legend hereunder. If all or any portion of a Warrant is exercised at a time when there is an effective registration statement to cover the resale of the Underlying Shares, such Underlying Shares shall be issued free of all legends. The Company agrees that following the Effective Date or at such time as such legend is no longer required under this Section 4(j), it will, no later than five business days following the delivery by a Purchaser to the Company or the Company's transfer agent of a certificate representing Shares or Underlying Shares, as the case may be,</w:t>
      </w:r>
    </w:p>
    <w:p>
      <w:pPr>
        <w:spacing w:after="0" w:line="200" w:lineRule="exact"/>
        <w:rPr>
          <w:sz w:val="20"/>
          <w:szCs w:val="20"/>
          <w:color w:val="auto"/>
        </w:rPr>
      </w:pPr>
    </w:p>
    <w:p>
      <w:pPr>
        <w:spacing w:after="0" w:line="39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20" w:right="1440" w:bottom="1440" w:gutter="0" w:footer="0" w:header="0"/>
        </w:sectPr>
      </w:pPr>
    </w:p>
    <w:bookmarkStart w:id="17" w:name="page18"/>
    <w:bookmarkEnd w:id="17"/>
    <w:p>
      <w:pPr>
        <w:ind w:right="1999"/>
        <w:spacing w:after="0" w:line="237" w:lineRule="auto"/>
        <w:rPr>
          <w:sz w:val="20"/>
          <w:szCs w:val="20"/>
          <w:color w:val="auto"/>
        </w:rPr>
      </w:pPr>
      <w:r>
        <w:rPr>
          <w:rFonts w:ascii="Courier New" w:cs="Courier New" w:eastAsia="Courier New" w:hAnsi="Courier New"/>
          <w:sz w:val="18"/>
          <w:szCs w:val="18"/>
          <w:color w:val="auto"/>
        </w:rPr>
        <w:t>issued with a restrictive legend, deliver or cause to be delivered to such Purchaser a certificate representing such Securities that is free from all restrictive and other legends. The Company may not make any notation on its records or give instructions to any transfer agent of the Company that enlarge the restrictions on transfer set forth in this Section 4(j).</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Each Purchaser, severally and not jointly with the other Purchasers, agrees that the removal of the restrictive legend from certificates representing Securities as set forth in this Section 4(j) is predicated upon the Purchaser's covenant that the Purchaser will sell any Securities pursuant to either the registration requirements of the Securities Act, including any applicable prospectus delivery requirements, or an exemption therefrom.</w:t>
      </w:r>
    </w:p>
    <w:p>
      <w:pPr>
        <w:spacing w:after="0" w:line="210"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In addition, the Purchaser agrees that the Company may place stop transfer orders with its transfer agent with respect to such Certificates in order to implement the restrictions on transfer set forth in this Agreement. The appropriate portion of the legend and the stop transfer orders will be removed promptly upon delivery to the Company of such satisfactory evidence as reasonably may be required by the Company that such legend or stop orders are not required to ensure compliance with the Securities Act.</w:t>
      </w:r>
    </w:p>
    <w:p>
      <w:pPr>
        <w:spacing w:after="0" w:line="205" w:lineRule="exact"/>
        <w:rPr>
          <w:sz w:val="20"/>
          <w:szCs w:val="20"/>
          <w:color w:val="auto"/>
        </w:rPr>
      </w:pPr>
    </w:p>
    <w:p>
      <w:pPr>
        <w:ind w:left="2440" w:hanging="536"/>
        <w:spacing w:after="0"/>
        <w:tabs>
          <w:tab w:leader="none" w:pos="24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 The Purchaser agrees that Warrants shall bear</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legend:</w:t>
      </w:r>
    </w:p>
    <w:p>
      <w:pPr>
        <w:spacing w:after="0" w:line="207" w:lineRule="exact"/>
        <w:rPr>
          <w:sz w:val="20"/>
          <w:szCs w:val="20"/>
          <w:color w:val="auto"/>
        </w:rPr>
      </w:pPr>
    </w:p>
    <w:p>
      <w:pPr>
        <w:ind w:left="1280" w:right="1879"/>
        <w:spacing w:after="0" w:line="237" w:lineRule="auto"/>
        <w:rPr>
          <w:sz w:val="20"/>
          <w:szCs w:val="20"/>
          <w:color w:val="auto"/>
        </w:rPr>
      </w:pPr>
      <w:r>
        <w:rPr>
          <w:rFonts w:ascii="Courier New" w:cs="Courier New" w:eastAsia="Courier New" w:hAnsi="Courier New"/>
          <w:sz w:val="18"/>
          <w:szCs w:val="18"/>
          <w:color w:val="auto"/>
        </w:rPr>
        <w:t>"THIS WARRANT AND THE SHARES ISSUABLE UPON EXERCISE HEREOF HAVE NOT BEEN REGISTERED UNDER THE SECURITIES ACT OF 1933, AS AMENDED (THE "ACT") OR WITH ANY STATE SECURITIES COMMISSION, AND MAY NOT BE TRANSFERRED OR DISPOSED OF BY THE HOLDER IN THE ABSENCE OF A REGISTRATION STATEMENT WHICH IS EFFECTIVE UNDER THE SECURITIES ACT AND APPLICABLE STATE LAWS AND RULES, OR, UNLESS, IMMEDIATELY PRIOR TO THE TIME SET FOR TRANSFER, SUCH TRANSFER MAY BE EFFECTED WITHOUT VIOLATION OF THE SECURITIES ACT AND OTHER APPLICABLE STATE LAWS AND RULES."</w:t>
      </w:r>
    </w:p>
    <w:p>
      <w:pPr>
        <w:spacing w:after="0" w:line="214" w:lineRule="exact"/>
        <w:rPr>
          <w:sz w:val="20"/>
          <w:szCs w:val="20"/>
          <w:color w:val="auto"/>
        </w:rPr>
      </w:pPr>
    </w:p>
    <w:p>
      <w:pPr>
        <w:ind w:right="1779" w:firstLine="1272"/>
        <w:spacing w:after="0" w:line="271" w:lineRule="auto"/>
        <w:tabs>
          <w:tab w:leader="none" w:pos="1685"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Questionnaires. The Purchaser has completed or caused to be completed the Stock Certificate Questionnaire and the Registration Statement Questionnaire for use in preparation of the Registration Statement (as defined in Section 5(a)(ii) below), and the answers to such questionnaires are true and correct as of the date of this Agreement; provided, that the Purchasers shall be entitled to update such information by providing written notice thereof to the Company before the effective date of the Registration Statement.</w:t>
      </w:r>
    </w:p>
    <w:p>
      <w:pPr>
        <w:spacing w:after="0" w:line="187"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Restrictions on Short Sales. The Purchaser represents, warrants and covenants that neither the Purchaser nor any Affiliate of such Purchaser which (x) had knowledge of the transactions contemplated hereby, (y) has or shares discretion relating to such Purchaser's investments or trading or information concerning such Purchaser's investments, including in respect of the Purchased Securities, or (z) is subject to such Purchaser's review or input concerning such Affiliate's investments or trading, has or will, directly or indirectly, during the period beginning on the date on which the Company or C.E. Unterberg, Towbin, a financial</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520" w:right="1440" w:bottom="1440" w:gutter="0" w:footer="0" w:header="0"/>
        </w:sectPr>
      </w:pPr>
    </w:p>
    <w:bookmarkStart w:id="18" w:name="page19"/>
    <w:bookmarkEnd w:id="18"/>
    <w:p>
      <w:pPr>
        <w:ind w:right="1779"/>
        <w:spacing w:after="0" w:line="269" w:lineRule="auto"/>
        <w:rPr>
          <w:sz w:val="20"/>
          <w:szCs w:val="20"/>
          <w:color w:val="auto"/>
        </w:rPr>
      </w:pPr>
      <w:r>
        <w:rPr>
          <w:rFonts w:ascii="Courier New" w:cs="Courier New" w:eastAsia="Courier New" w:hAnsi="Courier New"/>
          <w:sz w:val="16"/>
          <w:szCs w:val="16"/>
          <w:color w:val="auto"/>
        </w:rPr>
        <w:t>advisor to the Company, first contacted such Purchaser regarding the transactions contemplated by this Agreement (and involving the Company) and ending at the time of the filing of the Form 8-K pursuant to Section 9(m), engage in (i) any "short sales" (as such term is defined in Rule 3b-3 promulgated under the Exchange Act) of the Common Stock, including, without limitation, the maintaining of any short position with respect to, establishing or maintaining a "put equivalent position" (within the meaning of Rule 16a-1(h) under the Exchange Act) with respect to, entering into any swap, derivative transaction or other arrangement (whether any such transaction is to be settled by delivery of Common Stock, other securities, cash or other consideration) that transfers to another, in whole or in part, any economic consequences or ownership, or otherwise dispose of, any of the Purchased Securities by the Purchaser or (ii) any hedging transaction which establishes a net short position with respect to the Purchased Securities (clauses (i) and (ii) together, a "SHORT SALE"); except for (1) Short Sales by the Purchaser or Affiliate of such Purchaser which was, prior to the date on which such Purchaser was first contacted by the Company or C.E. Unterberg, Towbin regarding the transactions contemplated by this Agreement, a market maker for the Common Stock, provided that such Short Sales are in the ordinary course of business of such Purchaser or Affiliate of such Purchaser and are in compliance with the Securities Act, the rules and regulations of the Securities Act and such other securities laws as may be applicable, (2) Short Sales by the Purchaser or an Affiliate of such Purchaser which by virtue of the procedures of such Purchaser are made without knowledge of the transactions contemplated by this Agreement or (3) Short Sales by the Purchaser or an Affiliate of such Purchaser to the extent that such Purchaser or Affiliate of such Purchaser is acting in the capacity of a broker-dealer executing unsolicited third-party transactions.</w:t>
      </w:r>
    </w:p>
    <w:p>
      <w:pPr>
        <w:spacing w:after="0" w:line="200" w:lineRule="exact"/>
        <w:rPr>
          <w:sz w:val="20"/>
          <w:szCs w:val="20"/>
          <w:color w:val="auto"/>
        </w:rPr>
      </w:pPr>
    </w:p>
    <w:p>
      <w:pPr>
        <w:spacing w:after="0" w:line="388" w:lineRule="exact"/>
        <w:rPr>
          <w:sz w:val="20"/>
          <w:szCs w:val="20"/>
          <w:color w:val="auto"/>
        </w:rPr>
      </w:pPr>
    </w:p>
    <w:p>
      <w:pPr>
        <w:ind w:left="960" w:hanging="320"/>
        <w:spacing w:after="0"/>
        <w:tabs>
          <w:tab w:leader="none" w:pos="96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D FILING; REGISTRATION; COMPLIANCE WITH THE SECURITIES ACT.</w:t>
      </w:r>
    </w:p>
    <w:p>
      <w:pPr>
        <w:spacing w:after="0" w:line="206" w:lineRule="exact"/>
        <w:rPr>
          <w:rFonts w:ascii="Courier New" w:cs="Courier New" w:eastAsia="Courier New" w:hAnsi="Courier New"/>
          <w:sz w:val="18"/>
          <w:szCs w:val="18"/>
          <w:color w:val="auto"/>
        </w:rPr>
      </w:pPr>
    </w:p>
    <w:p>
      <w:pPr>
        <w:ind w:right="2319" w:firstLine="1272"/>
        <w:spacing w:after="0" w:line="235" w:lineRule="auto"/>
        <w:tabs>
          <w:tab w:leader="none" w:pos="1685" w:val="left"/>
        </w:tabs>
        <w:numPr>
          <w:ilvl w:val="2"/>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D Filing; Registration of the Purchased Shares and the Underlying Shares. The Company hereby agrees that it shall:</w:t>
      </w:r>
    </w:p>
    <w:p>
      <w:pPr>
        <w:spacing w:after="0" w:line="208" w:lineRule="exact"/>
        <w:rPr>
          <w:rFonts w:ascii="Courier New" w:cs="Courier New" w:eastAsia="Courier New" w:hAnsi="Courier New"/>
          <w:sz w:val="18"/>
          <w:szCs w:val="18"/>
          <w:color w:val="auto"/>
        </w:rPr>
      </w:pPr>
    </w:p>
    <w:p>
      <w:pPr>
        <w:ind w:right="1999" w:firstLine="1904"/>
        <w:spacing w:after="0" w:line="236" w:lineRule="auto"/>
        <w:tabs>
          <w:tab w:leader="none" w:pos="2318" w:val="left"/>
        </w:tabs>
        <w:numPr>
          <w:ilvl w:val="3"/>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file in a timely manner a Form D relating to the sale of the Purchased Securities under this Agreement, pursuant to Regulation D promulgated under the Securities Act;</w:t>
      </w:r>
    </w:p>
    <w:p>
      <w:pPr>
        <w:spacing w:after="0" w:line="208" w:lineRule="exact"/>
        <w:rPr>
          <w:rFonts w:ascii="Courier New" w:cs="Courier New" w:eastAsia="Courier New" w:hAnsi="Courier New"/>
          <w:sz w:val="18"/>
          <w:szCs w:val="18"/>
          <w:color w:val="auto"/>
        </w:rPr>
      </w:pPr>
    </w:p>
    <w:p>
      <w:pPr>
        <w:ind w:right="1779" w:firstLine="1904"/>
        <w:spacing w:after="0" w:line="268" w:lineRule="auto"/>
        <w:tabs>
          <w:tab w:leader="none" w:pos="2423" w:val="left"/>
        </w:tabs>
        <w:numPr>
          <w:ilvl w:val="3"/>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and file with the SEC as soon as practicable and in no event later than thirty (30) days following the Closing, a registration statement on Form S-3 (the "REGISTRATION STATEMENT"), to enable the resale of the Purchased Shares and the sale of the Underlying Shares (together with any shares of Common Stock issued as a dividend or other distribution with respect to, or in exchange for, or in replacement of, the Purchased Shares or the Underlying Shares, the "REGISTRABLE SHARES") by the Purchasers from time to time on Nasdaq and use all commercially reasonable efforts to cause such Registration Statement to be declared effective as promptly as possible after filing, but in any event, within ninety (90) days following the Closing Date or, in the event of a review of the Registration Statement by the SEC, within one hundred twenty</w:t>
      </w:r>
    </w:p>
    <w:p>
      <w:pPr>
        <w:spacing w:after="0" w:line="2" w:lineRule="exact"/>
        <w:rPr>
          <w:rFonts w:ascii="Courier New" w:cs="Courier New" w:eastAsia="Courier New" w:hAnsi="Courier New"/>
          <w:sz w:val="16"/>
          <w:szCs w:val="16"/>
          <w:color w:val="auto"/>
        </w:rPr>
      </w:pPr>
    </w:p>
    <w:p>
      <w:pPr>
        <w:ind w:right="1999" w:firstLine="8"/>
        <w:spacing w:after="0" w:line="237" w:lineRule="auto"/>
        <w:tabs>
          <w:tab w:leader="none" w:pos="632"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following the Closing Date, and to remain continuously effective until the earlier of (1) the second anniversary of the effective date of the Registration Statement, (2) the date on which all Registrable Shares purchased by the Purchasers pursuant to this Agreement have been sold thereunder or (3) the date on which the Registrable Shares can be sold</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520" w:right="1440" w:bottom="1440" w:gutter="0" w:footer="0" w:header="0"/>
        </w:sectPr>
      </w:pPr>
    </w:p>
    <w:bookmarkStart w:id="19" w:name="page20"/>
    <w:bookmarkEnd w:id="19"/>
    <w:p>
      <w:pPr>
        <w:ind w:right="1779"/>
        <w:spacing w:after="0" w:line="237" w:lineRule="auto"/>
        <w:rPr>
          <w:sz w:val="20"/>
          <w:szCs w:val="20"/>
          <w:color w:val="auto"/>
        </w:rPr>
      </w:pPr>
      <w:r>
        <w:rPr>
          <w:rFonts w:ascii="Courier New" w:cs="Courier New" w:eastAsia="Courier New" w:hAnsi="Courier New"/>
          <w:sz w:val="18"/>
          <w:szCs w:val="18"/>
          <w:color w:val="auto"/>
        </w:rPr>
        <w:t>by nonaffiliates of the Company pursuant to Rule 144(k) promulgated under the Securities Act (the "REGISTRATION PERIOD"). In the event that the Company does not meet the requirements for the use of Form S-3, the Company shall use such other form as is available for such a registration, and shall convert such other form to Form S-3, or file a replacement registration statement on Form S-3, promptly after the first date on which it meets such requirements;</w:t>
      </w:r>
    </w:p>
    <w:p>
      <w:pPr>
        <w:spacing w:after="0" w:line="210" w:lineRule="exact"/>
        <w:rPr>
          <w:sz w:val="20"/>
          <w:szCs w:val="20"/>
          <w:color w:val="auto"/>
        </w:rPr>
      </w:pPr>
    </w:p>
    <w:p>
      <w:pPr>
        <w:jc w:val="both"/>
        <w:ind w:right="1779" w:firstLine="1904"/>
        <w:spacing w:after="0" w:line="237" w:lineRule="auto"/>
        <w:tabs>
          <w:tab w:leader="none" w:pos="252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file with the SEC such amendments (including post-effective amendments) and supplements to the Registration Statement and the Prospectus (as defined below) used in connection therewith as may be necessary to keep the Registration Statement effective at all times until the end of the Registration Period;</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the Purchasers with respect to the Registrable Shares registered under the Registration Statement such reasonable number of copies of any Prospectus (as defined below) in conformity with the requirements of the Securities Act and such other documents as the Purchaser may reasonably request, in order to facilitate the public sale or other disposition of all or any of the Registrable Shares by the Purchasers;</w:t>
      </w:r>
    </w:p>
    <w:p>
      <w:pPr>
        <w:spacing w:after="0" w:line="209" w:lineRule="exact"/>
        <w:rPr>
          <w:rFonts w:ascii="Courier New" w:cs="Courier New" w:eastAsia="Courier New" w:hAnsi="Courier New"/>
          <w:sz w:val="18"/>
          <w:szCs w:val="18"/>
          <w:color w:val="auto"/>
        </w:rPr>
      </w:pPr>
    </w:p>
    <w:p>
      <w:pPr>
        <w:ind w:right="1879" w:firstLine="1904"/>
        <w:spacing w:after="0" w:line="273" w:lineRule="auto"/>
        <w:tabs>
          <w:tab w:leader="none" w:pos="2318"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use its commercially reasonable efforts to file documents required of the Company for normal blue sky clearance in states specified in writing by the Purchasers; provided, however, that the Company shall not be required to qualify to do business or consent to service of process in any jurisdiction in which it is not now so qualified or has not so consented;</w:t>
      </w:r>
    </w:p>
    <w:p>
      <w:pPr>
        <w:spacing w:after="0" w:line="178" w:lineRule="exact"/>
        <w:rPr>
          <w:rFonts w:ascii="Courier New" w:cs="Courier New" w:eastAsia="Courier New" w:hAnsi="Courier New"/>
          <w:sz w:val="16"/>
          <w:szCs w:val="16"/>
          <w:color w:val="auto"/>
        </w:rPr>
      </w:pPr>
    </w:p>
    <w:p>
      <w:pPr>
        <w:ind w:left="2440" w:hanging="536"/>
        <w:spacing w:after="0"/>
        <w:tabs>
          <w:tab w:leader="none" w:pos="24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all such action as is required of it to cause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Registrable Shares to be listed on Nasdaq on the Closing Date;</w:t>
      </w:r>
    </w:p>
    <w:p>
      <w:pPr>
        <w:spacing w:after="0" w:line="201" w:lineRule="exact"/>
        <w:rPr>
          <w:rFonts w:ascii="Courier New" w:cs="Courier New" w:eastAsia="Courier New" w:hAnsi="Courier New"/>
          <w:sz w:val="18"/>
          <w:szCs w:val="18"/>
          <w:color w:val="auto"/>
        </w:rPr>
      </w:pPr>
    </w:p>
    <w:p>
      <w:pPr>
        <w:ind w:left="2540" w:hanging="636"/>
        <w:spacing w:after="0"/>
        <w:tabs>
          <w:tab w:leader="none" w:pos="2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notify the Purchasers in writing when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Statement has been declared effective;</w:t>
      </w:r>
    </w:p>
    <w:p>
      <w:pPr>
        <w:spacing w:after="0" w:line="207" w:lineRule="exact"/>
        <w:rPr>
          <w:rFonts w:ascii="Courier New" w:cs="Courier New" w:eastAsia="Courier New" w:hAnsi="Courier New"/>
          <w:sz w:val="18"/>
          <w:szCs w:val="18"/>
          <w:color w:val="auto"/>
        </w:rPr>
      </w:pPr>
    </w:p>
    <w:p>
      <w:pPr>
        <w:ind w:right="1779" w:firstLine="1904"/>
        <w:spacing w:after="0" w:line="238" w:lineRule="auto"/>
        <w:tabs>
          <w:tab w:leader="none" w:pos="2634"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promptly notify the Purchasers in writing of the existence of any fact or the happening of any event, during the Registration Period (but not as to the substance of any such fact or event), that makes any statement of a material fact made in the Registration Statement, the Prospectus, any amendment or supplement thereto, or any document incorporated by reference therein untrue, or that requires the making of any additions to or changes in the Registration Statement or the Prospectus in order to make the statements therein not misleading (provided, however, that no notice by the Company shall be required pursuant to this subsection (viii) in the event that the Company either contemporaneously files a prospectus supplement to update the Prospectus or a Form 8-K or other appropriate Exchange Act report that is incorporated by reference into the Registration Statement, which, in either case, contains the requisite information with respect to such material event that results in such Registration Statement no longer containing any such untrue or misleading statements);</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furnish to each Purchaser upon written request, from the date of this Agreement until the end of the Registration Period, one copy of its periodic reports filed with the SEC pursuant to the Exchange Act and the rules and regulations promulgated thereunder; and</w:t>
      </w:r>
    </w:p>
    <w:p>
      <w:pPr>
        <w:spacing w:after="0" w:line="207" w:lineRule="exact"/>
        <w:rPr>
          <w:rFonts w:ascii="Courier New" w:cs="Courier New" w:eastAsia="Courier New" w:hAnsi="Courier New"/>
          <w:sz w:val="18"/>
          <w:szCs w:val="18"/>
          <w:color w:val="auto"/>
        </w:rPr>
      </w:pPr>
    </w:p>
    <w:p>
      <w:pPr>
        <w:ind w:right="2519" w:firstLine="1904"/>
        <w:spacing w:after="0" w:line="236" w:lineRule="auto"/>
        <w:tabs>
          <w:tab w:leader="none" w:pos="2318"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bear all expenses in connection with the procedures described in paragraphs (i) through (ix) of this Section 5(a) and the registration of the Registrable Shares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520" w:right="1440" w:bottom="1440" w:gutter="0" w:footer="0" w:header="0"/>
        </w:sectPr>
      </w:pPr>
    </w:p>
    <w:bookmarkStart w:id="20" w:name="page21"/>
    <w:bookmarkEnd w:id="20"/>
    <w:p>
      <w:pPr>
        <w:ind w:right="1879"/>
        <w:spacing w:after="0" w:line="236" w:lineRule="auto"/>
        <w:rPr>
          <w:sz w:val="20"/>
          <w:szCs w:val="20"/>
          <w:color w:val="auto"/>
        </w:rPr>
      </w:pPr>
      <w:r>
        <w:rPr>
          <w:rFonts w:ascii="Courier New" w:cs="Courier New" w:eastAsia="Courier New" w:hAnsi="Courier New"/>
          <w:sz w:val="18"/>
          <w:szCs w:val="18"/>
          <w:color w:val="auto"/>
        </w:rPr>
        <w:t>pursuant to the Registration Statement other than fees and expenses, if any, of legal counsel or other advisers to the Purchasers or underwriting discounts, brokerage fees and commissions incurred by the Purchasers, if any.</w:t>
      </w:r>
    </w:p>
    <w:p>
      <w:pPr>
        <w:spacing w:after="0" w:line="209"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It shall be a condition precedent to the obligations of the Company to take any action pursuant to this Section 5(a) with respect to Registrable Shares held by a Purchaser that such Purchaser shall timely furnish to the Company a completed Registration Statement Questionnaire on or before the Closing Date and such other written information regarding itself, the Registrable Shares to be sold by such Purchaser, and the intended method of disposition of the Registrable Shares as shall be required to effect the registration of the Registrable Shares. The Purchasers shall update such information as and when necessary by written notice to the Company.</w:t>
      </w:r>
    </w:p>
    <w:p>
      <w:pPr>
        <w:spacing w:after="0" w:line="208" w:lineRule="exact"/>
        <w:rPr>
          <w:sz w:val="20"/>
          <w:szCs w:val="20"/>
          <w:color w:val="auto"/>
        </w:rPr>
      </w:pPr>
    </w:p>
    <w:p>
      <w:pPr>
        <w:ind w:left="1700" w:hanging="428"/>
        <w:spacing w:after="0"/>
        <w:tabs>
          <w:tab w:leader="none" w:pos="1700"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Liquidated Damages.</w:t>
      </w:r>
    </w:p>
    <w:p>
      <w:pPr>
        <w:spacing w:after="0" w:line="206" w:lineRule="exact"/>
        <w:rPr>
          <w:rFonts w:ascii="Courier New" w:cs="Courier New" w:eastAsia="Courier New" w:hAnsi="Courier New"/>
          <w:sz w:val="18"/>
          <w:szCs w:val="18"/>
          <w:color w:val="auto"/>
        </w:rPr>
      </w:pPr>
    </w:p>
    <w:p>
      <w:pPr>
        <w:ind w:right="1779" w:firstLine="1904"/>
        <w:spacing w:after="0" w:line="268" w:lineRule="auto"/>
        <w:tabs>
          <w:tab w:leader="none" w:pos="2318" w:val="left"/>
        </w:tabs>
        <w:numPr>
          <w:ilvl w:val="2"/>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Delay in Filing or Effectiveness of Registration Statement. In the event that the Registration Statement is not (A) filed with the SEC within thirty (30) days following the Closing Date or (B) declared effective within ninety (90) days following the Closing Date or, in the event of a review of the Registration Statement by the SEC, within one hundred twenty</w:t>
      </w:r>
    </w:p>
    <w:p>
      <w:pPr>
        <w:ind w:right="1879" w:firstLine="8"/>
        <w:spacing w:after="0" w:line="237" w:lineRule="auto"/>
        <w:tabs>
          <w:tab w:leader="none" w:pos="63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following the Closing Date, the Company shall pay to each Purchaser liquidated damages (in addition to the rights and remedies available to each Purchaser under applicable law and this Agreement), at a rate equal to one percent (1%) per month (pro rata on a 30 day basis) of the total purchase price of the Purchased Securities purchased by such Purchaser pursuant to this Agreement. Such liquidated damages shall be payable within ten (10) days of the end of each one (1) month anniversary of the applicable filing or effectiveness deadline set forth in this section 5(b)(i).</w:t>
      </w:r>
    </w:p>
    <w:p>
      <w:pPr>
        <w:spacing w:after="0" w:line="212" w:lineRule="exact"/>
        <w:rPr>
          <w:rFonts w:ascii="Courier New" w:cs="Courier New" w:eastAsia="Courier New" w:hAnsi="Courier New"/>
          <w:sz w:val="18"/>
          <w:szCs w:val="18"/>
          <w:color w:val="auto"/>
        </w:rPr>
      </w:pPr>
    </w:p>
    <w:p>
      <w:pPr>
        <w:ind w:right="1779" w:firstLine="1904"/>
        <w:spacing w:after="0" w:line="269" w:lineRule="auto"/>
        <w:tabs>
          <w:tab w:leader="none" w:pos="2423" w:val="left"/>
        </w:tabs>
        <w:numPr>
          <w:ilvl w:val="2"/>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Lapse in Effectiveness of Registration Statement. In the event that the Registration Statement is filed and declared effective but, during the Registration Period, shall thereafter cease to be effective or useable or the prospectus included in the Registration Statement (the "PROSPECTUS", as amended or supplemented by any prospectus supplement and by all other amendments thereto and all material incorporated by reference in such Prospectus) ceases to be usable, in either case, in connection with resales of Registrable Shares, without such lapse being cured within ten (10) business days (the "CURE PERIOD") by a post-effective amendment to the Registration Statement, a supplement to the Prospectus or a report filed with the SEC pursuant to Section 13(a), 13(c), 14 or 15(d) of the Exchange Act that cures such lapse, then the Company shall pay to each Purchaser, liquidated damages (in addition to the rights and remedies available to each Purchaser under applicable law and this Agreement), for the period from and including the first day following the expiration of the Cure Period until, but excluding, the earlier of (1) the date on which such failure is cured and (2) the date on which the Registration Period expires, at a rate equal to one percent (1%) per month (pro rata on a 30 day basis) of the total purchase price of the Purchased Shares purchased by such Purchaser pursuant to this Agreement. Such liquidated damages shall be payable within ten (10) days of the end of each one (1) month anniversary of the expiration of the Cure Period.</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1700" w:hanging="428"/>
        <w:spacing w:after="0"/>
        <w:tabs>
          <w:tab w:leader="none" w:pos="170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Transfer of Registrable Shares After Registration; Suspension.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520" w:right="1440" w:bottom="1440" w:gutter="0" w:footer="0" w:header="0"/>
        </w:sectPr>
      </w:pPr>
    </w:p>
    <w:bookmarkStart w:id="21" w:name="page22"/>
    <w:bookmarkEnd w:id="21"/>
    <w:p>
      <w:pPr>
        <w:ind w:right="1779" w:firstLine="1904"/>
        <w:spacing w:after="0" w:line="237" w:lineRule="auto"/>
        <w:tabs>
          <w:tab w:leader="none" w:pos="2318"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Purchasers agree that they will not offer to sell or make any sale, assignment, pledge, hypothecation or other transfer with respect to the Registrable Shares that would constitute a sale within the meaning of the Securities Act except pursuant to either (1) the Registration Statement, (2) Rule 144 of the Securities Act or (3) any other exemption from registration under the Securities Act, and that they will promptly notify the Company of any changes in the information set forth in the Registration Statement after it is prepared regarding the Purchaser or its plan of distribution to the extent required by applicable law.</w:t>
      </w:r>
    </w:p>
    <w:p>
      <w:pPr>
        <w:spacing w:after="0" w:line="207" w:lineRule="exact"/>
        <w:rPr>
          <w:rFonts w:ascii="Courier New" w:cs="Courier New" w:eastAsia="Courier New" w:hAnsi="Courier New"/>
          <w:sz w:val="18"/>
          <w:szCs w:val="18"/>
          <w:color w:val="auto"/>
        </w:rPr>
      </w:pPr>
    </w:p>
    <w:p>
      <w:pPr>
        <w:ind w:left="2440" w:hanging="536"/>
        <w:spacing w:after="0"/>
        <w:tabs>
          <w:tab w:leader="none" w:pos="2440"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addition to any suspension rights under paragraph</w:t>
      </w:r>
    </w:p>
    <w:p>
      <w:pPr>
        <w:spacing w:after="0" w:line="4" w:lineRule="exact"/>
        <w:rPr>
          <w:rFonts w:ascii="Courier New" w:cs="Courier New" w:eastAsia="Courier New" w:hAnsi="Courier New"/>
          <w:sz w:val="18"/>
          <w:szCs w:val="18"/>
          <w:color w:val="auto"/>
        </w:rPr>
      </w:pPr>
    </w:p>
    <w:p>
      <w:pPr>
        <w:ind w:right="1879" w:firstLine="8"/>
        <w:spacing w:after="0" w:line="269" w:lineRule="auto"/>
        <w:tabs>
          <w:tab w:leader="none" w:pos="632"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upon the happening of any pending corporate development, public filing with the SEC or similar event, that, in the judgment of Company's Board of Directors, renders it advisable to suspend use of the Prospectus or upon the request by an underwriter in connection with an underwritten public offering of the Company's securities, the Company may, on not more than two (2) non-consecutive occasions for not more than forty-five (45) days on each such occasion, suspend use of the Prospectus, on written notice to each Purchaser (which notice will not disclose the content of any material non-public information and will indicate the date of the beginning and end of the intended period of suspension, if known), in which case each Purchaser shall discontinue disposition of Registrable Shares covered by the Registration Statement or Prospectus until copies of a supplemented or amended Prospectus are distributed to the Purchasers or until the Purchasers are advised in writing by the Company that sales of Registrable Shares under the applicable Prospectus may be resumed and have received copies of any additional or supplemental filings that are incorporated or deemed incorporated by reference in any such Prospectus. The suspension and notice thereof described in this Section 5(c)(ii) shall be held in strictest confidence and shall not be disclosed by the Purchasers.</w:t>
      </w:r>
    </w:p>
    <w:p>
      <w:pPr>
        <w:spacing w:after="0" w:line="395" w:lineRule="exact"/>
        <w:rPr>
          <w:rFonts w:ascii="Courier New" w:cs="Courier New" w:eastAsia="Courier New" w:hAnsi="Courier New"/>
          <w:sz w:val="16"/>
          <w:szCs w:val="16"/>
          <w:color w:val="auto"/>
        </w:rPr>
      </w:pPr>
    </w:p>
    <w:p>
      <w:pPr>
        <w:ind w:right="1779" w:firstLine="1904"/>
        <w:spacing w:after="0" w:line="268" w:lineRule="auto"/>
        <w:tabs>
          <w:tab w:leader="none" w:pos="2528" w:val="left"/>
        </w:tabs>
        <w:numPr>
          <w:ilvl w:val="1"/>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paragraph (iv) below, in the event of: (1) any request by the SEC or any other federal or state governmental authority during the period of effectiveness of the Registration Statement for amendments or supplements to a Registration Statement or related prospectus or for additional information, (2) the issuance by the SEC or any other federal or state governmental authority of any stop order suspending the effectiveness of a Registration Statement or the initiation of any proceedings for that purpose,</w:t>
      </w:r>
    </w:p>
    <w:p>
      <w:pPr>
        <w:spacing w:after="0" w:line="1" w:lineRule="exact"/>
        <w:rPr>
          <w:rFonts w:ascii="Courier New" w:cs="Courier New" w:eastAsia="Courier New" w:hAnsi="Courier New"/>
          <w:sz w:val="16"/>
          <w:szCs w:val="16"/>
          <w:color w:val="auto"/>
        </w:rPr>
      </w:pPr>
    </w:p>
    <w:p>
      <w:pPr>
        <w:ind w:right="1779"/>
        <w:spacing w:after="0" w:line="26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 the receipt by the Company of any notification with respect to the suspension of the qualification or exemption from qualification of any of the Registrable Shares for sale in any jurisdiction or the initiation of any proceeding for such purpose, or (4) any event or circumstance which necessitates the making of any changes in the Registration Statement or Prospectus, or any document incorporated or deemed to be incorporated therein by reference, so that, in the case of the Registration Statement, it will not contain any untrue statement of a material fact or any omission to state a material fact required to be stated therein or necessary to make the statements therein not misleading, and that in the case of the Prospectus, it will not contain any untrue statement of a material fact or any omission to state a material fact required to be stated therein or necessary to make the statements therein, in the light of the circumstances under which they were made, not misleading, then the Company shall deliver a certificate in writing to the Purchasers (the "SUSPENSION NOTICE") to the effect of the foregoing (which notice will not disclose the content of any material non-public information and will indicate the date of the beginning and end of the intended period of suspension, if known), and, upon receipt of such Suspension Notice, the Purchasers will discontinue disposition of Registrable Shares covered by to the Registration Statement or Prospectus (a "SUSPENSION") until the Purchasers' receipt of copies of a supplemented or</w:t>
      </w: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520" w:right="1440" w:bottom="1440" w:gutter="0" w:footer="0" w:header="0"/>
        </w:sectPr>
      </w:pPr>
    </w:p>
    <w:bookmarkStart w:id="22" w:name="page23"/>
    <w:bookmarkEnd w:id="22"/>
    <w:p>
      <w:pPr>
        <w:ind w:right="1779"/>
        <w:spacing w:after="0" w:line="237" w:lineRule="auto"/>
        <w:rPr>
          <w:sz w:val="20"/>
          <w:szCs w:val="20"/>
          <w:color w:val="auto"/>
        </w:rPr>
      </w:pPr>
      <w:r>
        <w:rPr>
          <w:rFonts w:ascii="Courier New" w:cs="Courier New" w:eastAsia="Courier New" w:hAnsi="Courier New"/>
          <w:sz w:val="18"/>
          <w:szCs w:val="18"/>
          <w:color w:val="auto"/>
        </w:rPr>
        <w:t>amended Prospectus prepared and filed by the Company, or until the Purchasers are advised in writing by the Company that the current Prospectus may be used, and have received copies of any additional or supplemental filings that are incorporated or deemed incorporated by reference in any such prospectus. In the event of any Suspension, the Company will use its commercially reasonable efforts to cause the use of the Prospectus so suspended to be resumed as soon as possible after delivery of a Suspension Notice to the Purchasers.</w:t>
      </w:r>
    </w:p>
    <w:p>
      <w:pPr>
        <w:spacing w:after="0" w:line="211" w:lineRule="exact"/>
        <w:rPr>
          <w:sz w:val="20"/>
          <w:szCs w:val="20"/>
          <w:color w:val="auto"/>
        </w:rPr>
      </w:pPr>
    </w:p>
    <w:p>
      <w:pPr>
        <w:ind w:right="2199" w:firstLine="1904"/>
        <w:spacing w:after="0" w:line="237" w:lineRule="auto"/>
        <w:tabs>
          <w:tab w:leader="none" w:pos="2423"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a suspension is not then in effect, the Purchasers may sell Registrable Shares under the Registration Statement, provided that the selling Purchaser arranges for delivery of a current Prospectus to the transferee of such Registrable Shares to the extent such delivery is required by applicable law.</w:t>
      </w:r>
    </w:p>
    <w:p>
      <w:pPr>
        <w:spacing w:after="0" w:line="208" w:lineRule="exact"/>
        <w:rPr>
          <w:rFonts w:ascii="Courier New" w:cs="Courier New" w:eastAsia="Courier New" w:hAnsi="Courier New"/>
          <w:sz w:val="18"/>
          <w:szCs w:val="18"/>
          <w:color w:val="auto"/>
        </w:rPr>
      </w:pPr>
    </w:p>
    <w:p>
      <w:pPr>
        <w:ind w:right="1879" w:firstLine="1904"/>
        <w:spacing w:after="0" w:line="237" w:lineRule="auto"/>
        <w:tabs>
          <w:tab w:leader="none" w:pos="2318"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 sale of Registrable Shares by a Purchaser, such Purchaser must also deliver to the Company's transfer agent, with a copy to the Company, a certificate of subsequent sale reasonably satisfactory to the Company, so that ownership of the Registrable Shares may be properly transferred. The Company will cooperate to facilitate the timely preparation and delivery of certificates (unless otherwise required by applicable law) representing Registrable Shares sold.</w:t>
      </w:r>
    </w:p>
    <w:p>
      <w:pPr>
        <w:spacing w:after="0" w:line="211"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For the purpose of this Section 5(d), the term "REGISTRATION STATEMENT" shall include any preliminary or final Prospectus, exhibit, supplement or amendment included in or relating to the Registration Statement referred to in Section 5(a).</w:t>
      </w:r>
    </w:p>
    <w:p>
      <w:pPr>
        <w:spacing w:after="0" w:line="207" w:lineRule="exact"/>
        <w:rPr>
          <w:rFonts w:ascii="Courier New" w:cs="Courier New" w:eastAsia="Courier New" w:hAnsi="Courier New"/>
          <w:sz w:val="18"/>
          <w:szCs w:val="18"/>
          <w:color w:val="auto"/>
        </w:rPr>
      </w:pPr>
    </w:p>
    <w:p>
      <w:pPr>
        <w:ind w:right="1779" w:firstLine="1904"/>
        <w:spacing w:after="0" w:line="238" w:lineRule="auto"/>
        <w:tabs>
          <w:tab w:leader="none" w:pos="2318" w:val="left"/>
        </w:tabs>
        <w:numPr>
          <w:ilvl w:val="1"/>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by the Company. The Company agrees to indemnify and hold harmless each of the Purchasers and each person, if any, who controls any Purchaser within the meaning of the Securities Act, to the fullest extent permitted by law, against any and all losses, claims, damages, liabilities or expenses, joint or several, to which such Purchasers or such controlling person may become subject, under the Securities Act, the Exchange Act or any other federal or state statutory law or regulation, or at common law or otherwise (including in settlement of any litigation, if such settlement is effected with the written consent of the Company, which consent shall not be unreasonably withheld), insofar as such losses, claims, damages, liabilities or expenses (or actions in respect thereof as contemplated below) arise out of or are based upon any untrue statement or alleged untrue statement of any material fact contained in the Registration Statement, the Prospectus, or any amendment or supplement thereto, or arise out of or are based upon the omission or alleged omission to state in any of them a material fact required to be stated therein or necessary to make the statements in any of them, in light of the circumstances under which they were made, not misleading, and will reimburse each Purchaser and each such controlling person for any reasonable legal and other expenses as such reasonable expenses are incurred by such Purchaser or such controlling person in connection with investigating, defending, settling, compromising or paying any such loss, claim, damage, liability, expense or action; provided, however, that the Company will not be liable in any such case to the extent that any such loss, claim, damage, liability, expense or action arises out of or is based upon (1) an untrue statement or alleged untrue statement or omission or alleged omission made in the Registration Statement, the Prospectus or any amendment to or supplement of the Registration Statement or Prospectus made in reliance upon and in conformity with written information furnished to the Company by or on behalf of the Purchaser expressly for use in the Registration Statement or the Prospectus, (2) the failure of such Purchaser to</w:t>
      </w: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520" w:right="1440" w:bottom="1440" w:gutter="0" w:footer="0" w:header="0"/>
        </w:sectPr>
      </w:pPr>
    </w:p>
    <w:bookmarkStart w:id="23" w:name="page24"/>
    <w:bookmarkEnd w:id="23"/>
    <w:p>
      <w:pPr>
        <w:ind w:right="1879"/>
        <w:spacing w:after="0" w:line="237" w:lineRule="auto"/>
        <w:rPr>
          <w:sz w:val="20"/>
          <w:szCs w:val="20"/>
          <w:color w:val="auto"/>
        </w:rPr>
      </w:pPr>
      <w:r>
        <w:rPr>
          <w:rFonts w:ascii="Courier New" w:cs="Courier New" w:eastAsia="Courier New" w:hAnsi="Courier New"/>
          <w:sz w:val="18"/>
          <w:szCs w:val="18"/>
          <w:color w:val="auto"/>
        </w:rPr>
        <w:t>comply with the covenants and agreements contained in this Agreement respecting resale of the Purchased Shares or the sale of the Underlying Shares, or (3) any untrue statement or omission of a material fact required to make such statement not misleading in any Prospectus that is corrected in any subsequent Prospectus that was delivered to the Purchaser before the pertinent sale or sales by the Purchaser.</w:t>
      </w:r>
    </w:p>
    <w:p>
      <w:pPr>
        <w:spacing w:after="0" w:line="210" w:lineRule="exact"/>
        <w:rPr>
          <w:sz w:val="20"/>
          <w:szCs w:val="20"/>
          <w:color w:val="auto"/>
        </w:rPr>
      </w:pPr>
    </w:p>
    <w:p>
      <w:pPr>
        <w:ind w:right="1779" w:firstLine="1904"/>
        <w:spacing w:after="0" w:line="268" w:lineRule="auto"/>
        <w:tabs>
          <w:tab w:leader="none" w:pos="242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Indemnification by the Purchaser. Each Purchaser will severally and not jointly indemnify and hold harmless the Company, each of its directors, each of its officers who signed the Registration Statement and each person, if any, who controls the Company within the meaning of the Securities Act, against any losses, claims, damages, liabilities or expenses to which the Company, its directors, its officers who signed the Registration Statement and any controlling persons may become subject, under the Securities Act, the Exchange Act, or any other federal or state statutory law or regulation, or at common law or otherwise (including in settlement of any litigation, if such settlement is effected with the written consent of such Purchaser, which consent shall not be unreasonably withheld) insofar as such losses, claims, damages, liabilities or expenses (or actions in respect thereof as contemplated below) arise out of or are based upon any untrue statement or alleged untrue statement of any material fact contained in the Registration Statement, the Prospectus, or any amendment or supplement to the Registration Statement or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the Prospectus, or any amendment or supplement thereto, in reliance upon and in conformity with written information furnished to the Company by or on behalf of such Purchaser expressly for use therein, and the Purchaser will reimburse the Company, each of its directors, each of its officers who signed the Registration Statement, and any controlling persons for any reasonable legal and other expense incurred by the Company, its directors, its officers who signed the Registration Statement, and any controlling persons, in connection with investigating, defending, settling, compromising or paying any such loss, claim, damage, liability, expense or action; provided, however, that the Purchaser shall not be liable for any such untrue statement or alleged untrue statement or omission or alleged omission with respect to which the Purchaser has delivered to the Company in writing a correction before the occurrence of the event from which such loss was incurred. Notwithstanding the provisions of this Section 5(d), the Purchaser shall not be liable for any indemnification obligation under this Agreement in excess of the aggregate amount of net proceeds received by the Purchaser from the sale of the Registrable Shares pursuant to the Registration Statement.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8" w:lineRule="exact"/>
        <w:rPr>
          <w:rFonts w:ascii="Courier New" w:cs="Courier New" w:eastAsia="Courier New" w:hAnsi="Courier New"/>
          <w:sz w:val="16"/>
          <w:szCs w:val="16"/>
          <w:color w:val="auto"/>
        </w:rPr>
      </w:pPr>
    </w:p>
    <w:p>
      <w:pPr>
        <w:ind w:left="2540" w:hanging="636"/>
        <w:spacing w:after="0"/>
        <w:tabs>
          <w:tab w:leader="none" w:pos="254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Indemnification Procedure.</w:t>
      </w:r>
    </w:p>
    <w:p>
      <w:pPr>
        <w:spacing w:after="0" w:line="206"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after receipt by an indemnified party under</w:t>
      </w:r>
    </w:p>
    <w:p>
      <w:pPr>
        <w:spacing w:after="0" w:line="21" w:lineRule="exact"/>
        <w:rPr>
          <w:rFonts w:ascii="Courier New" w:cs="Courier New" w:eastAsia="Courier New" w:hAnsi="Courier New"/>
          <w:sz w:val="16"/>
          <w:szCs w:val="16"/>
          <w:color w:val="auto"/>
        </w:rPr>
      </w:pPr>
    </w:p>
    <w:p>
      <w:pPr>
        <w:ind w:right="18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Section 5(d) of notice of the threat or commencement of any action, such indemnified party will, if a claim in respect thereof is to be made against an indemnifying party under this Section 5(d), promptly notify the indemnifying party in writing of the claim; but the omission so to notify the indemnifying party will not relieve it from any liability which it may have to any indemnified party for contribution or otherwise under the indemnity agreement contained in this Section 5(d) or otherwise, to the extent it is not prejudiced as a result of such failure.</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520" w:right="1440" w:bottom="1440" w:gutter="0" w:footer="0" w:header="0"/>
        </w:sectPr>
      </w:pPr>
    </w:p>
    <w:bookmarkStart w:id="24" w:name="page25"/>
    <w:bookmarkEnd w:id="24"/>
    <w:p>
      <w:pPr>
        <w:ind w:left="2960" w:hanging="424"/>
        <w:spacing w:after="0"/>
        <w:tabs>
          <w:tab w:leader="none" w:pos="296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such action is brought against any</w:t>
      </w:r>
    </w:p>
    <w:p>
      <w:pPr>
        <w:spacing w:after="0" w:line="4" w:lineRule="exact"/>
        <w:rPr>
          <w:rFonts w:ascii="Courier New" w:cs="Courier New" w:eastAsia="Courier New" w:hAnsi="Courier New"/>
          <w:sz w:val="18"/>
          <w:szCs w:val="18"/>
          <w:color w:val="auto"/>
        </w:rPr>
      </w:pPr>
    </w:p>
    <w:p>
      <w:pPr>
        <w:ind w:right="177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indemnified party and such indemnified party seeks or intends to seek indemnity from an indemnifying party, the indemnifying party will be entitled to participate in, and, to the extent that it may wish, jointly with all other indemnifying parties similarly notified, to assume the defense thereof with counsel reasonably satisfactory to such indemnified party; provided, however, if the defendants in any such action include both the indemnified party and the indemnifying party and the indemnified party shall have reasonably concluded that there may be a conflict between the positions of the indemnifying party and the indemnified party in conducting the defense of any such action or that there may be legal defenses available to it or other indemnified parties that are different from or additional to those available to the indemnifying party, the indemnified party or parties shall have the right to select separate counsel to assume such legal defenses and to otherwise participate in the defense of such action on behalf of such indemnified party or parties. Upon receipt of notice from the indemnifying party to such indemnified party of its election so to assume the defense of such action and approval by the indemnified party of counsel, the indemnifying party will not be liable to such indemnified party under this Section 5(d) for any legal or other expenses subsequently incurred by such indemnified party in connection with the defense thereof unless:</w:t>
      </w:r>
    </w:p>
    <w:p>
      <w:pPr>
        <w:spacing w:after="0" w:line="394" w:lineRule="exact"/>
        <w:rPr>
          <w:rFonts w:ascii="Courier New" w:cs="Courier New" w:eastAsia="Courier New" w:hAnsi="Courier New"/>
          <w:sz w:val="18"/>
          <w:szCs w:val="18"/>
          <w:color w:val="auto"/>
        </w:rPr>
      </w:pPr>
    </w:p>
    <w:p>
      <w:pPr>
        <w:ind w:left="3480" w:hanging="312"/>
        <w:spacing w:after="0"/>
        <w:tabs>
          <w:tab w:leader="none" w:pos="3480"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indemnified party shall have employed such</w:t>
      </w:r>
    </w:p>
    <w:p>
      <w:pPr>
        <w:spacing w:after="0" w:line="21" w:lineRule="exact"/>
        <w:rPr>
          <w:rFonts w:ascii="Courier New" w:cs="Courier New" w:eastAsia="Courier New" w:hAnsi="Courier New"/>
          <w:sz w:val="16"/>
          <w:szCs w:val="16"/>
          <w:color w:val="auto"/>
        </w:rPr>
      </w:pPr>
    </w:p>
    <w:p>
      <w:pPr>
        <w:ind w:right="19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counsel in connection with the assumption of legal defenses in accordance with the proviso to the preceding sentence (it being understood, however, that the indemnifying party shall not be liable for the expenses of more than one separate counsel, approved by such indemnifying party, representing all of the indemnified parties who are parties to such action); or</w:t>
      </w:r>
    </w:p>
    <w:p>
      <w:pPr>
        <w:spacing w:after="0" w:line="208" w:lineRule="exact"/>
        <w:rPr>
          <w:rFonts w:ascii="Courier New" w:cs="Courier New" w:eastAsia="Courier New" w:hAnsi="Courier New"/>
          <w:sz w:val="16"/>
          <w:szCs w:val="16"/>
          <w:color w:val="auto"/>
        </w:rPr>
      </w:pPr>
    </w:p>
    <w:p>
      <w:pPr>
        <w:ind w:left="3480" w:hanging="312"/>
        <w:spacing w:after="0"/>
        <w:tabs>
          <w:tab w:leader="none" w:pos="3480" w:val="left"/>
        </w:tabs>
        <w:numPr>
          <w:ilvl w:val="2"/>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indemnifying party shall not have employed</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counsel reasonably satisfactory to the indemnified party to represent the indemnified party within a reasonable time after notice of commencement of the action against the indemnified party, in each of which cases the reasonable fees and expenses of counsel for the indemnified party shall be at the expense of the indemnifying party.</w:t>
      </w:r>
    </w:p>
    <w:p>
      <w:pPr>
        <w:spacing w:after="0" w:line="208" w:lineRule="exact"/>
        <w:rPr>
          <w:rFonts w:ascii="Courier New" w:cs="Courier New" w:eastAsia="Courier New" w:hAnsi="Courier New"/>
          <w:sz w:val="16"/>
          <w:szCs w:val="16"/>
          <w:color w:val="auto"/>
        </w:rPr>
      </w:pPr>
    </w:p>
    <w:p>
      <w:pPr>
        <w:ind w:right="1779" w:firstLine="1904"/>
        <w:spacing w:after="0" w:line="237" w:lineRule="auto"/>
        <w:tabs>
          <w:tab w:leader="none" w:pos="2423"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Contribution. If the indemnification provided for in this Section 5(d) is required by its terms but is for any reason held to be unavailable to, or is otherwise insufficient to hold harmless, an indemnified party under this Section 5(d) with respect to any losses, claims, damages, liabilities or expenses referred to in this Agreement, then each indemnifying party shall contribute to the amount paid or payable by such indemnified party as a result of any losses, claims, damages, liabilities or expenses referred to in this Agreement:</w:t>
      </w:r>
    </w:p>
    <w:p>
      <w:pPr>
        <w:spacing w:after="0" w:line="212" w:lineRule="exact"/>
        <w:rPr>
          <w:rFonts w:ascii="Courier New" w:cs="Courier New" w:eastAsia="Courier New" w:hAnsi="Courier New"/>
          <w:sz w:val="18"/>
          <w:szCs w:val="18"/>
          <w:color w:val="auto"/>
        </w:rPr>
      </w:pPr>
    </w:p>
    <w:p>
      <w:pPr>
        <w:ind w:left="2960" w:hanging="424"/>
        <w:spacing w:after="0"/>
        <w:tabs>
          <w:tab w:leader="none" w:pos="2960"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such proportion as is appropriate to reflect the</w:t>
      </w:r>
    </w:p>
    <w:p>
      <w:pPr>
        <w:spacing w:after="0" w:line="2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relative faults of the Company and the Purchaser in connection with the statements or omissions or inaccuracies in the representations and warranties in this Agreement that resulted in such losses, claims, damages, liabilities or expenses, as well as any other relevant equitable considerations, or</w:t>
      </w:r>
    </w:p>
    <w:p>
      <w:pPr>
        <w:spacing w:after="0" w:line="201" w:lineRule="exact"/>
        <w:rPr>
          <w:rFonts w:ascii="Courier New" w:cs="Courier New" w:eastAsia="Courier New" w:hAnsi="Courier New"/>
          <w:sz w:val="16"/>
          <w:szCs w:val="16"/>
          <w:color w:val="auto"/>
        </w:rPr>
      </w:pPr>
    </w:p>
    <w:p>
      <w:pPr>
        <w:ind w:left="2960" w:hanging="424"/>
        <w:spacing w:after="0"/>
        <w:tabs>
          <w:tab w:leader="none" w:pos="2960" w:val="left"/>
        </w:tabs>
        <w:numPr>
          <w:ilvl w:val="1"/>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allocation provided by clause (1) above is</w:t>
      </w:r>
    </w:p>
    <w:p>
      <w:pPr>
        <w:spacing w:after="0" w:line="4"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permitted by applicable law, in such proportion as is appropriate to reflect not only the relative faults referred to in clause (1) above but the relative benefits received by the Company and the Purchaser from the sale of the Purchased Securities.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514" w:right="1440" w:bottom="1440" w:gutter="0" w:footer="0" w:header="0"/>
        </w:sectPr>
      </w:pPr>
    </w:p>
    <w:bookmarkStart w:id="25" w:name="page26"/>
    <w:bookmarkEnd w:id="25"/>
    <w:p>
      <w:pPr>
        <w:ind w:right="1779" w:firstLine="632"/>
        <w:spacing w:after="0" w:line="268" w:lineRule="auto"/>
        <w:rPr>
          <w:sz w:val="20"/>
          <w:szCs w:val="20"/>
          <w:color w:val="auto"/>
        </w:rPr>
      </w:pPr>
      <w:r>
        <w:rPr>
          <w:rFonts w:ascii="Courier New" w:cs="Courier New" w:eastAsia="Courier New" w:hAnsi="Courier New"/>
          <w:sz w:val="16"/>
          <w:szCs w:val="16"/>
          <w:color w:val="auto"/>
        </w:rPr>
        <w:t>The respective relative benefits received by the Company on the one hand and each Purchaser on the other shall be deemed to be in the same proportion as the amount to which the consideration paid by such Purchaser to the Company pursuant to this Agreement for the Purchased Securities purchased by such Purchaser that were sold pursuant to the Registration Statement bears to the difference (the "DIFFERENCE") between the amount such Purchaser paid for the Purchased Securities that were sold pursuant to the Registration Statement and the amount received by such Purchaser from such sale. The relative fault of the Company and each Purchaser shall be determined by reference to, among other things, whether the untrue or alleged untrue statement of a material fact or the omission or alleged omission to state a material fact or the inaccurate or the alleged inaccurate material fact relates to information supplied by the Company or by such Purchaser and the parties' relative intent, knowledge, access to information and opportunity to correct or prevent such statement or omission. The amount paid or payable by a party as a result of the losses, claims, damages, liabilities and expenses referred to above shall be deemed to include, subject to the limitations set forth in Section 5(d)(iii), any reasonable legal or other fees or expenses incurred by such party in connection with investigating or defending any such action or claim. The provisions set forth in Section 5(d)(iii) with respect to the notice of the threat or commencement of any threat or action shall apply if a claim for contribution is to be made under this Section 5(d)(iv); provided, however, that no additional notice shall be required with respect to any threat or action for which notice has been given under Section 5(d)(iii) for purposes of indemnification. The Company and each Purchaser agree that it would not be just and equitable if contribution pursuant to this Section 5(d)(iv) were determined solely by pro rata allocation (even if the Purchasers were treated as one entity for such purpose) or by any other method of allocation which does not take account of the equitable considerations referred to in this paragraph. Notwithstanding the provisions of this Section 5(d)(iv), no Purchaser shall be required to contribute any amount in excess of the amount by which the Difference exceeds the amount of any damages that such Purchaser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is not guilty of such fraudulent misrepresentation. The Purchasers' obligations to contribute pursuant to this Section 5(d)(iv) are several and not joint.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79" w:firstLine="1272"/>
        <w:spacing w:after="0" w:line="237" w:lineRule="auto"/>
        <w:tabs>
          <w:tab w:leader="none" w:pos="1685" w:val="left"/>
        </w:tabs>
        <w:numPr>
          <w:ilvl w:val="1"/>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144 Information. For two (2) years after the date of this Agreement, the Company shall file in a timely manner all reports required to be filed by it under the Securities Act and the Exchange Act and the rules and regulations promulgated thereunder and shall take such further action to the extent required to enable the Purchasers to sell the Purchased Shares and the Underlying Shares pursuant to Rule 144 under the Securities Act (as such rule may be amended from time to time).</w:t>
      </w:r>
    </w:p>
    <w:p>
      <w:pPr>
        <w:spacing w:after="0" w:line="211" w:lineRule="exact"/>
        <w:rPr>
          <w:rFonts w:ascii="Courier New" w:cs="Courier New" w:eastAsia="Courier New" w:hAnsi="Courier New"/>
          <w:sz w:val="18"/>
          <w:szCs w:val="18"/>
          <w:color w:val="auto"/>
        </w:rPr>
      </w:pPr>
    </w:p>
    <w:p>
      <w:pPr>
        <w:ind w:right="1779" w:firstLine="640"/>
        <w:spacing w:after="0" w:line="237" w:lineRule="auto"/>
        <w:tabs>
          <w:tab w:leader="none" w:pos="94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ADVISORY FEE. The Purchasers acknowledge that the Company intends to pay to C.E. Unterberg, Towbin, as financial advisor, a fee in respect of the sale of the Purchased Securities. Each of the parties to this Agreement hereby represents that, on the basis of any actions and agreements by it, there are no other brokers or finders entitled to compensation in connection with the sale of the Purchased Securities to the Purchasers. The Company shall indemnify and hold harmless the Purchasers from and against all fees, commissions or other payments owing by the Company to C.E. Unterberg, Towbin or any other person or firm acting on behalf of the Company hereunder.</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520" w:right="1440" w:bottom="1440" w:gutter="0" w:footer="0" w:header="0"/>
        </w:sectPr>
      </w:pPr>
    </w:p>
    <w:bookmarkStart w:id="26" w:name="page27"/>
    <w:bookmarkEnd w:id="26"/>
    <w:p>
      <w:pPr>
        <w:ind w:left="-640" w:right="1999" w:firstLine="640"/>
        <w:spacing w:after="0" w:line="237" w:lineRule="auto"/>
        <w:tabs>
          <w:tab w:leader="none" w:pos="30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THE PURCHASER'S OBLIGATIONS AT CLOSING. The obligations of the Purchasers under Section 1(b) of this Agreement are subject to the fulfillment or waiver, on or before the Closing, of each of the following conditions:</w:t>
      </w:r>
    </w:p>
    <w:p>
      <w:pPr>
        <w:spacing w:after="0" w:line="207" w:lineRule="exact"/>
        <w:rPr>
          <w:rFonts w:ascii="Courier New" w:cs="Courier New" w:eastAsia="Courier New" w:hAnsi="Courier New"/>
          <w:sz w:val="18"/>
          <w:szCs w:val="18"/>
          <w:color w:val="auto"/>
        </w:rPr>
      </w:pPr>
    </w:p>
    <w:p>
      <w:pPr>
        <w:ind w:left="-640" w:right="1779" w:firstLine="1272"/>
        <w:spacing w:after="0" w:line="237" w:lineRule="auto"/>
        <w:tabs>
          <w:tab w:leader="none" w:pos="10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 Each of the representations and warranties of the Company contained in Section 3 shall be true and correct in all material respects on and as of the date hereof (provided, however, that such qualification shall only apply to representations or warranties not otherwise qualified by materiality) and on and as of the date of the Closing with the same effect as though such representations and warranties had been made as of the Closing (except for representations and warranties that speak as of a specific date).</w:t>
      </w:r>
    </w:p>
    <w:p>
      <w:pPr>
        <w:spacing w:after="0" w:line="212" w:lineRule="exact"/>
        <w:rPr>
          <w:rFonts w:ascii="Courier New" w:cs="Courier New" w:eastAsia="Courier New" w:hAnsi="Courier New"/>
          <w:sz w:val="18"/>
          <w:szCs w:val="18"/>
          <w:color w:val="auto"/>
        </w:rPr>
      </w:pPr>
    </w:p>
    <w:p>
      <w:pPr>
        <w:ind w:left="-640" w:right="1779" w:firstLine="1272"/>
        <w:spacing w:after="0" w:line="237" w:lineRule="auto"/>
        <w:tabs>
          <w:tab w:leader="none" w:pos="10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The Company shall have performed and complied in all material respects with all agreements, obligations and conditions contained in this Agreement that are required to be performed or complied with by it on or before the Closing and shall have obtained all approvals, consents and qualifications necessary to complete the purchase and sale described herein; provided, however, that the Company may furnish to each Purchaser a facsimile copy of the warrant representing the Purchased Warrants and of the stock certificate representing the Purchased Shares, with the original warrant and original stock certificate held in trust by counsel for the Company until delivery thereof on the next business day.</w:t>
      </w:r>
    </w:p>
    <w:p>
      <w:pPr>
        <w:spacing w:after="0" w:line="214" w:lineRule="exact"/>
        <w:rPr>
          <w:rFonts w:ascii="Courier New" w:cs="Courier New" w:eastAsia="Courier New" w:hAnsi="Courier New"/>
          <w:sz w:val="18"/>
          <w:szCs w:val="18"/>
          <w:color w:val="auto"/>
        </w:rPr>
      </w:pPr>
    </w:p>
    <w:p>
      <w:pPr>
        <w:ind w:left="-640" w:right="1879" w:firstLine="1272"/>
        <w:spacing w:after="0" w:line="237" w:lineRule="auto"/>
        <w:tabs>
          <w:tab w:leader="none" w:pos="10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Compliance Certificate. The Company will have delivered to the Purchasers a certificate signed on its behalf by its Chief Executive Officer or Chief Financial Officer certifying that the conditions specified in Sections 7(a) and 7(b) hereof have been fulfilled.</w:t>
      </w:r>
    </w:p>
    <w:p>
      <w:pPr>
        <w:spacing w:after="0" w:line="207" w:lineRule="exact"/>
        <w:rPr>
          <w:rFonts w:ascii="Courier New" w:cs="Courier New" w:eastAsia="Courier New" w:hAnsi="Courier New"/>
          <w:sz w:val="18"/>
          <w:szCs w:val="18"/>
          <w:color w:val="auto"/>
        </w:rPr>
      </w:pPr>
    </w:p>
    <w:p>
      <w:pPr>
        <w:ind w:left="-640" w:right="1879" w:firstLine="1272"/>
        <w:spacing w:after="0" w:line="235" w:lineRule="auto"/>
        <w:tabs>
          <w:tab w:leader="none" w:pos="10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The Company shall have executed and delivered to the Purchasers this Agreement.</w:t>
      </w:r>
    </w:p>
    <w:p>
      <w:pPr>
        <w:spacing w:after="0" w:line="208" w:lineRule="exact"/>
        <w:rPr>
          <w:rFonts w:ascii="Courier New" w:cs="Courier New" w:eastAsia="Courier New" w:hAnsi="Courier New"/>
          <w:sz w:val="18"/>
          <w:szCs w:val="18"/>
          <w:color w:val="auto"/>
        </w:rPr>
      </w:pPr>
    </w:p>
    <w:p>
      <w:pPr>
        <w:ind w:left="-640" w:right="2199" w:firstLine="1272"/>
        <w:spacing w:after="0" w:line="237" w:lineRule="auto"/>
        <w:tabs>
          <w:tab w:leader="none" w:pos="10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Exemptions. The offer and sale of the Purchased Shares to the Purchasers pursuant to this Agreement shall be exempt from the registration requirements of the Securities Act and the registration and/or qualification requirements of all applicable state securities laws.</w:t>
      </w:r>
    </w:p>
    <w:p>
      <w:pPr>
        <w:spacing w:after="0" w:line="207" w:lineRule="exact"/>
        <w:rPr>
          <w:rFonts w:ascii="Courier New" w:cs="Courier New" w:eastAsia="Courier New" w:hAnsi="Courier New"/>
          <w:sz w:val="18"/>
          <w:szCs w:val="18"/>
          <w:color w:val="auto"/>
        </w:rPr>
      </w:pPr>
    </w:p>
    <w:p>
      <w:pPr>
        <w:ind w:left="-640" w:right="1879" w:firstLine="1272"/>
        <w:spacing w:after="0" w:line="236" w:lineRule="auto"/>
        <w:tabs>
          <w:tab w:leader="none" w:pos="10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Suspension of Trading or Listing of Common Stock. The Common Stock of the Company (i) shall be designated for quotation or listed on Nasdaq and (ii) shall not have been suspended from trading on Nasdaq.</w:t>
      </w:r>
    </w:p>
    <w:p>
      <w:pPr>
        <w:spacing w:after="0" w:line="208" w:lineRule="exact"/>
        <w:rPr>
          <w:rFonts w:ascii="Courier New" w:cs="Courier New" w:eastAsia="Courier New" w:hAnsi="Courier New"/>
          <w:sz w:val="18"/>
          <w:szCs w:val="18"/>
          <w:color w:val="auto"/>
        </w:rPr>
      </w:pPr>
    </w:p>
    <w:p>
      <w:pPr>
        <w:ind w:left="-640" w:right="1779" w:firstLine="1272"/>
        <w:spacing w:after="0" w:line="237" w:lineRule="auto"/>
        <w:tabs>
          <w:tab w:leader="none" w:pos="10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Good Standing Certificates. The Company shall have delivered to the Purchasers a certificate of the Secretary of State of the State of Delaware, dated as of a date within five days of the date of the Closing, with respect to the good standing of the Company.</w:t>
      </w:r>
    </w:p>
    <w:p>
      <w:pPr>
        <w:spacing w:after="0" w:line="207" w:lineRule="exact"/>
        <w:rPr>
          <w:rFonts w:ascii="Courier New" w:cs="Courier New" w:eastAsia="Courier New" w:hAnsi="Courier New"/>
          <w:sz w:val="18"/>
          <w:szCs w:val="18"/>
          <w:color w:val="auto"/>
        </w:rPr>
      </w:pPr>
    </w:p>
    <w:p>
      <w:pPr>
        <w:ind w:left="-640" w:right="1779" w:firstLine="1272"/>
        <w:spacing w:after="0" w:line="237" w:lineRule="auto"/>
        <w:tabs>
          <w:tab w:leader="none" w:pos="1045" w:val="left"/>
        </w:tabs>
        <w:numPr>
          <w:ilvl w:val="1"/>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Secretary's Certificate. The Company shall have delivered to the Purchasers a certificate of the Company executed by the Company's Secretary attaching and certifying to the truth and correctness of (1) the Certificate of Incorporation, (2) the Bylaws and (3) the resolutions adopted by the Company's Board of Directors in connection with the transactions contemplated by this Agreement.</w:t>
      </w:r>
    </w:p>
    <w:p>
      <w:pPr>
        <w:spacing w:after="0" w:line="200" w:lineRule="exact"/>
        <w:rPr>
          <w:sz w:val="20"/>
          <w:szCs w:val="20"/>
          <w:color w:val="auto"/>
        </w:rPr>
      </w:pP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579"/>
          </w:cols>
          <w:pgMar w:left="880" w:top="520" w:right="1440" w:bottom="1440" w:gutter="0" w:footer="0" w:header="0"/>
        </w:sectPr>
      </w:pPr>
    </w:p>
    <w:bookmarkStart w:id="27" w:name="page28"/>
    <w:bookmarkEnd w:id="27"/>
    <w:p>
      <w:pPr>
        <w:ind w:left="-640" w:right="1779" w:firstLine="1272"/>
        <w:spacing w:after="0" w:line="236" w:lineRule="auto"/>
        <w:tabs>
          <w:tab w:leader="none" w:pos="104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Company Counsel. The Purchasers will have received an opinion on behalf of the Company, dated as of the date of the Closing, from Ropes &amp; Gray LLP, counsel to the Company, in the form attached as Exhibit C.</w:t>
      </w:r>
    </w:p>
    <w:p>
      <w:pPr>
        <w:spacing w:after="0" w:line="208" w:lineRule="exact"/>
        <w:rPr>
          <w:rFonts w:ascii="Courier New" w:cs="Courier New" w:eastAsia="Courier New" w:hAnsi="Courier New"/>
          <w:sz w:val="18"/>
          <w:szCs w:val="18"/>
          <w:color w:val="auto"/>
        </w:rPr>
      </w:pPr>
    </w:p>
    <w:p>
      <w:pPr>
        <w:ind w:left="-640" w:right="1879" w:firstLine="1272"/>
        <w:spacing w:after="0" w:line="237" w:lineRule="auto"/>
        <w:tabs>
          <w:tab w:leader="none" w:pos="104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Statute or Rule Challenging Transaction. No statute, rule, regulation, executive order, decree, ruling, injunction, action, proceeding or interpretation shall have been enacted, entered, promulgated, endorsed or adopted by any court or governmental authority of competent jurisdiction or any self-regulatory organization or the staff of any of the foregoing, having authority over the matters contemplated hereby which questions the validity of, or challenges or prohibits the consummation of, any of the transactions contemplated by this Agreement.</w:t>
      </w:r>
    </w:p>
    <w:p>
      <w:pPr>
        <w:spacing w:after="0" w:line="212" w:lineRule="exact"/>
        <w:rPr>
          <w:rFonts w:ascii="Courier New" w:cs="Courier New" w:eastAsia="Courier New" w:hAnsi="Courier New"/>
          <w:sz w:val="18"/>
          <w:szCs w:val="18"/>
          <w:color w:val="auto"/>
        </w:rPr>
      </w:pPr>
    </w:p>
    <w:p>
      <w:pPr>
        <w:jc w:val="both"/>
        <w:ind w:left="-640" w:right="1879" w:firstLine="1272"/>
        <w:spacing w:after="0" w:line="236" w:lineRule="auto"/>
        <w:tabs>
          <w:tab w:leader="none" w:pos="104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Invested. The Purchasers under this Agreement shall have tendered at closing no less than $20,000,000 in the aggregate for the Purchased Securities.</w:t>
      </w:r>
    </w:p>
    <w:p>
      <w:pPr>
        <w:spacing w:after="0" w:line="208" w:lineRule="exact"/>
        <w:rPr>
          <w:rFonts w:ascii="Courier New" w:cs="Courier New" w:eastAsia="Courier New" w:hAnsi="Courier New"/>
          <w:sz w:val="18"/>
          <w:szCs w:val="18"/>
          <w:color w:val="auto"/>
        </w:rPr>
      </w:pPr>
    </w:p>
    <w:p>
      <w:pPr>
        <w:ind w:left="-640" w:right="1879" w:firstLine="1272"/>
        <w:spacing w:after="0" w:line="237" w:lineRule="auto"/>
        <w:tabs>
          <w:tab w:leader="none" w:pos="1045"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Actions. The Company shall have executed such certificates, agreements, instruments and other documents, and taken such other actions as shall be customary or reasonably requested by the Purchasers in connection with the transactions contemplated hereby.</w:t>
      </w:r>
    </w:p>
    <w:p>
      <w:pPr>
        <w:spacing w:after="0" w:line="207" w:lineRule="exact"/>
        <w:rPr>
          <w:rFonts w:ascii="Courier New" w:cs="Courier New" w:eastAsia="Courier New" w:hAnsi="Courier New"/>
          <w:sz w:val="18"/>
          <w:szCs w:val="18"/>
          <w:color w:val="auto"/>
        </w:rPr>
      </w:pPr>
    </w:p>
    <w:p>
      <w:pPr>
        <w:ind w:left="1060" w:hanging="428"/>
        <w:spacing w:after="0"/>
        <w:tabs>
          <w:tab w:leader="none" w:pos="1060"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Closing. The Closing shall occur by no later than June 18, 2004.</w:t>
      </w:r>
    </w:p>
    <w:p>
      <w:pPr>
        <w:spacing w:after="0" w:line="223" w:lineRule="exact"/>
        <w:rPr>
          <w:rFonts w:ascii="Courier New" w:cs="Courier New" w:eastAsia="Courier New" w:hAnsi="Courier New"/>
          <w:sz w:val="16"/>
          <w:szCs w:val="16"/>
          <w:color w:val="auto"/>
        </w:rPr>
      </w:pPr>
    </w:p>
    <w:p>
      <w:pPr>
        <w:ind w:left="-640" w:right="1879" w:firstLine="640"/>
        <w:spacing w:after="0" w:line="237" w:lineRule="auto"/>
        <w:tabs>
          <w:tab w:leader="none" w:pos="30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THE COMPANY'S OBLIGATIONS AT CLOSING. The obligations of the Company to the Purchasers under this Agreement are subject to the fulfillment or waiver, on or before the Closing, of each of the following conditions:</w:t>
      </w:r>
    </w:p>
    <w:p>
      <w:pPr>
        <w:spacing w:after="0" w:line="207" w:lineRule="exact"/>
        <w:rPr>
          <w:rFonts w:ascii="Courier New" w:cs="Courier New" w:eastAsia="Courier New" w:hAnsi="Courier New"/>
          <w:sz w:val="18"/>
          <w:szCs w:val="18"/>
          <w:color w:val="auto"/>
        </w:rPr>
      </w:pPr>
    </w:p>
    <w:p>
      <w:pPr>
        <w:ind w:left="-640" w:right="1779" w:firstLine="1272"/>
        <w:spacing w:after="0" w:line="237" w:lineRule="auto"/>
        <w:tabs>
          <w:tab w:leader="none" w:pos="1045"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True. The representations and warranties of the Purchasers contained in Section 4 shall be true and correct in all material respects on and as of the date hereof (provided, however, that such qualification shall only apply to representations and warranties not otherwise qualified by materiality) and on and as of the date of the Closing with the same effect as though such representations and warranties had been made as of the Closing.</w:t>
      </w:r>
    </w:p>
    <w:p>
      <w:pPr>
        <w:spacing w:after="0" w:line="211" w:lineRule="exact"/>
        <w:rPr>
          <w:rFonts w:ascii="Courier New" w:cs="Courier New" w:eastAsia="Courier New" w:hAnsi="Courier New"/>
          <w:sz w:val="18"/>
          <w:szCs w:val="18"/>
          <w:color w:val="auto"/>
        </w:rPr>
      </w:pPr>
    </w:p>
    <w:p>
      <w:pPr>
        <w:ind w:left="-640" w:right="1779" w:firstLine="1272"/>
        <w:spacing w:after="0" w:line="273" w:lineRule="auto"/>
        <w:tabs>
          <w:tab w:leader="none" w:pos="1045"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The Purchasers shall have performed and complied in all material respects with all agreements, obligations and conditions contained in this Agreement that are required to be performed or complied with by it on or before the Closing and shall have obtained all approvals, consents and qualifications necessary to complete the purchase and sale described herein.</w:t>
      </w:r>
    </w:p>
    <w:p>
      <w:pPr>
        <w:spacing w:after="0" w:line="184" w:lineRule="exact"/>
        <w:rPr>
          <w:rFonts w:ascii="Courier New" w:cs="Courier New" w:eastAsia="Courier New" w:hAnsi="Courier New"/>
          <w:sz w:val="16"/>
          <w:szCs w:val="16"/>
          <w:color w:val="auto"/>
        </w:rPr>
      </w:pPr>
    </w:p>
    <w:p>
      <w:pPr>
        <w:ind w:left="-640" w:right="1999" w:firstLine="1272"/>
        <w:spacing w:after="0" w:line="235" w:lineRule="auto"/>
        <w:tabs>
          <w:tab w:leader="none" w:pos="1045"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The Purchasers shall have executed and delivered to the Company this Agreement (and Appendix I and II hereto).</w:t>
      </w:r>
    </w:p>
    <w:p>
      <w:pPr>
        <w:spacing w:after="0" w:line="208" w:lineRule="exact"/>
        <w:rPr>
          <w:rFonts w:ascii="Courier New" w:cs="Courier New" w:eastAsia="Courier New" w:hAnsi="Courier New"/>
          <w:sz w:val="18"/>
          <w:szCs w:val="18"/>
          <w:color w:val="auto"/>
        </w:rPr>
      </w:pPr>
    </w:p>
    <w:p>
      <w:pPr>
        <w:ind w:left="-640" w:right="1779" w:firstLine="1272"/>
        <w:spacing w:after="0" w:line="237" w:lineRule="auto"/>
        <w:tabs>
          <w:tab w:leader="none" w:pos="1045"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Securities Exemptions. The offer and sale of the Purchased Securities to the Purchasers pursuant to this Agreement shall be exempt from the registration requirements of the Securities Act and the registration and/or qualification requirements of all applicable state securities laws.</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579"/>
          </w:cols>
          <w:pgMar w:left="880" w:top="520" w:right="1440" w:bottom="1440" w:gutter="0" w:footer="0" w:header="0"/>
        </w:sectPr>
      </w:pPr>
    </w:p>
    <w:bookmarkStart w:id="28" w:name="page29"/>
    <w:bookmarkEnd w:id="28"/>
    <w:p>
      <w:pPr>
        <w:ind w:left="-640" w:right="1879" w:firstLine="1272"/>
        <w:spacing w:after="0" w:line="279" w:lineRule="auto"/>
        <w:tabs>
          <w:tab w:leader="none" w:pos="1045"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of Purchase Price. The Purchasers shall have delivered to the Company by wire transfer of immediately available funds, full payment of the purchase price for the Purchased Securities as specified in Section 1(b).</w:t>
      </w:r>
    </w:p>
    <w:p>
      <w:pPr>
        <w:spacing w:after="0" w:line="178" w:lineRule="exact"/>
        <w:rPr>
          <w:rFonts w:ascii="Courier New" w:cs="Courier New" w:eastAsia="Courier New" w:hAnsi="Courier New"/>
          <w:sz w:val="16"/>
          <w:szCs w:val="16"/>
          <w:color w:val="auto"/>
        </w:rPr>
      </w:pPr>
    </w:p>
    <w:p>
      <w:pPr>
        <w:ind w:left="-640" w:right="1879" w:firstLine="1272"/>
        <w:spacing w:after="0" w:line="237" w:lineRule="auto"/>
        <w:tabs>
          <w:tab w:leader="none" w:pos="104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Actions. The Purchasers shall have executed such certificates, agreements, instruments and other documents, and taken such other actions as shall be customary or reasonably requested by the Company in connection with the transactions contemplated hereby.</w:t>
      </w:r>
    </w:p>
    <w:p>
      <w:pPr>
        <w:spacing w:after="0" w:line="207" w:lineRule="exact"/>
        <w:rPr>
          <w:rFonts w:ascii="Courier New" w:cs="Courier New" w:eastAsia="Courier New" w:hAnsi="Courier New"/>
          <w:sz w:val="18"/>
          <w:szCs w:val="18"/>
          <w:color w:val="auto"/>
        </w:rPr>
      </w:pPr>
    </w:p>
    <w:p>
      <w:pPr>
        <w:ind w:left="-640" w:right="1879" w:firstLine="1272"/>
        <w:spacing w:after="0" w:line="237" w:lineRule="auto"/>
        <w:tabs>
          <w:tab w:leader="none" w:pos="1045" w:val="left"/>
        </w:tabs>
        <w:numPr>
          <w:ilvl w:val="1"/>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Statute or Rule Challenging Transaction. No statute, rule, regulation, executive order, decree, ruling, injunction, action, proceeding or interpretation shall have been enacted, entered, promulgated, endorsed or adopted by any court or governmental authority of competent jurisdiction or any self-regulatory organization or the staff of any of the foregoing, having authority over the matters contemplated hereby which questions the validity of, or challenges or prohibits the consummation of, any of the transactions contemplated by this Agreement.</w:t>
      </w:r>
    </w:p>
    <w:p>
      <w:pPr>
        <w:spacing w:after="0" w:line="206" w:lineRule="exact"/>
        <w:rPr>
          <w:rFonts w:ascii="Courier New" w:cs="Courier New" w:eastAsia="Courier New" w:hAnsi="Courier New"/>
          <w:sz w:val="18"/>
          <w:szCs w:val="18"/>
          <w:color w:val="auto"/>
        </w:rPr>
      </w:pPr>
    </w:p>
    <w:p>
      <w:pPr>
        <w:ind w:left="320" w:hanging="320"/>
        <w:spacing w:after="0"/>
        <w:tabs>
          <w:tab w:leader="none" w:pos="32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6" w:lineRule="exact"/>
        <w:rPr>
          <w:rFonts w:ascii="Courier New" w:cs="Courier New" w:eastAsia="Courier New" w:hAnsi="Courier New"/>
          <w:sz w:val="18"/>
          <w:szCs w:val="18"/>
          <w:color w:val="auto"/>
        </w:rPr>
      </w:pPr>
    </w:p>
    <w:p>
      <w:pPr>
        <w:ind w:left="-640" w:right="1779" w:firstLine="1272"/>
        <w:spacing w:after="0" w:line="270" w:lineRule="auto"/>
        <w:tabs>
          <w:tab w:leader="none" w:pos="1045"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Successors and Assigns. The terms and conditions of this Agreement will inure to the benefit of and be binding upon the respective successors and permitted assigns of the parties. The Company shall not assign this Agreement or any rights or obligations hereunder without the prior written consent of the Purchasers holding at least a majority of the total aggregate number of Purchased Shares and Underlying Shares then outstanding (excluding any shares sold to the public pursuant to Rule 144 or otherwise). Any Purchaser may assign its rights under this Agreement to any person to whom the Purchaser assigns or transfers any Purchased Securities, provided that such transferee agrees in writing to be bound by the terms and provisions of this Agreement, and such transfer is in compliance with the terms and provisions of this Agreement and permitted by federal and state securities laws.</w:t>
      </w:r>
    </w:p>
    <w:p>
      <w:pPr>
        <w:spacing w:after="0" w:line="390" w:lineRule="exact"/>
        <w:rPr>
          <w:rFonts w:ascii="Courier New" w:cs="Courier New" w:eastAsia="Courier New" w:hAnsi="Courier New"/>
          <w:sz w:val="16"/>
          <w:szCs w:val="16"/>
          <w:color w:val="auto"/>
        </w:rPr>
      </w:pPr>
    </w:p>
    <w:p>
      <w:pPr>
        <w:ind w:left="-640" w:right="1779" w:firstLine="1272"/>
        <w:spacing w:after="0" w:line="272" w:lineRule="auto"/>
        <w:tabs>
          <w:tab w:leader="none" w:pos="1045" w:val="left"/>
        </w:tabs>
        <w:numPr>
          <w:ilvl w:val="1"/>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Agreement will be governed by and construed and enforced under the internal laws of the State of New York, without reference to principles of conflict of laws or choice of laws. EACH PARTY HEREBY IRREVOCABLY WAIVES ANY RIGHT IT MAY HAVE, AND AGREES NOT TO REQUEST, A JURY TRIAL FOR THE ADJUDICATION OF ANY DISPUTE HEREUNDER OR IN CONNECTION HEREWITH OR ARISING OUT OF THIS AGREEMENT OR ANY TRANSACTION CONTEMPLATED HEREBY.</w:t>
      </w:r>
    </w:p>
    <w:p>
      <w:pPr>
        <w:spacing w:after="0" w:line="185" w:lineRule="exact"/>
        <w:rPr>
          <w:rFonts w:ascii="Courier New" w:cs="Courier New" w:eastAsia="Courier New" w:hAnsi="Courier New"/>
          <w:sz w:val="16"/>
          <w:szCs w:val="16"/>
          <w:color w:val="auto"/>
        </w:rPr>
      </w:pPr>
    </w:p>
    <w:p>
      <w:pPr>
        <w:ind w:left="-640" w:right="1879" w:firstLine="1272"/>
        <w:spacing w:after="0" w:line="236" w:lineRule="auto"/>
        <w:tabs>
          <w:tab w:leader="none" w:pos="1045"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 The representations and warranties of the Company and the Purchasers contained in Sections 3 and 4 of this Agreement shall survive until the second (2nd) anniversary of the Closing Date.</w:t>
      </w:r>
    </w:p>
    <w:p>
      <w:pPr>
        <w:spacing w:after="0" w:line="208" w:lineRule="exact"/>
        <w:rPr>
          <w:rFonts w:ascii="Courier New" w:cs="Courier New" w:eastAsia="Courier New" w:hAnsi="Courier New"/>
          <w:sz w:val="18"/>
          <w:szCs w:val="18"/>
          <w:color w:val="auto"/>
        </w:rPr>
      </w:pPr>
    </w:p>
    <w:p>
      <w:pPr>
        <w:ind w:left="-640" w:right="2319" w:firstLine="1272"/>
        <w:spacing w:after="0" w:line="236" w:lineRule="auto"/>
        <w:tabs>
          <w:tab w:leader="none" w:pos="1045"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two or more counterparts, each of which will be deemed an original, but all of which together will constitute one and the same instrument.</w:t>
      </w:r>
    </w:p>
    <w:p>
      <w:pPr>
        <w:spacing w:after="0" w:line="208" w:lineRule="exact"/>
        <w:rPr>
          <w:rFonts w:ascii="Courier New" w:cs="Courier New" w:eastAsia="Courier New" w:hAnsi="Courier New"/>
          <w:sz w:val="18"/>
          <w:szCs w:val="18"/>
          <w:color w:val="auto"/>
        </w:rPr>
      </w:pPr>
    </w:p>
    <w:p>
      <w:pPr>
        <w:ind w:left="-640" w:right="1999" w:firstLine="1272"/>
        <w:spacing w:after="0" w:line="236" w:lineRule="auto"/>
        <w:tabs>
          <w:tab w:leader="none" w:pos="1045"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headings and captions used in this Agreement are used for convenience only and are not to be considered in construing or interpreting this Agreement. All</w:t>
      </w: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579"/>
          </w:cols>
          <w:pgMar w:left="880" w:top="520" w:right="1440" w:bottom="1440" w:gutter="0" w:footer="0" w:header="0"/>
        </w:sectPr>
      </w:pPr>
    </w:p>
    <w:bookmarkStart w:id="29" w:name="page30"/>
    <w:bookmarkEnd w:id="29"/>
    <w:p>
      <w:pPr>
        <w:ind w:right="1879"/>
        <w:spacing w:after="0" w:line="237" w:lineRule="auto"/>
        <w:rPr>
          <w:sz w:val="20"/>
          <w:szCs w:val="20"/>
          <w:color w:val="auto"/>
        </w:rPr>
      </w:pPr>
      <w:r>
        <w:rPr>
          <w:rFonts w:ascii="Courier New" w:cs="Courier New" w:eastAsia="Courier New" w:hAnsi="Courier New"/>
          <w:sz w:val="18"/>
          <w:szCs w:val="18"/>
          <w:color w:val="auto"/>
        </w:rPr>
        <w:t>references in this Agreement to sections, paragraphs, exhibits and schedules will, unless otherwise provided, refer to sections and paragraphs hereof and exhibits and schedules attached hereto, all of which exhibits and schedules are incorporated herein by reference.</w:t>
      </w:r>
    </w:p>
    <w:p>
      <w:pPr>
        <w:spacing w:after="0" w:line="207" w:lineRule="exact"/>
        <w:rPr>
          <w:sz w:val="20"/>
          <w:szCs w:val="20"/>
          <w:color w:val="auto"/>
        </w:rPr>
      </w:pPr>
    </w:p>
    <w:p>
      <w:pPr>
        <w:ind w:right="1779" w:firstLine="1272"/>
        <w:spacing w:after="0" w:line="270" w:lineRule="auto"/>
        <w:tabs>
          <w:tab w:leader="none" w:pos="1685"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notices and other communications required or permitted under this Agreement shall be in writing and shall be delivered (i) personally by hand or by courier, (ii) mailed by United States first-class mail, postage prepaid or (iii) sent by facsimile directed (1) if to the Purchaser, at the Purchaser's address or facsimile number set forth on Exhibit A to this Agreement, or at such address or facsimile number as the Purchaser may designate by giving at least ten (10) days' advance written notice to the Company or (2) if to the Company, to its address or facsimile number set forth below, or at such other address or facsimile number as the Company may designate by giving at least ten (10) days' advance written notice to the Purchaser. All such notices and other communications shall be deemed given upon (i) receipt or refusal of receipt, if delivered personally, (ii) three days after being placed in the mail, if mailed, or (iii) confirmation of facsimile transfer, if faxed.</w:t>
      </w:r>
    </w:p>
    <w:p>
      <w:pPr>
        <w:spacing w:after="0" w:line="389" w:lineRule="exact"/>
        <w:rPr>
          <w:sz w:val="20"/>
          <w:szCs w:val="20"/>
          <w:color w:val="auto"/>
        </w:rPr>
      </w:pPr>
    </w:p>
    <w:p>
      <w:pPr>
        <w:ind w:right="2319" w:firstLine="632"/>
        <w:spacing w:after="0" w:line="235" w:lineRule="auto"/>
        <w:rPr>
          <w:sz w:val="20"/>
          <w:szCs w:val="20"/>
          <w:color w:val="auto"/>
        </w:rPr>
      </w:pPr>
      <w:r>
        <w:rPr>
          <w:rFonts w:ascii="Courier New" w:cs="Courier New" w:eastAsia="Courier New" w:hAnsi="Courier New"/>
          <w:sz w:val="18"/>
          <w:szCs w:val="18"/>
          <w:color w:val="auto"/>
        </w:rPr>
        <w:t>The address of the Company for the purpose of this Section 9(f) is as follows:</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StemCells, Inc</w:t>
      </w:r>
    </w:p>
    <w:p>
      <w:pPr>
        <w:ind w:left="1900"/>
        <w:spacing w:after="0" w:line="238" w:lineRule="auto"/>
        <w:rPr>
          <w:sz w:val="20"/>
          <w:szCs w:val="20"/>
          <w:color w:val="auto"/>
        </w:rPr>
      </w:pPr>
      <w:r>
        <w:rPr>
          <w:rFonts w:ascii="Courier New" w:cs="Courier New" w:eastAsia="Courier New" w:hAnsi="Courier New"/>
          <w:sz w:val="18"/>
          <w:szCs w:val="18"/>
          <w:color w:val="auto"/>
        </w:rPr>
        <w:t>3155 Porter Drive</w:t>
      </w:r>
    </w:p>
    <w:p>
      <w:pPr>
        <w:ind w:left="1900"/>
        <w:spacing w:after="0"/>
        <w:rPr>
          <w:sz w:val="20"/>
          <w:szCs w:val="20"/>
          <w:color w:val="auto"/>
        </w:rPr>
      </w:pPr>
      <w:r>
        <w:rPr>
          <w:rFonts w:ascii="Courier New" w:cs="Courier New" w:eastAsia="Courier New" w:hAnsi="Courier New"/>
          <w:sz w:val="18"/>
          <w:szCs w:val="18"/>
          <w:color w:val="auto"/>
        </w:rPr>
        <w:t>Palo Alto, California 94304</w:t>
      </w: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Tel:</w:t>
      </w:r>
      <w:r>
        <w:rPr>
          <w:sz w:val="20"/>
          <w:szCs w:val="20"/>
          <w:color w:val="auto"/>
        </w:rPr>
        <w:tab/>
      </w:r>
      <w:r>
        <w:rPr>
          <w:rFonts w:ascii="Courier New" w:cs="Courier New" w:eastAsia="Courier New" w:hAnsi="Courier New"/>
          <w:sz w:val="16"/>
          <w:szCs w:val="16"/>
          <w:color w:val="auto"/>
        </w:rPr>
        <w:t>650.475.3100</w:t>
      </w: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650.475.3101</w:t>
      </w:r>
    </w:p>
    <w:p>
      <w:pPr>
        <w:ind w:left="1900"/>
        <w:spacing w:after="0"/>
        <w:rPr>
          <w:sz w:val="20"/>
          <w:szCs w:val="20"/>
          <w:color w:val="auto"/>
        </w:rPr>
      </w:pPr>
      <w:r>
        <w:rPr>
          <w:rFonts w:ascii="Courier New" w:cs="Courier New" w:eastAsia="Courier New" w:hAnsi="Courier New"/>
          <w:sz w:val="18"/>
          <w:szCs w:val="18"/>
          <w:color w:val="auto"/>
        </w:rPr>
        <w:t>Attention: Martin McGlynn, President and CEO</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ind w:left="1900"/>
        <w:spacing w:after="0" w:line="238" w:lineRule="auto"/>
        <w:rPr>
          <w:sz w:val="20"/>
          <w:szCs w:val="20"/>
          <w:color w:val="auto"/>
        </w:rPr>
      </w:pPr>
      <w:r>
        <w:rPr>
          <w:rFonts w:ascii="Courier New" w:cs="Courier New" w:eastAsia="Courier New" w:hAnsi="Courier New"/>
          <w:sz w:val="18"/>
          <w:szCs w:val="18"/>
          <w:color w:val="auto"/>
        </w:rPr>
        <w:t>Ropes &amp; Gray LLP</w:t>
      </w:r>
    </w:p>
    <w:p>
      <w:pPr>
        <w:ind w:left="1900"/>
        <w:spacing w:after="0"/>
        <w:rPr>
          <w:sz w:val="20"/>
          <w:szCs w:val="20"/>
          <w:color w:val="auto"/>
        </w:rPr>
      </w:pPr>
      <w:r>
        <w:rPr>
          <w:rFonts w:ascii="Courier New" w:cs="Courier New" w:eastAsia="Courier New" w:hAnsi="Courier New"/>
          <w:sz w:val="18"/>
          <w:szCs w:val="18"/>
          <w:color w:val="auto"/>
        </w:rPr>
        <w:t>One International Place</w:t>
      </w:r>
    </w:p>
    <w:p>
      <w:pPr>
        <w:ind w:left="1900"/>
        <w:spacing w:after="0" w:line="237" w:lineRule="auto"/>
        <w:rPr>
          <w:sz w:val="20"/>
          <w:szCs w:val="20"/>
          <w:color w:val="auto"/>
        </w:rPr>
      </w:pPr>
      <w:r>
        <w:rPr>
          <w:rFonts w:ascii="Courier New" w:cs="Courier New" w:eastAsia="Courier New" w:hAnsi="Courier New"/>
          <w:sz w:val="18"/>
          <w:szCs w:val="18"/>
          <w:color w:val="auto"/>
        </w:rPr>
        <w:t>Boston, Massachusetts 02110</w:t>
      </w: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Tel:</w:t>
      </w:r>
      <w:r>
        <w:rPr>
          <w:sz w:val="20"/>
          <w:szCs w:val="20"/>
          <w:color w:val="auto"/>
        </w:rPr>
        <w:tab/>
      </w:r>
      <w:r>
        <w:rPr>
          <w:rFonts w:ascii="Courier New" w:cs="Courier New" w:eastAsia="Courier New" w:hAnsi="Courier New"/>
          <w:sz w:val="16"/>
          <w:szCs w:val="16"/>
          <w:color w:val="auto"/>
        </w:rPr>
        <w:t>617.951.7000</w:t>
      </w:r>
    </w:p>
    <w:p>
      <w:pPr>
        <w:ind w:left="1900"/>
        <w:spacing w:after="0"/>
        <w:tabs>
          <w:tab w:leader="none" w:pos="2520" w:val="left"/>
        </w:tabs>
        <w:rPr>
          <w:sz w:val="20"/>
          <w:szCs w:val="20"/>
          <w:color w:val="auto"/>
        </w:rPr>
      </w:pPr>
      <w:r>
        <w:rPr>
          <w:rFonts w:ascii="Courier New" w:cs="Courier New" w:eastAsia="Courier New" w:hAnsi="Courier New"/>
          <w:sz w:val="18"/>
          <w:szCs w:val="18"/>
          <w:color w:val="auto"/>
        </w:rPr>
        <w:t>Fax:</w:t>
      </w:r>
      <w:r>
        <w:rPr>
          <w:sz w:val="20"/>
          <w:szCs w:val="20"/>
          <w:color w:val="auto"/>
        </w:rPr>
        <w:tab/>
      </w:r>
      <w:r>
        <w:rPr>
          <w:rFonts w:ascii="Courier New" w:cs="Courier New" w:eastAsia="Courier New" w:hAnsi="Courier New"/>
          <w:sz w:val="16"/>
          <w:szCs w:val="16"/>
          <w:color w:val="auto"/>
        </w:rPr>
        <w:t>617.951.7050</w:t>
      </w:r>
    </w:p>
    <w:p>
      <w:pPr>
        <w:ind w:left="1900"/>
        <w:spacing w:after="0" w:line="237" w:lineRule="auto"/>
        <w:rPr>
          <w:sz w:val="20"/>
          <w:szCs w:val="20"/>
          <w:color w:val="auto"/>
        </w:rPr>
      </w:pPr>
      <w:r>
        <w:rPr>
          <w:rFonts w:ascii="Courier New" w:cs="Courier New" w:eastAsia="Courier New" w:hAnsi="Courier New"/>
          <w:sz w:val="18"/>
          <w:szCs w:val="18"/>
          <w:color w:val="auto"/>
        </w:rPr>
        <w:t>Attention: Geoffrey B. Davis, Esq.</w:t>
      </w:r>
    </w:p>
    <w:p>
      <w:pPr>
        <w:spacing w:after="0" w:line="207" w:lineRule="exact"/>
        <w:rPr>
          <w:sz w:val="20"/>
          <w:szCs w:val="20"/>
          <w:color w:val="auto"/>
        </w:rPr>
      </w:pPr>
    </w:p>
    <w:p>
      <w:pPr>
        <w:ind w:right="1879" w:firstLine="1272"/>
        <w:spacing w:after="0" w:line="237" w:lineRule="auto"/>
        <w:tabs>
          <w:tab w:leader="none" w:pos="1685"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This Agreement may be amended and the observance of any term of this Agreement may be waived only with the written consent of the Company and the Purchasers holding at least a majority of the total aggregate number of Purchased Shares and Underlying Shares then outstanding (excluding any shares sold to the public pursuant to Rule 144 or otherwise). Any amendment effected in accordance with this Section 9(g) will be binding upon the Purchasers, the Company and their respective successors and permitted assigns.</w:t>
      </w:r>
    </w:p>
    <w:p>
      <w:pPr>
        <w:spacing w:after="0" w:line="212" w:lineRule="exact"/>
        <w:rPr>
          <w:rFonts w:ascii="Courier New" w:cs="Courier New" w:eastAsia="Courier New" w:hAnsi="Courier New"/>
          <w:sz w:val="18"/>
          <w:szCs w:val="18"/>
          <w:color w:val="auto"/>
        </w:rPr>
      </w:pPr>
    </w:p>
    <w:p>
      <w:pPr>
        <w:ind w:right="1779" w:firstLine="1272"/>
        <w:spacing w:after="0" w:line="275" w:lineRule="auto"/>
        <w:tabs>
          <w:tab w:leader="none" w:pos="1685"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provision of this Agreement is held to be unenforceable under applicable law, such provision will be excluded from this Agreement and the balance of the Agreement will be interpreted as if such provision were so excluded and will be enforceable in accordance with its terms.</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520" w:right="1440" w:bottom="1440" w:gutter="0" w:footer="0" w:header="0"/>
        </w:sectPr>
      </w:pPr>
    </w:p>
    <w:bookmarkStart w:id="30" w:name="page31"/>
    <w:bookmarkEnd w:id="30"/>
    <w:p>
      <w:pPr>
        <w:ind w:left="-1200" w:right="1779" w:firstLine="1272"/>
        <w:spacing w:after="0" w:line="273" w:lineRule="auto"/>
        <w:tabs>
          <w:tab w:leader="none" w:pos="48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Agreement, together with all exhibits and schedules hereto and thereto constitutes the entire agreement and understanding of the parties with respect to the subject matter hereof and supersedes any and all prior negotiations, correspondence, agreements, understandings, duties or obligations between the parties with respect to the subject matter hereof.</w:t>
      </w:r>
    </w:p>
    <w:p>
      <w:pPr>
        <w:spacing w:after="0" w:line="184" w:lineRule="exact"/>
        <w:rPr>
          <w:rFonts w:ascii="Courier New" w:cs="Courier New" w:eastAsia="Courier New" w:hAnsi="Courier New"/>
          <w:sz w:val="16"/>
          <w:szCs w:val="16"/>
          <w:color w:val="auto"/>
        </w:rPr>
      </w:pPr>
    </w:p>
    <w:p>
      <w:pPr>
        <w:ind w:left="-1200" w:right="1999" w:firstLine="1272"/>
        <w:spacing w:after="0" w:line="237" w:lineRule="auto"/>
        <w:tabs>
          <w:tab w:leader="none" w:pos="48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 From and after the date of this Agreement, upon the request of the Company or the Purchasers, the Company and the Purchasers will execute and deliver such instruments, documents or other writings, and take such other actions, as may be reasonably necessary or desirable to confirm and carry out and to effectuate fully the intent and purposes of this Agreement.</w:t>
      </w:r>
    </w:p>
    <w:p>
      <w:pPr>
        <w:spacing w:after="0" w:line="209" w:lineRule="exact"/>
        <w:rPr>
          <w:rFonts w:ascii="Courier New" w:cs="Courier New" w:eastAsia="Courier New" w:hAnsi="Courier New"/>
          <w:sz w:val="18"/>
          <w:szCs w:val="18"/>
          <w:color w:val="auto"/>
        </w:rPr>
      </w:pPr>
    </w:p>
    <w:p>
      <w:pPr>
        <w:ind w:left="-1200" w:right="1779" w:firstLine="1272"/>
        <w:spacing w:after="0" w:line="237" w:lineRule="auto"/>
        <w:tabs>
          <w:tab w:leader="none" w:pos="48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Meaning of Include and Including. Whenever in this Agreement the word "include" or "including" is used, it shall be deemed to mean "include, without limitation" or "including, without limitation," as the case may be, and the language following "include" or "including" shall not be deemed to set forth an exhaustive list.</w:t>
      </w:r>
    </w:p>
    <w:p>
      <w:pPr>
        <w:spacing w:after="0" w:line="208" w:lineRule="exact"/>
        <w:rPr>
          <w:rFonts w:ascii="Courier New" w:cs="Courier New" w:eastAsia="Courier New" w:hAnsi="Courier New"/>
          <w:sz w:val="18"/>
          <w:szCs w:val="18"/>
          <w:color w:val="auto"/>
        </w:rPr>
      </w:pPr>
    </w:p>
    <w:p>
      <w:pPr>
        <w:ind w:left="-1200" w:right="1779" w:firstLine="1272"/>
        <w:spacing w:after="0" w:line="237" w:lineRule="auto"/>
        <w:tabs>
          <w:tab w:leader="none" w:pos="48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Fees, Costs and Expenses. Except as otherwise provided for in this Agreement, all fees, costs and expenses (including attorneys' fees and expenses) incurred by any party hereto in connection with the preparation, negotiation and execution of this Agreement and the exhibits and schedules hereto and the consummation of the transactions contemplated hereby and thereby (including the costs associated with any filings with, or compliance with any of the requirements of any governmental authorities), shall be the sole and exclusive responsibility of such party.</w:t>
      </w:r>
    </w:p>
    <w:p>
      <w:pPr>
        <w:spacing w:after="0" w:line="212" w:lineRule="exact"/>
        <w:rPr>
          <w:rFonts w:ascii="Courier New" w:cs="Courier New" w:eastAsia="Courier New" w:hAnsi="Courier New"/>
          <w:sz w:val="18"/>
          <w:szCs w:val="18"/>
          <w:color w:val="auto"/>
        </w:rPr>
      </w:pPr>
    </w:p>
    <w:p>
      <w:pPr>
        <w:ind w:left="-1200" w:right="1779" w:firstLine="1272"/>
        <w:spacing w:after="0" w:line="238" w:lineRule="auto"/>
        <w:tabs>
          <w:tab w:leader="none" w:pos="48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8-K Filing and Publicity. As soon as practicable following the execution of this Agreement but in no event later than 8:30 a.m. EST on the day following the execution of this Agreement, the Company shall file a Current Report on Form 8-K with the SEC describing the material terms of the transactions contemplated by this Agreement and attaching this Agreement and the press release referred to below as exhibits to such filing (the "8-K FILING" including all attachments). Neither the Company nor any Purchaser shall issue any press releases or any other public statements with respect to the transactions contemplated by this Agreement; provided, however, that the Company shall be entitled, without the prior approval of any Purchaser, to issue any press release or make any other public disclosure (including a press release (concerning the offering of the Purchased Securities) pursuant to Rule 135(c) under the Securities Act) with respect to such transactions (i) in substantial conformity with the 8-K Filing and (ii) as is required by applicable law, regulations, and Nasdaq rules; and, provided further, that no such release may identify a Purchaser unless such Purchaser has consented thereto in writing, or as required by law.</w:t>
      </w:r>
    </w:p>
    <w:p>
      <w:pPr>
        <w:spacing w:after="0" w:line="208" w:lineRule="exact"/>
        <w:rPr>
          <w:rFonts w:ascii="Courier New" w:cs="Courier New" w:eastAsia="Courier New" w:hAnsi="Courier New"/>
          <w:sz w:val="18"/>
          <w:szCs w:val="18"/>
          <w:color w:val="auto"/>
        </w:rPr>
      </w:pPr>
    </w:p>
    <w:p>
      <w:pPr>
        <w:ind w:left="-1200" w:right="1779" w:firstLine="1272"/>
        <w:spacing w:after="0" w:line="237" w:lineRule="auto"/>
        <w:tabs>
          <w:tab w:leader="none" w:pos="48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Splits, Dividends and other Similar Events. The provisions of this Agreement shall be appropriately adjusted to reflect any stock split, stock dividend, reorganization or other similar event that may occur with respect to the Company after the date hereof.</w:t>
      </w:r>
    </w:p>
    <w:p>
      <w:pPr>
        <w:spacing w:after="0" w:line="207" w:lineRule="exact"/>
        <w:rPr>
          <w:rFonts w:ascii="Courier New" w:cs="Courier New" w:eastAsia="Courier New" w:hAnsi="Courier New"/>
          <w:sz w:val="18"/>
          <w:szCs w:val="18"/>
          <w:color w:val="auto"/>
        </w:rPr>
      </w:pPr>
    </w:p>
    <w:p>
      <w:pPr>
        <w:ind w:left="-1200" w:right="1779" w:firstLine="1272"/>
        <w:spacing w:after="0" w:line="236" w:lineRule="auto"/>
        <w:tabs>
          <w:tab w:leader="none" w:pos="48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In addition to being entitled to exercise all rights provided herein or granted by law, including recovery of damages, each Purchaser and the Company will</w:t>
      </w:r>
    </w:p>
    <w:p>
      <w:pPr>
        <w:spacing w:after="0" w:line="200" w:lineRule="exact"/>
        <w:rPr>
          <w:sz w:val="20"/>
          <w:szCs w:val="20"/>
          <w:color w:val="auto"/>
        </w:rPr>
      </w:pPr>
    </w:p>
    <w:p>
      <w:pPr>
        <w:spacing w:after="0" w:line="206"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019"/>
          </w:cols>
          <w:pgMar w:left="1440" w:top="520" w:right="1440" w:bottom="1440" w:gutter="0" w:footer="0" w:header="0"/>
        </w:sectPr>
      </w:pPr>
    </w:p>
    <w:bookmarkStart w:id="31" w:name="page32"/>
    <w:bookmarkEnd w:id="31"/>
    <w:p>
      <w:pPr>
        <w:ind w:right="1779"/>
        <w:spacing w:after="0" w:line="237" w:lineRule="auto"/>
        <w:rPr>
          <w:sz w:val="20"/>
          <w:szCs w:val="20"/>
          <w:color w:val="auto"/>
        </w:rPr>
      </w:pPr>
      <w:r>
        <w:rPr>
          <w:rFonts w:ascii="Courier New" w:cs="Courier New" w:eastAsia="Courier New" w:hAnsi="Courier New"/>
          <w:sz w:val="18"/>
          <w:szCs w:val="18"/>
          <w:color w:val="auto"/>
        </w:rPr>
        <w:t>be entitled to specific performance under this Agreement. The parties agree that monetary damages may not be adequate compensation for any loss incurred by reason of any breach of obligations described in the foregoing sentence and hereby agrees to waive in any action for specific performance of any such obligation the defense that a remedy at law would be adequate.</w:t>
      </w:r>
    </w:p>
    <w:p>
      <w:pPr>
        <w:spacing w:after="0" w:line="203"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[Remainder of page intentionally left blank.]</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520" w:right="1440" w:bottom="1440" w:gutter="0" w:footer="0" w:header="0"/>
        </w:sectPr>
      </w:pPr>
    </w:p>
    <w:bookmarkStart w:id="32" w:name="page33"/>
    <w:bookmarkEnd w:id="32"/>
    <w:p>
      <w:pPr>
        <w:ind w:right="1879" w:firstLine="632"/>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as of the date and year first above written.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[PURCHASER SIGNATURE PAGES TO FOLLOW]</w:t>
      </w:r>
    </w:p>
    <w:p>
      <w:pPr>
        <w:sectPr>
          <w:pgSz w:w="11900" w:h="16838" w:orient="portrait"/>
          <w:cols w:equalWidth="0" w:num="1">
            <w:col w:w="10219"/>
          </w:cols>
          <w:pgMar w:left="240" w:top="520" w:right="1440" w:bottom="1440" w:gutter="0" w:footer="0" w:header="0"/>
        </w:sectPr>
      </w:pPr>
    </w:p>
    <w:bookmarkStart w:id="33" w:name="page34"/>
    <w:bookmarkEnd w:id="33"/>
    <w:p>
      <w:pPr>
        <w:jc w:val="center"/>
        <w:ind w:right="1659"/>
        <w:spacing w:after="0"/>
        <w:rPr>
          <w:sz w:val="20"/>
          <w:szCs w:val="20"/>
          <w:color w:val="auto"/>
        </w:rPr>
      </w:pPr>
      <w:r>
        <w:rPr>
          <w:rFonts w:ascii="Courier New" w:cs="Courier New" w:eastAsia="Courier New" w:hAnsi="Courier New"/>
          <w:sz w:val="18"/>
          <w:szCs w:val="18"/>
          <w:color w:val="auto"/>
        </w:rPr>
        <w:t>SIGNATURE PAGE TO</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PURCHASE 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DATED AS OF JUNE 16, 2004</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 AND AMONG</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AND EACH PURCHASER NAMED THEREIN</w:t>
      </w:r>
    </w:p>
    <w:p>
      <w:pPr>
        <w:spacing w:after="0" w:line="207" w:lineRule="exact"/>
        <w:rPr>
          <w:sz w:val="20"/>
          <w:szCs w:val="20"/>
          <w:color w:val="auto"/>
        </w:rPr>
      </w:pPr>
    </w:p>
    <w:p>
      <w:pPr>
        <w:ind w:right="1999" w:firstLine="632"/>
        <w:spacing w:after="0" w:line="272" w:lineRule="auto"/>
        <w:rPr>
          <w:sz w:val="20"/>
          <w:szCs w:val="20"/>
          <w:color w:val="auto"/>
        </w:rPr>
      </w:pPr>
      <w:r>
        <w:rPr>
          <w:rFonts w:ascii="Courier New" w:cs="Courier New" w:eastAsia="Courier New" w:hAnsi="Courier New"/>
          <w:sz w:val="16"/>
          <w:szCs w:val="16"/>
          <w:color w:val="auto"/>
        </w:rPr>
        <w:t>The undersigned hereby executes and delivers to StemCells, Inc., the Purchase Agreement (the "AGREEMENT") to which this signature page is attached effective as of the date of the Agreement, which Agreement and signature page, together with all counterparts of such Agreement and signature pages of the other Purchasers named in such Agreement, shall constitute one and the same document in accordance with the terms of such Agreement.</w:t>
      </w:r>
    </w:p>
    <w:p>
      <w:pPr>
        <w:spacing w:after="0" w:line="1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Number of Units:</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[PURCHASER]</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Address:</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Tel:</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Fax:</w:t>
      </w:r>
    </w:p>
    <w:p>
      <w:pPr>
        <w:spacing w:after="0" w:line="4" w:lineRule="exact"/>
        <w:rPr>
          <w:sz w:val="20"/>
          <w:szCs w:val="20"/>
          <w:color w:val="auto"/>
        </w:rPr>
      </w:pPr>
    </w:p>
    <w:p>
      <w:pPr>
        <w:ind w:left="464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Tax ID Number:</w:t>
      </w:r>
    </w:p>
    <w:p>
      <w:pPr>
        <w:spacing w:after="0" w:line="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14" w:right="1440" w:bottom="1440" w:gutter="0" w:footer="0" w:header="0"/>
        </w:sectPr>
      </w:pPr>
    </w:p>
    <w:bookmarkStart w:id="34" w:name="page35"/>
    <w:bookmarkEnd w:id="34"/>
    <w:p>
      <w:pPr>
        <w:ind w:left="3800"/>
        <w:spacing w:after="0"/>
        <w:rPr>
          <w:sz w:val="20"/>
          <w:szCs w:val="20"/>
          <w:color w:val="auto"/>
        </w:rPr>
      </w:pPr>
      <w:r>
        <w:rPr>
          <w:rFonts w:ascii="Courier New" w:cs="Courier New" w:eastAsia="Courier New" w:hAnsi="Courier New"/>
          <w:sz w:val="18"/>
          <w:szCs w:val="18"/>
          <w:color w:val="auto"/>
        </w:rPr>
        <w:t>EXHIBIT A</w:t>
      </w:r>
    </w:p>
    <w:p>
      <w:pPr>
        <w:spacing w:after="0" w:line="207"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SCHEDULE OF PURCHASERS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and Address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Units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spacing w:after="0" w:line="238" w:lineRule="auto"/>
        <w:rPr>
          <w:sz w:val="20"/>
          <w:szCs w:val="20"/>
          <w:color w:val="auto"/>
        </w:rPr>
      </w:pPr>
      <w:r>
        <w:rPr>
          <w:rFonts w:ascii="Courier New" w:cs="Courier New" w:eastAsia="Courier New" w:hAnsi="Courier New"/>
          <w:sz w:val="18"/>
          <w:szCs w:val="18"/>
          <w:color w:val="auto"/>
        </w:rPr>
        <w:t>Purchased</w:t>
      </w:r>
    </w:p>
    <w:p>
      <w:pPr>
        <w:ind w:left="200"/>
        <w:spacing w:after="0"/>
        <w:rPr>
          <w:sz w:val="20"/>
          <w:szCs w:val="20"/>
          <w:color w:val="auto"/>
        </w:rPr>
      </w:pPr>
      <w:r>
        <w:rPr>
          <w:rFonts w:ascii="Courier New" w:cs="Courier New" w:eastAsia="Courier New" w:hAnsi="Courier New"/>
          <w:sz w:val="18"/>
          <w:szCs w:val="18"/>
          <w:color w:val="auto"/>
        </w:rPr>
        <w:t>Shares</w:t>
      </w:r>
    </w:p>
    <w:p>
      <w:pPr>
        <w:spacing w:after="0" w:line="3"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w:t>
      </w:r>
    </w:p>
    <w:p>
      <w:pPr>
        <w:ind w:left="100"/>
        <w:spacing w:after="0" w:line="238" w:lineRule="auto"/>
        <w:rPr>
          <w:sz w:val="20"/>
          <w:szCs w:val="20"/>
          <w:color w:val="auto"/>
        </w:rPr>
      </w:pPr>
      <w:r>
        <w:rPr>
          <w:rFonts w:ascii="Courier New" w:cs="Courier New" w:eastAsia="Courier New" w:hAnsi="Courier New"/>
          <w:sz w:val="18"/>
          <w:szCs w:val="18"/>
          <w:color w:val="auto"/>
        </w:rPr>
        <w:t>Warrants</w:t>
      </w: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Purchase</w:t>
      </w:r>
    </w:p>
    <w:p>
      <w:pPr>
        <w:ind w:left="200"/>
        <w:spacing w:after="0" w:line="238" w:lineRule="auto"/>
        <w:rPr>
          <w:sz w:val="20"/>
          <w:szCs w:val="20"/>
          <w:color w:val="auto"/>
        </w:rPr>
      </w:pPr>
      <w:r>
        <w:rPr>
          <w:rFonts w:ascii="Courier New" w:cs="Courier New" w:eastAsia="Courier New" w:hAnsi="Courier New"/>
          <w:sz w:val="18"/>
          <w:szCs w:val="18"/>
          <w:color w:val="auto"/>
        </w:rPr>
        <w:t>Price</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5">
            <w:col w:w="1900" w:space="540"/>
            <w:col w:w="960" w:space="720"/>
            <w:col w:w="1040" w:space="640"/>
            <w:col w:w="1160" w:space="640"/>
            <w:col w:w="2619"/>
          </w:cols>
          <w:pgMar w:left="240" w:top="514" w:right="1440" w:bottom="1440" w:gutter="0" w:footer="0" w:header="0"/>
          <w:type w:val="continuous"/>
        </w:sectPr>
      </w:pPr>
    </w:p>
    <w:bookmarkStart w:id="35" w:name="page36"/>
    <w:bookmarkEnd w:id="35"/>
    <w:p>
      <w:pPr>
        <w:jc w:val="right"/>
        <w:ind w:right="1779"/>
        <w:spacing w:after="0"/>
        <w:rPr>
          <w:sz w:val="20"/>
          <w:szCs w:val="20"/>
          <w:color w:val="auto"/>
        </w:rPr>
      </w:pPr>
      <w:r>
        <w:rPr>
          <w:rFonts w:ascii="Courier New" w:cs="Courier New" w:eastAsia="Courier New" w:hAnsi="Courier New"/>
          <w:sz w:val="18"/>
          <w:szCs w:val="18"/>
          <w:color w:val="auto"/>
        </w:rPr>
        <w:t>Exhibit 99.2</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[FORM OF WARRANT]</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THIS WARRANT AND THE SHARES ISSUABLE UPON EXERCISE HEREOF HAVE NOT BEEN REGISTERED UNDER THE SECURITIES ACT OF 1933, AS AMENDED (THE "ACT") OR WITH ANY STATE SECURITIES COMMISSION, AND MAY NOT BE TRANSFERRED OR DISPOSED OF BY THE HOLDER IN THE ABSENCE OF A REGISTRATION STATEMENT WHICH IS EFFECTIVE UNDER THE SECURITIES ACT AND APPLICABLE STATE LAWS AND RULES, OR, UNLESS, IMMEDIATELY PRIOR TO THE TIME SET FOR TRANSFER, SUCH TRANSFER MAY BE EFFECTED WITHOUT VIOLATION OF THE SECURITIES ACT AND OTHER APPLICABLE STATE LAWS AND RULES.</w:t>
      </w:r>
    </w:p>
    <w:p>
      <w:pPr>
        <w:spacing w:after="0" w:line="1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STEMCELLS, INC.</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WARRANT</w:t>
      </w:r>
    </w:p>
    <w:p>
      <w:pPr>
        <w:spacing w:after="0" w:line="201" w:lineRule="exact"/>
        <w:rPr>
          <w:sz w:val="20"/>
          <w:szCs w:val="20"/>
          <w:color w:val="auto"/>
        </w:rPr>
      </w:pPr>
    </w:p>
    <w:p>
      <w:pPr>
        <w:spacing w:after="0"/>
        <w:tabs>
          <w:tab w:leader="none" w:pos="1880" w:val="left"/>
          <w:tab w:leader="none" w:pos="2840" w:val="left"/>
          <w:tab w:leader="none" w:pos="5360" w:val="left"/>
          <w:tab w:leader="none" w:pos="6720" w:val="left"/>
        </w:tabs>
        <w:rPr>
          <w:sz w:val="20"/>
          <w:szCs w:val="20"/>
          <w:color w:val="auto"/>
        </w:rPr>
      </w:pPr>
      <w:r>
        <w:rPr>
          <w:rFonts w:ascii="Courier New" w:cs="Courier New" w:eastAsia="Courier New" w:hAnsi="Courier New"/>
          <w:sz w:val="18"/>
          <w:szCs w:val="18"/>
          <w:color w:val="auto"/>
        </w:rPr>
        <w:t>Warrant No.</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June 16, 2004</w:t>
      </w:r>
    </w:p>
    <w:p>
      <w:pPr>
        <w:spacing w:after="0" w:line="207" w:lineRule="exact"/>
        <w:rPr>
          <w:sz w:val="20"/>
          <w:szCs w:val="20"/>
          <w:color w:val="auto"/>
        </w:rPr>
      </w:pPr>
    </w:p>
    <w:p>
      <w:pPr>
        <w:ind w:right="1779" w:firstLine="632"/>
        <w:spacing w:after="0" w:line="270" w:lineRule="auto"/>
        <w:rPr>
          <w:sz w:val="20"/>
          <w:szCs w:val="20"/>
          <w:color w:val="auto"/>
        </w:rPr>
      </w:pPr>
      <w:r>
        <w:rPr>
          <w:rFonts w:ascii="Courier New" w:cs="Courier New" w:eastAsia="Courier New" w:hAnsi="Courier New"/>
          <w:sz w:val="16"/>
          <w:szCs w:val="16"/>
          <w:color w:val="auto"/>
        </w:rPr>
        <w:t>StemCells, Inc., a Delaware corporation (the "COMPANY"), hereby certifies that, for value received, [ ] or its registered assigns (including permitted transferees, the "HOLDER"), is entitled to purchase from the Company up to a total of [ ] shares (as adjusted from time to time as provided in Section 9) of Common Stock (as defined below) (each such share, a "WARRANT SHARE" and all such shares, the "WARRANT SHARES") at an exercise price equal to $1.90 per share (as adjusted from time to time as provided in Section 9, the "EXERCISE PRICE"), at any time and from time to time from and after June 16, 2004 (the "ORIGINAL ISSUE DATE") through and including June 15, 2009 (the "EXPIRATION DATE"), and subject to the following terms and conditions. This Warrant is one of a series of similar warrants (the "WARRANTS") issued pursuant to that certain Securities Purchase Agreement, dated as of the Original Issue Date, by and among the Company, the Holder and certain other investors (the "PURCHASE AGREEMENT"), providing for the issuance and sale of Common Stock and Warrants by the Company to the Holder and such other investors.</w:t>
      </w:r>
    </w:p>
    <w:p>
      <w:pPr>
        <w:spacing w:after="0" w:line="387" w:lineRule="exact"/>
        <w:rPr>
          <w:sz w:val="20"/>
          <w:szCs w:val="20"/>
          <w:color w:val="auto"/>
        </w:rPr>
      </w:pPr>
    </w:p>
    <w:p>
      <w:pPr>
        <w:ind w:right="2519" w:firstLine="640"/>
        <w:spacing w:after="0" w:line="235"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Definitions. The capitalized terms used herein and not otherwise defined shall have the meanings set forth below:</w:t>
      </w:r>
    </w:p>
    <w:p>
      <w:pPr>
        <w:spacing w:after="0" w:line="208"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"AFFILIATE" of any specified Person means any other person or entity directly or indirectly controlling, controlled by or under direct or indirect common control with such specified Person. For purposes of this definition, "CONTROL" means the power to direct the management and policies of such Person or firm, directly or indirectly, whether through the ownership of voting securities, by contract or otherwise.</w:t>
      </w:r>
    </w:p>
    <w:p>
      <w:pPr>
        <w:spacing w:after="0" w:line="210"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"COMMON STOCK" means the common stock of the Company, $0.01 par value per share, as constituted on the Original Issue Date.</w:t>
      </w:r>
    </w:p>
    <w:p>
      <w:pPr>
        <w:sectPr>
          <w:pgSz w:w="11900" w:h="16838" w:orient="portrait"/>
          <w:cols w:equalWidth="0" w:num="1">
            <w:col w:w="10219"/>
          </w:cols>
          <w:pgMar w:left="240" w:top="339" w:right="1440" w:bottom="1440" w:gutter="0" w:footer="0" w:header="0"/>
        </w:sectPr>
      </w:pPr>
    </w:p>
    <w:bookmarkStart w:id="36" w:name="page37"/>
    <w:bookmarkEnd w:id="36"/>
    <w:p>
      <w:pPr>
        <w:ind w:left="3380"/>
        <w:spacing w:after="0"/>
        <w:rPr>
          <w:sz w:val="20"/>
          <w:szCs w:val="20"/>
          <w:color w:val="auto"/>
        </w:rPr>
      </w:pPr>
      <w:r>
        <w:rPr>
          <w:rFonts w:ascii="Courier New" w:cs="Courier New" w:eastAsia="Courier New" w:hAnsi="Courier New"/>
          <w:sz w:val="18"/>
          <w:szCs w:val="18"/>
          <w:color w:val="auto"/>
        </w:rPr>
        <w:t>[FORM OF WARRANT]</w:t>
      </w:r>
    </w:p>
    <w:p>
      <w:pPr>
        <w:spacing w:after="0" w:line="207"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"COMPANY OFFER" means any tender offer (including exchange offer), as amended from time to time, made by the Company or any of its subsidiaries for the purchase (including the acquisition pursuant to an exchange offer) of all or any portion of the outstanding shares of Common Stock, except as permitted pursuant to Rule 10b-18 promulgated under the Securities Exchange Act of 1934, as amended.</w:t>
      </w:r>
    </w:p>
    <w:p>
      <w:pPr>
        <w:spacing w:after="0" w:line="210" w:lineRule="exact"/>
        <w:rPr>
          <w:sz w:val="20"/>
          <w:szCs w:val="20"/>
          <w:color w:val="auto"/>
        </w:rPr>
      </w:pPr>
    </w:p>
    <w:p>
      <w:pPr>
        <w:ind w:right="2319" w:firstLine="1264"/>
        <w:spacing w:after="0" w:line="235" w:lineRule="auto"/>
        <w:rPr>
          <w:sz w:val="20"/>
          <w:szCs w:val="20"/>
          <w:color w:val="auto"/>
        </w:rPr>
      </w:pPr>
      <w:r>
        <w:rPr>
          <w:rFonts w:ascii="Courier New" w:cs="Courier New" w:eastAsia="Courier New" w:hAnsi="Courier New"/>
          <w:sz w:val="18"/>
          <w:szCs w:val="18"/>
          <w:color w:val="auto"/>
        </w:rPr>
        <w:t>"ELIGIBLE MARKET" means any of the New York Stock Exchange, the American Stock Exchange or Nasdaq.</w:t>
      </w:r>
    </w:p>
    <w:p>
      <w:pPr>
        <w:spacing w:after="0" w:line="208" w:lineRule="exact"/>
        <w:rPr>
          <w:sz w:val="20"/>
          <w:szCs w:val="20"/>
          <w:color w:val="auto"/>
        </w:rPr>
      </w:pPr>
    </w:p>
    <w:p>
      <w:pPr>
        <w:ind w:right="1779" w:firstLine="1264"/>
        <w:spacing w:after="0" w:line="268" w:lineRule="auto"/>
        <w:rPr>
          <w:sz w:val="20"/>
          <w:szCs w:val="20"/>
          <w:color w:val="auto"/>
        </w:rPr>
      </w:pPr>
      <w:r>
        <w:rPr>
          <w:rFonts w:ascii="Courier New" w:cs="Courier New" w:eastAsia="Courier New" w:hAnsi="Courier New"/>
          <w:sz w:val="16"/>
          <w:szCs w:val="16"/>
          <w:color w:val="auto"/>
        </w:rPr>
        <w:t>"MARKET PRICE" shall mean, on any date, the amount per share of Common Stock equal to (a) the last sale price of Common Stock, regular way, on such date or, if no such sale takes place on such date, the average of the closing bid and asked prices thereof on such date, in each case as officially reported on the principal national securities exchange on which Common Stock is then listed or admitted to trading, or (b) if Common Stock is not then listed or admitted to trading on any national securities exchange but is designated as a national market system security by the NASD, the last trading price of Common Stock on such date, or (c) if no trading occurred on such date or if Common Stock is not so designated, the average of the closing bid and asked prices of Common Stock on such date as shown by the NASD automated quotation system, or</w:t>
      </w:r>
    </w:p>
    <w:p>
      <w:pPr>
        <w:spacing w:after="0" w:line="2" w:lineRule="exact"/>
        <w:rPr>
          <w:sz w:val="20"/>
          <w:szCs w:val="20"/>
          <w:color w:val="auto"/>
        </w:rPr>
      </w:pPr>
    </w:p>
    <w:p>
      <w:pPr>
        <w:ind w:right="1779" w:firstLine="8"/>
        <w:spacing w:after="0" w:line="275" w:lineRule="auto"/>
        <w:tabs>
          <w:tab w:leader="none" w:pos="421"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Common Stock is not then listed or admitted to trading on any national exchange or quoted in the over-the-counter market, the fair value thereof determined in good faith by the Board of Directors of the Company as of a date which is within 15 days of the date as of which the determination is to be made.</w:t>
      </w:r>
    </w:p>
    <w:p>
      <w:pPr>
        <w:spacing w:after="0" w:line="182"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"NASDAQ" means the Nasdaq SmallCap Market or Nasdaq National Market.</w:t>
      </w:r>
    </w:p>
    <w:p>
      <w:pPr>
        <w:spacing w:after="0" w:line="224" w:lineRule="exact"/>
        <w:rPr>
          <w:sz w:val="20"/>
          <w:szCs w:val="20"/>
          <w:color w:val="auto"/>
        </w:rPr>
      </w:pPr>
    </w:p>
    <w:p>
      <w:pPr>
        <w:ind w:right="1779" w:firstLine="1264"/>
        <w:spacing w:after="0" w:line="237" w:lineRule="auto"/>
        <w:rPr>
          <w:sz w:val="20"/>
          <w:szCs w:val="20"/>
          <w:color w:val="auto"/>
        </w:rPr>
      </w:pPr>
      <w:r>
        <w:rPr>
          <w:rFonts w:ascii="Courier New" w:cs="Courier New" w:eastAsia="Courier New" w:hAnsi="Courier New"/>
          <w:sz w:val="18"/>
          <w:szCs w:val="18"/>
          <w:color w:val="auto"/>
        </w:rPr>
        <w:t>"OTHER SECURITIES" refers to any capital stock (other than Common Stock) and other securities of the Company or any other Person which the Holder of this Warrant at any time shall be entitled to receive, or shall have received, upon the exercise of this Warrant, in lieu of or in addition to Common Stock, or which at any time shall be issuable or shall have been issued in exchange for or in replacement of Common Stock or Other Securities pursuant to Section 9 hereof or otherwise.</w:t>
      </w:r>
    </w:p>
    <w:p>
      <w:pPr>
        <w:spacing w:after="0" w:line="211" w:lineRule="exact"/>
        <w:rPr>
          <w:sz w:val="20"/>
          <w:szCs w:val="20"/>
          <w:color w:val="auto"/>
        </w:rPr>
      </w:pPr>
    </w:p>
    <w:p>
      <w:pPr>
        <w:ind w:right="1999" w:firstLine="1264"/>
        <w:spacing w:after="0" w:line="237" w:lineRule="auto"/>
        <w:rPr>
          <w:sz w:val="20"/>
          <w:szCs w:val="20"/>
          <w:color w:val="auto"/>
        </w:rPr>
      </w:pPr>
      <w:r>
        <w:rPr>
          <w:rFonts w:ascii="Courier New" w:cs="Courier New" w:eastAsia="Courier New" w:hAnsi="Courier New"/>
          <w:sz w:val="18"/>
          <w:szCs w:val="18"/>
          <w:color w:val="auto"/>
        </w:rPr>
        <w:t>"PERSON" means any court or other federal, state, local or other governmental authority or other individual or corporation, partnership, trust, incorporated or unincorporated association, joint venture, limited liability company, joint stock company, government (or an agency or subdivision thereof) or other entity of any kind.</w:t>
      </w:r>
    </w:p>
    <w:p>
      <w:pPr>
        <w:spacing w:after="0" w:line="209" w:lineRule="exact"/>
        <w:rPr>
          <w:sz w:val="20"/>
          <w:szCs w:val="20"/>
          <w:color w:val="auto"/>
        </w:rPr>
      </w:pPr>
    </w:p>
    <w:p>
      <w:pPr>
        <w:ind w:right="2199" w:firstLine="1264"/>
        <w:spacing w:after="0" w:line="235" w:lineRule="auto"/>
        <w:rPr>
          <w:sz w:val="20"/>
          <w:szCs w:val="20"/>
          <w:color w:val="auto"/>
        </w:rPr>
      </w:pPr>
      <w:r>
        <w:rPr>
          <w:rFonts w:ascii="Courier New" w:cs="Courier New" w:eastAsia="Courier New" w:hAnsi="Courier New"/>
          <w:sz w:val="18"/>
          <w:szCs w:val="18"/>
          <w:color w:val="auto"/>
        </w:rPr>
        <w:t>"REGISTRATION STATEMENT" shall have the meaning set forth in the Purchase Agreement.</w:t>
      </w:r>
    </w:p>
    <w:p>
      <w:pPr>
        <w:spacing w:after="0" w:line="208"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"TRADING DAY" means (a) any day on which the Common Stock is listed or quoted and traded on any Eligible Market or (b) if the Common Stock is not then quoted and traded on any Eligible Market, then a day on which trading occurs on the Nasdaq National Market (or any successor thereto).</w:t>
      </w:r>
    </w:p>
    <w:p>
      <w:pPr>
        <w:spacing w:after="0" w:line="207" w:lineRule="exact"/>
        <w:rPr>
          <w:sz w:val="20"/>
          <w:szCs w:val="20"/>
          <w:color w:val="auto"/>
        </w:rPr>
      </w:pPr>
    </w:p>
    <w:p>
      <w:pPr>
        <w:ind w:right="2099" w:firstLine="1264"/>
        <w:spacing w:after="0" w:line="235" w:lineRule="auto"/>
        <w:rPr>
          <w:sz w:val="20"/>
          <w:szCs w:val="20"/>
          <w:color w:val="auto"/>
        </w:rPr>
      </w:pPr>
      <w:r>
        <w:rPr>
          <w:rFonts w:ascii="Courier New" w:cs="Courier New" w:eastAsia="Courier New" w:hAnsi="Courier New"/>
          <w:sz w:val="18"/>
          <w:szCs w:val="18"/>
          <w:color w:val="auto"/>
        </w:rPr>
        <w:t>"TRANSFER AGENT" shall mean EquiServe or such other Person as the Company may appoint from time to time.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37" w:name="page38"/>
    <w:bookmarkEnd w:id="37"/>
    <w:p>
      <w:pPr>
        <w:ind w:left="3380"/>
        <w:spacing w:after="0"/>
        <w:rPr>
          <w:sz w:val="20"/>
          <w:szCs w:val="20"/>
          <w:color w:val="auto"/>
        </w:rPr>
      </w:pPr>
      <w:r>
        <w:rPr>
          <w:rFonts w:ascii="Courier New" w:cs="Courier New" w:eastAsia="Courier New" w:hAnsi="Courier New"/>
          <w:sz w:val="18"/>
          <w:szCs w:val="18"/>
          <w:color w:val="auto"/>
        </w:rPr>
        <w:t>[FORM OF WARRANT]</w:t>
      </w:r>
    </w:p>
    <w:p>
      <w:pPr>
        <w:spacing w:after="0" w:line="207"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"WARRANT SHARES" shall initially mean shares of Common Stock and in addition may include Other Securities and Distributed Property (as defined in Section 9(e)) issued or issuable from time to time upon exercise of this Warrant.</w:t>
      </w:r>
    </w:p>
    <w:p>
      <w:pPr>
        <w:spacing w:after="0" w:line="207" w:lineRule="exact"/>
        <w:rPr>
          <w:sz w:val="20"/>
          <w:szCs w:val="20"/>
          <w:color w:val="auto"/>
        </w:rPr>
      </w:pPr>
    </w:p>
    <w:p>
      <w:pPr>
        <w:ind w:right="1779" w:firstLine="640"/>
        <w:spacing w:after="0" w:line="272" w:lineRule="auto"/>
        <w:tabs>
          <w:tab w:leader="none" w:pos="948"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of Warrant. The Company shall register this Warrant, upon records to be maintained by the Company for that purpose (the "WARRANT REGISTER"),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85" w:lineRule="exact"/>
        <w:rPr>
          <w:rFonts w:ascii="Courier New" w:cs="Courier New" w:eastAsia="Courier New" w:hAnsi="Courier New"/>
          <w:sz w:val="16"/>
          <w:szCs w:val="16"/>
          <w:color w:val="auto"/>
        </w:rPr>
      </w:pPr>
    </w:p>
    <w:p>
      <w:pPr>
        <w:ind w:right="1779" w:firstLine="640"/>
        <w:spacing w:after="0" w:line="237" w:lineRule="auto"/>
        <w:tabs>
          <w:tab w:leader="none" w:pos="948"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of Transfers. The Company shall register the transfer of any portion of this Warrant in the Warrant Register, upon surrender of this Warrant, with the Form of Assignment attached hereto as Appendix A duly completed and signed, to the Company at its address specified herein. Upon any such registration and transfer, a new warrant in substantially the form of a Warrant (any such new warrant, a "NEW WARRANT"), evidencing the portion of this Warrant so transferred shall be issued to the transferee and a New Warrant evidencing the remaining portion of this Warrant not so transferred, if any, shall be issued to the transferring Holder. The acceptance of the New Warrant by the transferee thereof shall be deemed the acceptance by such transferee of all of the rights and obligations of a holder of a Warrant.</w:t>
      </w:r>
    </w:p>
    <w:p>
      <w:pPr>
        <w:spacing w:after="0" w:line="210" w:lineRule="exact"/>
        <w:rPr>
          <w:rFonts w:ascii="Courier New" w:cs="Courier New" w:eastAsia="Courier New" w:hAnsi="Courier New"/>
          <w:sz w:val="18"/>
          <w:szCs w:val="18"/>
          <w:color w:val="auto"/>
        </w:rPr>
      </w:pPr>
    </w:p>
    <w:p>
      <w:pPr>
        <w:ind w:left="960" w:hanging="320"/>
        <w:spacing w:after="0"/>
        <w:tabs>
          <w:tab w:leader="none" w:pos="96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and Duration of Warrant.</w:t>
      </w:r>
    </w:p>
    <w:p>
      <w:pPr>
        <w:spacing w:after="0" w:line="206"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2"/>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Warrant shall be exercisable by the registered Holder at any time and from time to time on and after the Original Issue Date to and including the Expiration Date. At 5:00 P.M. New York City time on the Expiration Date, the portion of this Warrant not exercised prior thereto shall be and become void and of no value.</w:t>
      </w:r>
    </w:p>
    <w:p>
      <w:pPr>
        <w:spacing w:after="0" w:line="208" w:lineRule="exact"/>
        <w:rPr>
          <w:rFonts w:ascii="Courier New" w:cs="Courier New" w:eastAsia="Courier New" w:hAnsi="Courier New"/>
          <w:sz w:val="18"/>
          <w:szCs w:val="18"/>
          <w:color w:val="auto"/>
        </w:rPr>
      </w:pPr>
    </w:p>
    <w:p>
      <w:pPr>
        <w:ind w:left="1700" w:hanging="428"/>
        <w:spacing w:after="0"/>
        <w:tabs>
          <w:tab w:leader="none" w:pos="1700" w:val="left"/>
        </w:tabs>
        <w:numPr>
          <w:ilvl w:val="2"/>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Holder may exercise this Warrant by delivering to the Company</w:t>
      </w:r>
    </w:p>
    <w:p>
      <w:pPr>
        <w:spacing w:after="0" w:line="21" w:lineRule="exact"/>
        <w:rPr>
          <w:rFonts w:ascii="Courier New" w:cs="Courier New" w:eastAsia="Courier New" w:hAnsi="Courier New"/>
          <w:sz w:val="16"/>
          <w:szCs w:val="16"/>
          <w:color w:val="auto"/>
        </w:rPr>
      </w:pPr>
    </w:p>
    <w:p>
      <w:pPr>
        <w:ind w:right="1779" w:firstLine="8"/>
        <w:spacing w:after="0" w:line="237" w:lineRule="auto"/>
        <w:tabs>
          <w:tab w:leader="none" w:pos="421"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exercise notice, in the form attached hereto as Appendix B (the "EXERCISE NOTICE"), appropriately completed and duly signed, and (ii) payment of the Exercise Price for the number of Warrant Shares as to which this Warrant is being exercised (as set forth in Section 4(c) below), and the date such items are received by the Company is an "EXERCISE DATE." Execution and delivery of the Exercise Notice shall have the same effect as cancellation of the original Warrant and issuance of a New Warrant evidencing the right to purchase the remaining number of Warrant Shares.</w:t>
      </w:r>
    </w:p>
    <w:p>
      <w:pPr>
        <w:spacing w:after="0" w:line="212" w:lineRule="exact"/>
        <w:rPr>
          <w:rFonts w:ascii="Courier New" w:cs="Courier New" w:eastAsia="Courier New" w:hAnsi="Courier New"/>
          <w:sz w:val="18"/>
          <w:szCs w:val="18"/>
          <w:color w:val="auto"/>
        </w:rPr>
      </w:pPr>
    </w:p>
    <w:p>
      <w:pPr>
        <w:ind w:right="1879" w:firstLine="1272"/>
        <w:spacing w:after="0" w:line="268" w:lineRule="auto"/>
        <w:tabs>
          <w:tab w:leader="none" w:pos="1685" w:val="left"/>
        </w:tabs>
        <w:numPr>
          <w:ilvl w:val="2"/>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 shall pay the Exercise Price (i) in cash, by certified bank check payable to the order of the Company or by wire transfer of immediately available funds in accordance with the Company's instructions or</w:t>
      </w:r>
    </w:p>
    <w:p>
      <w:pPr>
        <w:ind w:right="1779" w:firstLine="8"/>
        <w:spacing w:after="0" w:line="237" w:lineRule="auto"/>
        <w:tabs>
          <w:tab w:leader="none" w:pos="527"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on or after the Original Issue Date (x) there is no effective Registration Statement registering the resale of the Warrant Shares by the Holder and (y) the Market Price exceeds the Exercise Price, by means of a "cashless exercise", by presenting and surrendering to the Company this Warrant, in which event the Company shall issue to the Holder the number of Warrant Shares determined as follows: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514" w:right="1440" w:bottom="1440" w:gutter="0" w:footer="0" w:header="0"/>
        </w:sectPr>
      </w:pPr>
    </w:p>
    <w:bookmarkStart w:id="38" w:name="page39"/>
    <w:bookmarkEnd w:id="38"/>
    <w:p>
      <w:pPr>
        <w:ind w:left="2740"/>
        <w:spacing w:after="0"/>
        <w:rPr>
          <w:sz w:val="20"/>
          <w:szCs w:val="20"/>
          <w:color w:val="auto"/>
        </w:rPr>
      </w:pPr>
      <w:r>
        <w:rPr>
          <w:rFonts w:ascii="Courier New" w:cs="Courier New" w:eastAsia="Courier New" w:hAnsi="Courier New"/>
          <w:sz w:val="18"/>
          <w:szCs w:val="18"/>
          <w:color w:val="auto"/>
        </w:rPr>
        <w:t>[FORM OF WARRANT]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X = Y [(A-B)/A]</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where:</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X = the number of Warrant Shares to be issued to the</w:t>
      </w:r>
    </w:p>
    <w:p>
      <w:pPr>
        <w:ind w:left="2320"/>
        <w:spacing w:after="0" w:line="238" w:lineRule="auto"/>
        <w:rPr>
          <w:sz w:val="20"/>
          <w:szCs w:val="20"/>
          <w:color w:val="auto"/>
        </w:rPr>
      </w:pPr>
      <w:r>
        <w:rPr>
          <w:rFonts w:ascii="Courier New" w:cs="Courier New" w:eastAsia="Courier New" w:hAnsi="Courier New"/>
          <w:sz w:val="18"/>
          <w:szCs w:val="18"/>
          <w:color w:val="auto"/>
        </w:rPr>
        <w:t>Holder upon such cashless exercise;</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Y = the number of Warrant Shares with</w:t>
      </w:r>
    </w:p>
    <w:p>
      <w:pPr>
        <w:ind w:left="2320"/>
        <w:spacing w:after="0" w:line="238" w:lineRule="auto"/>
        <w:rPr>
          <w:sz w:val="20"/>
          <w:szCs w:val="20"/>
          <w:color w:val="auto"/>
        </w:rPr>
      </w:pPr>
      <w:r>
        <w:rPr>
          <w:rFonts w:ascii="Courier New" w:cs="Courier New" w:eastAsia="Courier New" w:hAnsi="Courier New"/>
          <w:sz w:val="18"/>
          <w:szCs w:val="18"/>
          <w:color w:val="auto"/>
        </w:rPr>
        <w:t>respect to which this Warrant is being</w:t>
      </w:r>
    </w:p>
    <w:p>
      <w:pPr>
        <w:ind w:left="2320"/>
        <w:spacing w:after="0"/>
        <w:rPr>
          <w:sz w:val="20"/>
          <w:szCs w:val="20"/>
          <w:color w:val="auto"/>
        </w:rPr>
      </w:pPr>
      <w:r>
        <w:rPr>
          <w:rFonts w:ascii="Courier New" w:cs="Courier New" w:eastAsia="Courier New" w:hAnsi="Courier New"/>
          <w:sz w:val="18"/>
          <w:szCs w:val="18"/>
          <w:color w:val="auto"/>
        </w:rPr>
        <w:t>exercised;</w:t>
      </w:r>
    </w:p>
    <w:p>
      <w:pPr>
        <w:spacing w:after="0" w:line="20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 = the Market Price on the Exercise Date; and</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B = the Exercise Price.</w:t>
      </w:r>
    </w:p>
    <w:p>
      <w:pPr>
        <w:spacing w:after="0" w:line="207" w:lineRule="exact"/>
        <w:rPr>
          <w:sz w:val="20"/>
          <w:szCs w:val="20"/>
          <w:color w:val="auto"/>
        </w:rPr>
      </w:pPr>
    </w:p>
    <w:p>
      <w:pPr>
        <w:ind w:left="-640" w:right="1779" w:firstLine="1272"/>
        <w:spacing w:after="0" w:line="237" w:lineRule="auto"/>
        <w:tabs>
          <w:tab w:leader="none" w:pos="1045" w:val="left"/>
        </w:tabs>
        <w:numPr>
          <w:ilvl w:val="1"/>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 exercise of this Warrant is to be made in connection with a registered public offering or sale of the Company, such exercise may, at the election of the Holder, be conditioned on the consummation of the public offering or sale of the Company, in which case such exercise shall not be deemed effective until the consummation of such transaction.</w:t>
      </w:r>
    </w:p>
    <w:p>
      <w:pPr>
        <w:spacing w:after="0" w:line="203" w:lineRule="exact"/>
        <w:rPr>
          <w:rFonts w:ascii="Courier New" w:cs="Courier New" w:eastAsia="Courier New" w:hAnsi="Courier New"/>
          <w:sz w:val="18"/>
          <w:szCs w:val="18"/>
          <w:color w:val="auto"/>
        </w:rPr>
      </w:pPr>
    </w:p>
    <w:p>
      <w:pPr>
        <w:ind w:left="320" w:hanging="320"/>
        <w:spacing w:after="0"/>
        <w:tabs>
          <w:tab w:leader="none" w:pos="32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Warrant Shares.</w:t>
      </w:r>
    </w:p>
    <w:p>
      <w:pPr>
        <w:spacing w:after="0" w:line="206" w:lineRule="exact"/>
        <w:rPr>
          <w:rFonts w:ascii="Courier New" w:cs="Courier New" w:eastAsia="Courier New" w:hAnsi="Courier New"/>
          <w:sz w:val="18"/>
          <w:szCs w:val="18"/>
          <w:color w:val="auto"/>
        </w:rPr>
      </w:pPr>
    </w:p>
    <w:p>
      <w:pPr>
        <w:ind w:left="-640" w:right="1779" w:firstLine="1272"/>
        <w:spacing w:after="0" w:line="269" w:lineRule="auto"/>
        <w:tabs>
          <w:tab w:leader="none" w:pos="1045" w:val="left"/>
        </w:tabs>
        <w:numPr>
          <w:ilvl w:val="1"/>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exercise of this Warrant, the Company shall, within three Trading Days after receipt of the Exercise Notice attached hereto as Appendix B, issue or cause to be issued and deliver or cause to be delivered to the Holder, in such name or names as the Holder may designate, a certificate for the Warrant Shares issuable upon such exercise bearing (only if such legend is required by applicable law) the restrictive legend set forth in Section 4(j)(i) of the Purchase Agreement. The Holder, or any Person so designated by the Holder to receive the Warrant Shares, shall be deemed to have become holder of record of such Warrant Shares as of the Exercise Date. In addition to any other rights available to the Holder, if the Company fails to deliver to the Holder a certificate or certificates representing the Warrant Shares pursuant to an exercise by the third Trading Day after the receipt of an Exercise Notice and the Exercise Price, if applicable, from such Holder, and if after such third Trading Day the Holder is required by its broker to purchase (in an open market transaction or otherwise) shares of Common Stock to deliver in satisfaction of a sale by the Holder of the Warrant Shares which the Holder anticipated receiving upon such exercise (a "BUY-IN"), then the Company shall (1) pay in cash to the Holder the amount by which (x) the Holder's total purchase price (including brokerage commissions, if any) for the shares of Common Stock so purchased exceeds (y) the amount obtained by multiplying (A) the number of Warrant Shares that the Company was required to deliver to the Holder in connection with the exercise at issue, times (B) the price at which the sell order giving rise to such purchase obligation was executed, and (2) at the option of the Holder, either reinstate the portion of the Warrant and equivalent number of Warrant Shares for which such exercise was not honored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(1) of the immediately preceding sentence the Company shall be required to pay the Holder $1,000. The Holder shall provide the Company written notice indicating the amounts payable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579"/>
          </w:cols>
          <w:pgMar w:left="880" w:top="514" w:right="1440" w:bottom="1440" w:gutter="0" w:footer="0" w:header="0"/>
        </w:sectPr>
      </w:pPr>
    </w:p>
    <w:bookmarkStart w:id="39" w:name="page40"/>
    <w:bookmarkEnd w:id="39"/>
    <w:p>
      <w:pPr>
        <w:ind w:left="3380"/>
        <w:spacing w:after="0"/>
        <w:rPr>
          <w:sz w:val="20"/>
          <w:szCs w:val="20"/>
          <w:color w:val="auto"/>
        </w:rPr>
      </w:pPr>
      <w:r>
        <w:rPr>
          <w:rFonts w:ascii="Courier New" w:cs="Courier New" w:eastAsia="Courier New" w:hAnsi="Courier New"/>
          <w:sz w:val="18"/>
          <w:szCs w:val="18"/>
          <w:color w:val="auto"/>
        </w:rPr>
        <w:t>[FORM OF WARRANT]</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Holder in respect of the Buy-In, together with applicable confirmations and other evidence reasonably requested by the Company.</w:t>
      </w:r>
    </w:p>
    <w:p>
      <w:pPr>
        <w:spacing w:after="0" w:line="208" w:lineRule="exact"/>
        <w:rPr>
          <w:sz w:val="20"/>
          <w:szCs w:val="20"/>
          <w:color w:val="auto"/>
        </w:rPr>
      </w:pPr>
    </w:p>
    <w:p>
      <w:pPr>
        <w:ind w:right="1779" w:firstLine="1272"/>
        <w:spacing w:after="0" w:line="237" w:lineRule="auto"/>
        <w:tabs>
          <w:tab w:leader="none" w:pos="1685"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Warrant is exercisable, either in its entirety or, from time to time, for a portion of the number of Warrant Shares. Upon surrender of this Warrant following one or more partial exercises, the Company shall issue or cause to be issued, at its expense, a New Warrant evidencing the right to purchase the remaining number of Warrant Shares.</w:t>
      </w:r>
    </w:p>
    <w:p>
      <w:pPr>
        <w:spacing w:after="0" w:line="208" w:lineRule="exact"/>
        <w:rPr>
          <w:rFonts w:ascii="Courier New" w:cs="Courier New" w:eastAsia="Courier New" w:hAnsi="Courier New"/>
          <w:sz w:val="18"/>
          <w:szCs w:val="18"/>
          <w:color w:val="auto"/>
        </w:rPr>
      </w:pPr>
    </w:p>
    <w:p>
      <w:pPr>
        <w:ind w:right="1879" w:firstLine="640"/>
        <w:spacing w:after="0" w:line="237"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Charges, Taxes and Expenses. Issuance and delivery of certificates for shares of Common Stock upon exercise of this Warrant shall be made without charge to the Holder for any issue or transfer tax, withholding tax, transfer agent fee or other incidental tax or expense in respect of the issuance of such certificates, all of which taxes and expenses shall be paid by the Company; provided, however, that the Company shall not be required to pay any tax which may be payable in respect of any transfer involved in the registration of any certificates for Warrant Shares or Warrant in a name other than that of the Holder. The Holder shall be responsible for all other tax liability that may arise as a result of holding or transferring this Warrant or receiving Warrant Shares upon exercise hereof.</w:t>
      </w:r>
    </w:p>
    <w:p>
      <w:pPr>
        <w:spacing w:after="0" w:line="215" w:lineRule="exact"/>
        <w:rPr>
          <w:rFonts w:ascii="Courier New" w:cs="Courier New" w:eastAsia="Courier New" w:hAnsi="Courier New"/>
          <w:sz w:val="18"/>
          <w:szCs w:val="18"/>
          <w:color w:val="auto"/>
        </w:rPr>
      </w:pPr>
    </w:p>
    <w:p>
      <w:pPr>
        <w:ind w:right="1779" w:firstLine="640"/>
        <w:spacing w:after="0" w:line="237"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Replacement of Warrant. If this Warrant is mutilated, lost, stolen or destroyed, the Company shall issue or cause to be issued in exchange and substitution for and upon cancellation hereof, or in lieu of and in substitution for this Warrant, a New Warrant, but only upon receipt of evidence reasonably satisfactory to the Company of such loss, theft or destruction and customary and reasonable indemnity, if requested.</w:t>
      </w:r>
    </w:p>
    <w:p>
      <w:pPr>
        <w:spacing w:after="0" w:line="209" w:lineRule="exact"/>
        <w:rPr>
          <w:rFonts w:ascii="Courier New" w:cs="Courier New" w:eastAsia="Courier New" w:hAnsi="Courier New"/>
          <w:sz w:val="18"/>
          <w:szCs w:val="18"/>
          <w:color w:val="auto"/>
        </w:rPr>
      </w:pPr>
    </w:p>
    <w:p>
      <w:pPr>
        <w:ind w:right="1779" w:firstLine="640"/>
        <w:spacing w:after="0" w:line="238"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Reservation of Warrant Shares. The Company covenants that it will at all times reserve and keep available out of the aggregate of its authorized but unissued and otherwise unreserved Common Stock, solely for the purpose of enabling it to issue Warrant Shares upon exercise of this Warrant as herein provided, the number of Warrant Shares which are then issuable and deliverable upon the exercise of this entire Warrant, free from all taxes, liens, claims, encumbrances with respect to the issuance of such Warrant Shares and will not be subject to any pre-emptive rights or similar rights (taking into account the adjustments and restrictions of Section 9 hereof). The Company covenants that all Warrant Shares so issuable and deliverable shall, upon issuance and the payment of the applicable Exercise Price in accordance with the terms hereof, be duly and validly authorized, issued, fully paid and nonassessable. The Company will take all such action as may be necessary to assure that such shares of Common Stock may be issued as provided herein without violation of any applicable law or regulation, or of any requirements of any securities exchange or automated quotation system upon which the Common Stock may be listed or quoted, as the case may be.</w:t>
      </w:r>
    </w:p>
    <w:p>
      <w:pPr>
        <w:spacing w:after="0" w:line="208" w:lineRule="exact"/>
        <w:rPr>
          <w:rFonts w:ascii="Courier New" w:cs="Courier New" w:eastAsia="Courier New" w:hAnsi="Courier New"/>
          <w:sz w:val="18"/>
          <w:szCs w:val="18"/>
          <w:color w:val="auto"/>
        </w:rPr>
      </w:pPr>
    </w:p>
    <w:p>
      <w:pPr>
        <w:jc w:val="both"/>
        <w:ind w:right="2099" w:firstLine="640"/>
        <w:spacing w:after="0" w:line="236" w:lineRule="auto"/>
        <w:tabs>
          <w:tab w:leader="none" w:pos="94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Adjustments. The Exercise Price and number of Warrant Shares issuable upon exercise of this Warrant are subject to adjustment from time to time as set forth in this Section 9.</w:t>
      </w:r>
    </w:p>
    <w:p>
      <w:pPr>
        <w:spacing w:after="0" w:line="208"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Dividends. If the Company, at any time while this Warrant is outstanding, pays a dividend on its Common Stock payable in additional shares of Common Stock or otherwise makes a distribution on any class of capital stock that is payable in shares of Common Stock, then in each such case the Exercise Price shall be multiplied by a fraction, (A)</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514" w:right="1440" w:bottom="1440" w:gutter="0" w:footer="0" w:header="0"/>
        </w:sectPr>
      </w:pPr>
    </w:p>
    <w:bookmarkStart w:id="40" w:name="page41"/>
    <w:bookmarkEnd w:id="40"/>
    <w:p>
      <w:pPr>
        <w:jc w:val="center"/>
        <w:ind w:right="1659"/>
        <w:spacing w:after="0"/>
        <w:rPr>
          <w:sz w:val="20"/>
          <w:szCs w:val="20"/>
          <w:color w:val="auto"/>
        </w:rPr>
      </w:pPr>
      <w:r>
        <w:rPr>
          <w:rFonts w:ascii="Courier New" w:cs="Courier New" w:eastAsia="Courier New" w:hAnsi="Courier New"/>
          <w:sz w:val="18"/>
          <w:szCs w:val="18"/>
          <w:color w:val="auto"/>
        </w:rPr>
        <w:t>[FORM OF WARRANT]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numerator of which shall be the number of shares of Common Stock outstanding immediately prior to the opening of business on the day after the record date for the determination of stockholders entitle to receive such dividend or distribution and (B) the denominator of which shall be the number of shares of Common Stock outstanding immediately after such event. Any adjustment made pursuant to this Section 9(a) shall become effective immediately after the record date for the determination of stockholders entitled to receive such dividend or distribution.</w:t>
      </w:r>
    </w:p>
    <w:p>
      <w:pPr>
        <w:spacing w:after="0" w:line="212" w:lineRule="exact"/>
        <w:rPr>
          <w:sz w:val="20"/>
          <w:szCs w:val="20"/>
          <w:color w:val="auto"/>
        </w:rPr>
      </w:pPr>
    </w:p>
    <w:p>
      <w:pPr>
        <w:ind w:right="1779" w:firstLine="1272"/>
        <w:spacing w:after="0" w:line="237"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Splits. If the Company, at any time while this Warrant is outstanding, (i) subdivides outstanding shares of Common Stock into a larger number of shares, or (ii) combines outstanding shares of Common Stock into a smaller number of shares, then in each such case the Exercise Price shall be multiplied by a fraction, (A) the numerator of which shall be the number of shares of Common Stock outstanding immediately before such event and (B) the denominator of which shall be the number of shares of Common Stock outstanding immediately after such event. Any adjustment pursuant to this Section 9(b) shall become effective immediately after the effective date of such subdivision or combination.</w:t>
      </w:r>
    </w:p>
    <w:p>
      <w:pPr>
        <w:spacing w:after="0" w:line="214" w:lineRule="exact"/>
        <w:rPr>
          <w:rFonts w:ascii="Courier New" w:cs="Courier New" w:eastAsia="Courier New" w:hAnsi="Courier New"/>
          <w:sz w:val="18"/>
          <w:szCs w:val="18"/>
          <w:color w:val="auto"/>
        </w:rPr>
      </w:pPr>
    </w:p>
    <w:p>
      <w:pPr>
        <w:ind w:right="1779" w:firstLine="1272"/>
        <w:spacing w:after="0" w:line="237" w:lineRule="auto"/>
        <w:tabs>
          <w:tab w:leader="none" w:pos="1685"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Reclassifications. A reclassification of the Common Stock (other than any such reclassification in connection with a merger or consolidation to which Section 9(f) applies) into shares of any other class of stock shall be deemed:</w:t>
      </w:r>
    </w:p>
    <w:p>
      <w:pPr>
        <w:spacing w:after="0" w:line="207" w:lineRule="exact"/>
        <w:rPr>
          <w:rFonts w:ascii="Courier New" w:cs="Courier New" w:eastAsia="Courier New" w:hAnsi="Courier New"/>
          <w:sz w:val="18"/>
          <w:szCs w:val="18"/>
          <w:color w:val="auto"/>
        </w:rPr>
      </w:pPr>
    </w:p>
    <w:p>
      <w:pPr>
        <w:ind w:right="1779" w:firstLine="1904"/>
        <w:spacing w:after="0" w:line="236" w:lineRule="auto"/>
        <w:tabs>
          <w:tab w:leader="none" w:pos="2318"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distribution by the Company to the holders of its Common Stock of such shares of such other class of stock for the purposes and within the meaning of this Section 9; and</w:t>
      </w:r>
    </w:p>
    <w:p>
      <w:pPr>
        <w:spacing w:after="0" w:line="208" w:lineRule="exact"/>
        <w:rPr>
          <w:rFonts w:ascii="Courier New" w:cs="Courier New" w:eastAsia="Courier New" w:hAnsi="Courier New"/>
          <w:sz w:val="18"/>
          <w:szCs w:val="18"/>
          <w:color w:val="auto"/>
        </w:rPr>
      </w:pPr>
    </w:p>
    <w:p>
      <w:pPr>
        <w:ind w:right="1779" w:firstLine="1904"/>
        <w:spacing w:after="0" w:line="237" w:lineRule="auto"/>
        <w:tabs>
          <w:tab w:leader="none" w:pos="2423"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outstanding shares of Common Stock shall be changed into a larger or smaller number of shares of Common Stock as part of such reclassification, such change shall be deemed a subdivision or combination, as the case may be, of the outstanding shares of Common Stock for the purposes and within the meaning of Section 9(b).</w:t>
      </w:r>
    </w:p>
    <w:p>
      <w:pPr>
        <w:spacing w:after="0" w:line="208" w:lineRule="exact"/>
        <w:rPr>
          <w:rFonts w:ascii="Courier New" w:cs="Courier New" w:eastAsia="Courier New" w:hAnsi="Courier New"/>
          <w:sz w:val="18"/>
          <w:szCs w:val="18"/>
          <w:color w:val="auto"/>
        </w:rPr>
      </w:pPr>
    </w:p>
    <w:p>
      <w:pPr>
        <w:ind w:right="1879" w:firstLine="1272"/>
        <w:spacing w:after="0" w:line="271" w:lineRule="auto"/>
        <w:tabs>
          <w:tab w:leader="none" w:pos="1685"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Self-Tender Offers. In the event, at any time or from time to time after the Original Issue Date while the Warrants remain outstanding and unexpired, in whole or in part, a Company Offer shall be made and expire, then and in each such event the Exercise Price in effect immediately prior to close of business on the date of the last time (the "EXPIRATION TIME") tenders could have been made pursuant to such Company Offer shall be decreased by multiplying such Exercise Price by a fraction (not to be greater than 1):</w:t>
      </w:r>
    </w:p>
    <w:p>
      <w:pPr>
        <w:spacing w:after="0" w:line="187" w:lineRule="exact"/>
        <w:rPr>
          <w:rFonts w:ascii="Courier New" w:cs="Courier New" w:eastAsia="Courier New" w:hAnsi="Courier New"/>
          <w:sz w:val="16"/>
          <w:szCs w:val="16"/>
          <w:color w:val="auto"/>
        </w:rPr>
      </w:pPr>
    </w:p>
    <w:p>
      <w:pPr>
        <w:ind w:right="1879" w:firstLine="1904"/>
        <w:spacing w:after="0" w:line="270" w:lineRule="auto"/>
        <w:tabs>
          <w:tab w:leader="none" w:pos="2318"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numerator of which shall be equal to (A) the product of (1) the Market Price per share of the Common Stock on the date of the Expiration Time and (2) the number of shares of Common Stock outstanding (including any tendered shares) at the Expiration Time less (B) the fair market value (as determined in good faith by the Board of Directors of the Company) of the aggregate consideration payable to stockholders based on the acceptance (up to any maximum specified in the terms of the Company Offer) of all shares validly tendered and not withdrawn as of the Expiration Time (the shares deemed so accepted, up to any maximum amount provided for in connection with such Company Offer, being referred to as the "PURCHASED SHARES"); and</w:t>
      </w:r>
    </w:p>
    <w:p>
      <w:pPr>
        <w:spacing w:after="0" w:line="38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14" w:right="1440" w:bottom="1440" w:gutter="0" w:footer="0" w:header="0"/>
        </w:sectPr>
      </w:pPr>
    </w:p>
    <w:bookmarkStart w:id="41" w:name="page42"/>
    <w:bookmarkEnd w:id="41"/>
    <w:p>
      <w:pPr>
        <w:ind w:left="3380"/>
        <w:spacing w:after="0"/>
        <w:rPr>
          <w:sz w:val="20"/>
          <w:szCs w:val="20"/>
          <w:color w:val="auto"/>
        </w:rPr>
      </w:pPr>
      <w:r>
        <w:rPr>
          <w:rFonts w:ascii="Courier New" w:cs="Courier New" w:eastAsia="Courier New" w:hAnsi="Courier New"/>
          <w:sz w:val="18"/>
          <w:szCs w:val="18"/>
          <w:color w:val="auto"/>
        </w:rPr>
        <w:t>[FORM OF WARRANT]</w:t>
      </w:r>
    </w:p>
    <w:p>
      <w:pPr>
        <w:spacing w:after="0" w:line="207" w:lineRule="exact"/>
        <w:rPr>
          <w:sz w:val="20"/>
          <w:szCs w:val="20"/>
          <w:color w:val="auto"/>
        </w:rPr>
      </w:pPr>
    </w:p>
    <w:p>
      <w:pPr>
        <w:ind w:left="2440" w:hanging="536"/>
        <w:spacing w:after="0"/>
        <w:tabs>
          <w:tab w:leader="none" w:pos="2440"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denominator of which shall be equal to the product of</w:t>
      </w:r>
    </w:p>
    <w:p>
      <w:pPr>
        <w:spacing w:after="0" w:line="21" w:lineRule="exact"/>
        <w:rPr>
          <w:rFonts w:ascii="Courier New" w:cs="Courier New" w:eastAsia="Courier New" w:hAnsi="Courier New"/>
          <w:sz w:val="16"/>
          <w:szCs w:val="16"/>
          <w:color w:val="auto"/>
        </w:rPr>
      </w:pPr>
    </w:p>
    <w:p>
      <w:pPr>
        <w:ind w:right="1779" w:firstLine="8"/>
        <w:spacing w:after="0" w:line="279" w:lineRule="auto"/>
        <w:tabs>
          <w:tab w:leader="none" w:pos="421"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Price per share of the Common Stock on the date of the Expiration Time and (B) the number of shares of Common Stock outstanding (including any tendered shares) on the Expiration Time less the number of Purchased Shares.</w:t>
      </w:r>
    </w:p>
    <w:p>
      <w:pPr>
        <w:spacing w:after="0" w:line="178" w:lineRule="exact"/>
        <w:rPr>
          <w:sz w:val="20"/>
          <w:szCs w:val="20"/>
          <w:color w:val="auto"/>
        </w:rPr>
      </w:pPr>
    </w:p>
    <w:p>
      <w:pPr>
        <w:ind w:right="2199" w:firstLine="1264"/>
        <w:spacing w:after="0" w:line="236" w:lineRule="auto"/>
        <w:rPr>
          <w:sz w:val="20"/>
          <w:szCs w:val="20"/>
          <w:color w:val="auto"/>
        </w:rPr>
      </w:pPr>
      <w:r>
        <w:rPr>
          <w:rFonts w:ascii="Courier New" w:cs="Courier New" w:eastAsia="Courier New" w:hAnsi="Courier New"/>
          <w:sz w:val="18"/>
          <w:szCs w:val="18"/>
          <w:color w:val="auto"/>
        </w:rPr>
        <w:t>Any adjustment under this Section 9(d) shall become effective immediately prior to the opening of business on the day after the Expiration Time.</w:t>
      </w:r>
    </w:p>
    <w:p>
      <w:pPr>
        <w:spacing w:after="0" w:line="209" w:lineRule="exact"/>
        <w:rPr>
          <w:sz w:val="20"/>
          <w:szCs w:val="20"/>
          <w:color w:val="auto"/>
        </w:rPr>
      </w:pPr>
    </w:p>
    <w:p>
      <w:pPr>
        <w:ind w:right="1779" w:firstLine="1272"/>
        <w:spacing w:after="0" w:line="269" w:lineRule="auto"/>
        <w:tabs>
          <w:tab w:leader="none" w:pos="1685"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Distributions. If the Company, at any time while this Warrant is outstanding, other than pursuant to a shareholders' right plan of the Company, distributes to holders of Common Stock (i) evidences of its indebtedness, (ii) any security (other than a distribution of Common Stock covered by Section 9(a)), (iii) rights or warrants to subscribe for or purchase any security or (iv) any other asset (in each case, "DISTRIBUTED PROPERTY"), then in each such case the Exercise Price in effect immediately prior to the record date fixed for determination of stockholders entitled to receive such distribution (and the Exercise Price thereafter applicable) shall be adjusted (effective on and after such record date) to equal the product of such Exercise Price multiplied by a fraction, (A) the numerator of which shall be Market Price on such record date less the then fair market value per share of the Distributed Property distributed in respect of one outstanding share of Common Stock, which, if the Distributed Property is other than cash or marketable securities, shall be as determined in good faith by the Board of Directors of the Company, and (B) the denominator of which shall be the Market Price on such record date.</w:t>
      </w:r>
    </w:p>
    <w:p>
      <w:pPr>
        <w:spacing w:after="0" w:line="396" w:lineRule="exact"/>
        <w:rPr>
          <w:rFonts w:ascii="Courier New" w:cs="Courier New" w:eastAsia="Courier New" w:hAnsi="Courier New"/>
          <w:sz w:val="16"/>
          <w:szCs w:val="16"/>
          <w:color w:val="auto"/>
        </w:rPr>
      </w:pPr>
    </w:p>
    <w:p>
      <w:pPr>
        <w:ind w:right="1879" w:firstLine="1272"/>
        <w:spacing w:after="0" w:line="268" w:lineRule="auto"/>
        <w:tabs>
          <w:tab w:leader="none" w:pos="1685" w:val="left"/>
        </w:tabs>
        <w:numPr>
          <w:ilvl w:val="1"/>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Fundamental Transactions. If, at any time while this Warrant is outstanding, (i) the Company effects any merger or consolidation of the Company with or into another Person, (ii) the Company effects any sale of all or substantially all of its assets in one or a series of related transactions or</w:t>
      </w:r>
    </w:p>
    <w:p>
      <w:pPr>
        <w:ind w:right="1999" w:firstLine="8"/>
        <w:spacing w:after="0" w:line="271" w:lineRule="auto"/>
        <w:tabs>
          <w:tab w:leader="none" w:pos="632"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occur any merger of another Person into the Company whereby the Common Stock is cancelled, converted or reclassified into or exchanged for other securities, cash or property (in any such case, a "FUNDAMENTAL TRANSACTION"), then, as a condition to the consummation of such Fundamental Transaction, the Company shall (or, in the case of any Fundamental Transaction in which the Company is not the surviving entity, the Company shall take all reasonable steps to cause such other Person to) execute and deliver to each Holder of Warrants a written instrument providing that:</w:t>
      </w:r>
    </w:p>
    <w:p>
      <w:pPr>
        <w:spacing w:after="0" w:line="185" w:lineRule="exact"/>
        <w:rPr>
          <w:rFonts w:ascii="Courier New" w:cs="Courier New" w:eastAsia="Courier New" w:hAnsi="Courier New"/>
          <w:sz w:val="16"/>
          <w:szCs w:val="16"/>
          <w:color w:val="auto"/>
        </w:rPr>
      </w:pPr>
    </w:p>
    <w:p>
      <w:pPr>
        <w:ind w:right="1779" w:firstLine="1904"/>
        <w:spacing w:after="0" w:line="237" w:lineRule="auto"/>
        <w:tabs>
          <w:tab w:leader="none" w:pos="2318" w:val="left"/>
        </w:tabs>
        <w:numPr>
          <w:ilvl w:val="2"/>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any Warrant remains outstanding on such terms and subject to such conditions as shall be nearly equivalent as may be practicable to the provisions set forth in this Warrant, each Warrant, upon the exercise thereof at any time on or after the consummation of such Fundamental Transaction, shall be exercisable into, in lieu of Common Stock issuable upon such exercise prior to such consummation, the securities or other property (the "SUBSTITUTED PROPERTY") that would have been received in connection with such Fundamental Transaction by a holder of the number of shares of Common Stock into which such Warrant was exercisable immediately prior to such Fundamental Transaction, assuming such holder of Common Stock:</w:t>
      </w:r>
    </w:p>
    <w:p>
      <w:pPr>
        <w:spacing w:after="0" w:line="214" w:lineRule="exact"/>
        <w:rPr>
          <w:rFonts w:ascii="Courier New" w:cs="Courier New" w:eastAsia="Courier New" w:hAnsi="Courier New"/>
          <w:sz w:val="18"/>
          <w:szCs w:val="18"/>
          <w:color w:val="auto"/>
        </w:rPr>
      </w:pPr>
    </w:p>
    <w:p>
      <w:pPr>
        <w:ind w:left="2960" w:hanging="424"/>
        <w:spacing w:after="0"/>
        <w:tabs>
          <w:tab w:leader="none" w:pos="2960" w:val="left"/>
        </w:tabs>
        <w:numPr>
          <w:ilvl w:val="3"/>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 not a Person with which the Company consolidated</w:t>
      </w:r>
    </w:p>
    <w:p>
      <w:pPr>
        <w:spacing w:after="0" w:line="21" w:lineRule="exact"/>
        <w:rPr>
          <w:rFonts w:ascii="Courier New" w:cs="Courier New" w:eastAsia="Courier New" w:hAnsi="Courier New"/>
          <w:sz w:val="16"/>
          <w:szCs w:val="16"/>
          <w:color w:val="auto"/>
        </w:rPr>
      </w:pPr>
    </w:p>
    <w:p>
      <w:pPr>
        <w:ind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into which the Company merged or which merged into the Company or to which such sale or transfer was made, as the case may be (a "CONSTITUENT PERSON"), or an Affiliate of a Constituent Person;</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514" w:right="1440" w:bottom="1440" w:gutter="0" w:footer="0" w:header="0"/>
        </w:sectPr>
      </w:pPr>
    </w:p>
    <w:bookmarkStart w:id="42" w:name="page43"/>
    <w:bookmarkEnd w:id="42"/>
    <w:p>
      <w:pPr>
        <w:ind w:left="3380"/>
        <w:spacing w:after="0"/>
        <w:rPr>
          <w:sz w:val="20"/>
          <w:szCs w:val="20"/>
          <w:color w:val="auto"/>
        </w:rPr>
      </w:pPr>
      <w:r>
        <w:rPr>
          <w:rFonts w:ascii="Courier New" w:cs="Courier New" w:eastAsia="Courier New" w:hAnsi="Courier New"/>
          <w:sz w:val="18"/>
          <w:szCs w:val="18"/>
          <w:color w:val="auto"/>
        </w:rPr>
        <w:t>[FORM OF WARRANT]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w:t>
      </w:r>
    </w:p>
    <w:p>
      <w:pPr>
        <w:spacing w:after="0" w:line="207" w:lineRule="exact"/>
        <w:rPr>
          <w:sz w:val="20"/>
          <w:szCs w:val="20"/>
          <w:color w:val="auto"/>
        </w:rPr>
      </w:pPr>
    </w:p>
    <w:p>
      <w:pPr>
        <w:ind w:left="2960" w:hanging="424"/>
        <w:spacing w:after="0"/>
        <w:tabs>
          <w:tab w:leader="none" w:pos="2960"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failed to exercise such Holder's rights of election,</w:t>
      </w:r>
    </w:p>
    <w:p>
      <w:pPr>
        <w:spacing w:after="0" w:line="21" w:lineRule="exact"/>
        <w:rPr>
          <w:rFonts w:ascii="Courier New" w:cs="Courier New" w:eastAsia="Courier New" w:hAnsi="Courier New"/>
          <w:sz w:val="16"/>
          <w:szCs w:val="16"/>
          <w:color w:val="auto"/>
        </w:rPr>
      </w:pPr>
    </w:p>
    <w:p>
      <w:pPr>
        <w:ind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if any, as to the kind or amount of securities, cash and other property receivable in connection with such Fundamental Transaction (provided, however, that if the kind or amount of securities, cash or other property receivable in connection with such Fundamental Transaction is not the same for each share of Common Stock held immediately prior to such Fundamental Transaction by a Person other than a Constituent Person or an Affiliate thereof and in respect of which such rights of election shall not have been exercised (a "NON-ELECTING SHARE"), then, for the purposes of this Section 9(f), the kind and amount of securities, cash and other property receivable in connection with such Fundamental Transaction by each Non-Electing Share shall be deemed to be the kind and amount so receivable per share by a plurality of the Non-Electing Shares); and</w:t>
      </w:r>
    </w:p>
    <w:p>
      <w:pPr>
        <w:spacing w:after="0" w:line="391" w:lineRule="exact"/>
        <w:rPr>
          <w:rFonts w:ascii="Courier New" w:cs="Courier New" w:eastAsia="Courier New" w:hAnsi="Courier New"/>
          <w:sz w:val="16"/>
          <w:szCs w:val="16"/>
          <w:color w:val="auto"/>
        </w:rPr>
      </w:pPr>
    </w:p>
    <w:p>
      <w:pPr>
        <w:ind w:right="2099" w:firstLine="1904"/>
        <w:spacing w:after="0" w:line="237" w:lineRule="auto"/>
        <w:tabs>
          <w:tab w:leader="none" w:pos="231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and obligations of the Company (or, in the event of a transaction in which the Company is not the surviving Person, such other Person) and the Holders in respect of Substituted Property shall be as nearly equivalent as may be practicable to the rights and obligations of the Company and Holders in respect of Common Stock hereunder.</w:t>
      </w:r>
    </w:p>
    <w:p>
      <w:pPr>
        <w:spacing w:after="0" w:line="209" w:lineRule="exact"/>
        <w:rPr>
          <w:sz w:val="20"/>
          <w:szCs w:val="20"/>
          <w:color w:val="auto"/>
        </w:rPr>
      </w:pPr>
    </w:p>
    <w:p>
      <w:pPr>
        <w:ind w:right="1879" w:firstLine="1264"/>
        <w:spacing w:after="0" w:line="237" w:lineRule="auto"/>
        <w:rPr>
          <w:sz w:val="20"/>
          <w:szCs w:val="20"/>
          <w:color w:val="auto"/>
        </w:rPr>
      </w:pPr>
      <w:r>
        <w:rPr>
          <w:rFonts w:ascii="Courier New" w:cs="Courier New" w:eastAsia="Courier New" w:hAnsi="Courier New"/>
          <w:sz w:val="18"/>
          <w:szCs w:val="18"/>
          <w:color w:val="auto"/>
        </w:rPr>
        <w:t>Such written instrument shall provide for adjustments which, for events subsequent to the effective date of such written instrument, shall be as nearly equivalent as may be practicable to the adjustments provided for in Section 9. The above provisions of this Section 9(f) shall similarly apply to successive Fundamental Transactions.</w:t>
      </w:r>
    </w:p>
    <w:p>
      <w:pPr>
        <w:spacing w:after="0" w:line="209" w:lineRule="exact"/>
        <w:rPr>
          <w:sz w:val="20"/>
          <w:szCs w:val="20"/>
          <w:color w:val="auto"/>
        </w:rPr>
      </w:pPr>
    </w:p>
    <w:p>
      <w:pPr>
        <w:ind w:right="1779" w:firstLine="1272"/>
        <w:spacing w:after="0" w:line="271" w:lineRule="auto"/>
        <w:tabs>
          <w:tab w:leader="none" w:pos="168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Adjustment of Exercise Price. Simultaneously with any adjustment to the Exercise Price pursuant to paragraphs (a) through (e) of this Section 9, the number of Warrant Shares that may be purchased upon exercise of this Warrant shall be increased or decreased proportionately, so that after such adjustment the aggregate Exercise Price payable hereunder for the increased or decreased number of Warrant Shares shall be the same as the aggregate Exercise Price payable for the Warrant Shares immediately prior to such adjustment.</w:t>
      </w:r>
    </w:p>
    <w:p>
      <w:pPr>
        <w:spacing w:after="0" w:line="187" w:lineRule="exact"/>
        <w:rPr>
          <w:rFonts w:ascii="Courier New" w:cs="Courier New" w:eastAsia="Courier New" w:hAnsi="Courier New"/>
          <w:sz w:val="16"/>
          <w:szCs w:val="16"/>
          <w:color w:val="auto"/>
        </w:rPr>
      </w:pPr>
    </w:p>
    <w:p>
      <w:pPr>
        <w:ind w:right="1779" w:firstLine="1272"/>
        <w:spacing w:after="0" w:line="273" w:lineRule="auto"/>
        <w:tabs>
          <w:tab w:leader="none" w:pos="1685"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Calculations. All calculations under this Section 9 shall be made to the nearest cent or the nearest 1/100th of a share, as applicable. The number of shares of Common Stock outstanding at any given time shall not include shares owned or held by or for the account of the Company, and the disposition of any such shares shall be considered an issue or sale of Common Stock.</w:t>
      </w:r>
    </w:p>
    <w:p>
      <w:pPr>
        <w:spacing w:after="0" w:line="184" w:lineRule="exact"/>
        <w:rPr>
          <w:rFonts w:ascii="Courier New" w:cs="Courier New" w:eastAsia="Courier New" w:hAnsi="Courier New"/>
          <w:sz w:val="16"/>
          <w:szCs w:val="16"/>
          <w:color w:val="auto"/>
        </w:rPr>
      </w:pPr>
    </w:p>
    <w:p>
      <w:pPr>
        <w:ind w:right="1779" w:firstLine="1272"/>
        <w:spacing w:after="0" w:line="237" w:lineRule="auto"/>
        <w:tabs>
          <w:tab w:leader="none" w:pos="168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Adjustments. Notwithstanding any provision of this Section 9, no adjustment of the Exercise Price shall be required if such adjustment is less than $0.01; provided, however, that any adjustments which by reason of this Section 9(i) are not required to be made shall be carried forward and taken into account for purposes of any subsequent adjustment.</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 of Adjustments. Upon the occurrence of each adjustment pursuant to this Section 9, the Company will promptly deliver to the Holder a certificate executed by the Company's Chief Financial Officer setting forth, in reasonable detail, the event requiring such adjustment and the method by which such adjustment was calculated, the adjusted Exercise Price and the adjusted number or type of Warrant Shares or other securities issuable upon exercise of this Warrant (as applicable). The Company will retain at its office copies of all such certificates</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514" w:right="1440" w:bottom="1440" w:gutter="0" w:footer="0" w:header="0"/>
        </w:sectPr>
      </w:pPr>
    </w:p>
    <w:bookmarkStart w:id="43" w:name="page44"/>
    <w:bookmarkEnd w:id="43"/>
    <w:p>
      <w:pPr>
        <w:jc w:val="center"/>
        <w:ind w:right="1659"/>
        <w:spacing w:after="0"/>
        <w:rPr>
          <w:sz w:val="20"/>
          <w:szCs w:val="20"/>
          <w:color w:val="auto"/>
        </w:rPr>
      </w:pPr>
      <w:r>
        <w:rPr>
          <w:rFonts w:ascii="Courier New" w:cs="Courier New" w:eastAsia="Courier New" w:hAnsi="Courier New"/>
          <w:sz w:val="18"/>
          <w:szCs w:val="18"/>
          <w:color w:val="auto"/>
        </w:rPr>
        <w:t>[FORM OF WARRANT]</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and cause the same to be available for inspection at said office during normal business hours by the Holder or any prospective purchaser of the Warrant designated by the Holder.</w:t>
      </w:r>
    </w:p>
    <w:p>
      <w:pPr>
        <w:spacing w:after="0" w:line="209" w:lineRule="exact"/>
        <w:rPr>
          <w:sz w:val="20"/>
          <w:szCs w:val="20"/>
          <w:color w:val="auto"/>
        </w:rPr>
      </w:pPr>
    </w:p>
    <w:p>
      <w:pPr>
        <w:ind w:right="1779" w:firstLine="1272"/>
        <w:spacing w:after="0" w:line="269" w:lineRule="auto"/>
        <w:tabs>
          <w:tab w:leader="none" w:pos="1685"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of Corporate Events. If the Company (i) declares a dividend or any other distribution of cash, securities or other property in respect of its Common Stock, including, without limitation, any granting of rights or warrants to subscribe for or purchase any capital stock of the Company or any subsidiary of the Company, (ii) authorizes, approves, enters into any agreement contemplating, or solicits stockholder approval for, any Fundamental Transaction or (iii) authorizes the voluntary dissolution, liquidation or winding up of the affairs of the Company, then the Company shall deliver to the Holder a notice describing the material terms and conditions of such transaction at least 15 calendar days prior to the applicable record or effective date on which a Person would need to hold Common Stock in order to participate in or vote with respect to such transaction, and the Company will take all steps reasonably necessary in order to ensure that the Holder is given the practical opportunity to exercise this Warrant prior to such time so as to participate in or vote with respect to such transaction; provided, however, that the failure to deliver such notice or any defect therein shall not affect the validity of the corporate action required to be described in such notice.</w:t>
      </w:r>
    </w:p>
    <w:p>
      <w:pPr>
        <w:spacing w:after="0" w:line="395" w:lineRule="exact"/>
        <w:rPr>
          <w:rFonts w:ascii="Courier New" w:cs="Courier New" w:eastAsia="Courier New" w:hAnsi="Courier New"/>
          <w:sz w:val="16"/>
          <w:szCs w:val="16"/>
          <w:color w:val="auto"/>
        </w:rPr>
      </w:pPr>
    </w:p>
    <w:p>
      <w:pPr>
        <w:ind w:right="1779" w:firstLine="640"/>
        <w:spacing w:after="0" w:line="237" w:lineRule="auto"/>
        <w:tabs>
          <w:tab w:leader="none" w:pos="105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Fractional Shares. The Company shall not be required to issue or cause to be issued fractional Warrant Shares on the exercise of this Warrant. If any fraction of a Warrant Share would, except for the provisions of this Section, be issuable upon exercise of this Warrant, the Company shall make a cash payment to the Holder equal to (a) such fraction multiplied by (b) the Market Price on the Exercise Date of one full Warrant Share.</w:t>
      </w:r>
    </w:p>
    <w:p>
      <w:pPr>
        <w:spacing w:after="0" w:line="209"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Restricted Securities. The Holder represents and warrants that it (i) understands that the Warrant and the Warrant Shares have not been registered under the Securities Act and (ii) understands the restrictions set forth on the legend printed on the face of this Warrant.</w:t>
      </w:r>
    </w:p>
    <w:p>
      <w:pPr>
        <w:spacing w:after="0" w:line="207"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on Securities Exchanges. In furtherance and not in limitation of any other provision of this Warrant, if the Company at any time shall list any Common Stock on any Eligible Market, the Company will, at its expense, simultaneously list the Warrant Shares (and maintain such listing) on such Eligible Market, upon official notice of issuance following the exercise of this Warrant; and the Company will so list, register and maintain such listing on any Eligible Market any Other Securities, if and at the time that any securities of like class or similar type shall be listed on such Eligible Market by the Company.</w:t>
      </w:r>
    </w:p>
    <w:p>
      <w:pPr>
        <w:spacing w:after="0" w:line="213" w:lineRule="exact"/>
        <w:rPr>
          <w:rFonts w:ascii="Courier New" w:cs="Courier New" w:eastAsia="Courier New" w:hAnsi="Courier New"/>
          <w:sz w:val="18"/>
          <w:szCs w:val="18"/>
          <w:color w:val="auto"/>
        </w:rPr>
      </w:pPr>
    </w:p>
    <w:p>
      <w:pPr>
        <w:ind w:right="1879" w:firstLine="640"/>
        <w:spacing w:after="0" w:line="237" w:lineRule="auto"/>
        <w:tabs>
          <w:tab w:leader="none" w:pos="105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Remedies. The Company stipulates that the remedies at law of the Holder of this Warrant in the event of any default or threatened default by the Company in the performance of or compliance with any of the terms of this Warrant are not and will not be adequate, and that such terms may be specifically enforced by a decree for the specific performance of any agreement contained herein or by an injunction against a violation of any of the terms hereof or otherwise.</w:t>
      </w:r>
    </w:p>
    <w:p>
      <w:pPr>
        <w:spacing w:after="0" w:line="211"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Any and all notices or other communications or deliveries hereunder (including without limitation any Exercise Notice) shall be in writing and shall be mailed by certified mail, return receipt requested, or by a nationally recognized courier service or delivered (in person or by facsimile), against receipt to the party to whom such notice or other</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514" w:right="1440" w:bottom="1440" w:gutter="0" w:footer="0" w:header="0"/>
        </w:sectPr>
      </w:pPr>
    </w:p>
    <w:bookmarkStart w:id="44" w:name="page45"/>
    <w:bookmarkEnd w:id="44"/>
    <w:p>
      <w:pPr>
        <w:ind w:left="3380"/>
        <w:spacing w:after="0"/>
        <w:rPr>
          <w:sz w:val="20"/>
          <w:szCs w:val="20"/>
          <w:color w:val="auto"/>
        </w:rPr>
      </w:pPr>
      <w:r>
        <w:rPr>
          <w:rFonts w:ascii="Courier New" w:cs="Courier New" w:eastAsia="Courier New" w:hAnsi="Courier New"/>
          <w:sz w:val="18"/>
          <w:szCs w:val="18"/>
          <w:color w:val="auto"/>
        </w:rPr>
        <w:t>[FORM OF WARRANT]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communication is to be given. The address for such notices or communications shall be as set forth in the Purchase Agreement entered into by the Holder and the Company. Any notice or other communication given by means permitted by this Section 13 shall be deemed given at the time of receipt thereof.</w:t>
      </w:r>
    </w:p>
    <w:p>
      <w:pPr>
        <w:spacing w:after="0" w:line="207" w:lineRule="exact"/>
        <w:rPr>
          <w:sz w:val="20"/>
          <w:szCs w:val="20"/>
          <w:color w:val="auto"/>
        </w:rPr>
      </w:pPr>
    </w:p>
    <w:p>
      <w:pPr>
        <w:ind w:right="1779" w:firstLine="640"/>
        <w:spacing w:after="0" w:line="237" w:lineRule="auto"/>
        <w:tabs>
          <w:tab w:leader="none" w:pos="105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 Agent. The Company shall serve as warrant agent under this Warrant. Upon 30 days' notice to the Holder, the Company may appoint a new warrant agent. Any Person into which any new warrant agent may be merged, any Person resulting from any consolidation to which any new warrant agent shall be a party or any Person to which any new warrant agent transfers substantially all of its corporate trust or shareholders services business shall be a successor warrant agent under this Warrant without any further act. Any such successor warrant agent shall promptly cause notice of its succession as warrant agent to be mailed (by first class mail, postage prepaid) to the Holder at the Holder's last address as shown on the Warrant Register.</w:t>
      </w:r>
    </w:p>
    <w:p>
      <w:pPr>
        <w:spacing w:after="0" w:line="214" w:lineRule="exact"/>
        <w:rPr>
          <w:rFonts w:ascii="Courier New" w:cs="Courier New" w:eastAsia="Courier New" w:hAnsi="Courier New"/>
          <w:sz w:val="18"/>
          <w:szCs w:val="18"/>
          <w:color w:val="auto"/>
        </w:rPr>
      </w:pPr>
    </w:p>
    <w:p>
      <w:pPr>
        <w:ind w:right="1779" w:firstLine="640"/>
        <w:spacing w:after="0" w:line="237" w:lineRule="auto"/>
        <w:tabs>
          <w:tab w:leader="none" w:pos="105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 (a) This Warrant may be assigned by the Holder. This Warrant may not be assigned by the Company, except to a successor in the event of a Fundamental Transaction. This Warrant shall be binding on and inure to the benefit of the parties hereto and their respective successors and assigns. Subject to the preceding sentence, nothing in this Warrant shall be construed to give to any Person other than the Company and the Holder any legal or equitable right, remedy or cause of action under this Warrant. This Warrant may be amended only in writing signed by the Company and the Holder and their successors and assigns.</w:t>
      </w:r>
    </w:p>
    <w:p>
      <w:pPr>
        <w:spacing w:after="0" w:line="213" w:lineRule="exact"/>
        <w:rPr>
          <w:rFonts w:ascii="Courier New" w:cs="Courier New" w:eastAsia="Courier New" w:hAnsi="Courier New"/>
          <w:sz w:val="18"/>
          <w:szCs w:val="18"/>
          <w:color w:val="auto"/>
        </w:rPr>
      </w:pPr>
    </w:p>
    <w:p>
      <w:pPr>
        <w:ind w:right="1779" w:firstLine="1272"/>
        <w:spacing w:after="0" w:line="270" w:lineRule="auto"/>
        <w:tabs>
          <w:tab w:leader="none" w:pos="1685"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not, by amendment of its governing documents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 as may be necessary or appropriate in order to protect the rights of the Holder against impairment. Without limiting the generality of the foregoing, the Company (i) will not increase the par value of any Warrant Shares above the amount payable therefor upon exercise thereof, (ii) will take all such action as may be reasonably necessary or appropriate in order that the Company may validly and legally issue fully paid and nonassessable Warrant Shares on the exercise of this Warrant, free from all taxes, liens, claims and encumbrances and (iii) will not close its shareholder books or records in any manner which interferes with the timely exercise of this Warrant.</w:t>
      </w:r>
    </w:p>
    <w:p>
      <w:pPr>
        <w:spacing w:after="0" w:line="387" w:lineRule="exact"/>
        <w:rPr>
          <w:rFonts w:ascii="Courier New" w:cs="Courier New" w:eastAsia="Courier New" w:hAnsi="Courier New"/>
          <w:sz w:val="16"/>
          <w:szCs w:val="16"/>
          <w:color w:val="auto"/>
        </w:rPr>
      </w:pPr>
    </w:p>
    <w:p>
      <w:pPr>
        <w:ind w:right="1779" w:firstLine="1272"/>
        <w:spacing w:after="0" w:line="270" w:lineRule="auto"/>
        <w:tabs>
          <w:tab w:leader="none" w:pos="1685"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Warrant shall be governed by and construed and enforced in accordance with the laws of the State of New York without regard to conflicts of laws principles thereof.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the Securities Purchase Agreement), and hereby irrevocably waives, and agrees not to assert any suit, action or proceeding, any claim that it is not personally subject to the jurisdiction of any such court, that such suit, action or proceeding is improper. Each party hereby irrevocably waives personal service of process and consents to process being served in any such suit, action or proceeding by</w:t>
      </w:r>
    </w:p>
    <w:p>
      <w:pPr>
        <w:spacing w:after="0" w:line="200" w:lineRule="exact"/>
        <w:rPr>
          <w:sz w:val="20"/>
          <w:szCs w:val="20"/>
          <w:color w:val="auto"/>
        </w:rPr>
      </w:pPr>
    </w:p>
    <w:p>
      <w:pPr>
        <w:spacing w:after="0" w:line="38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514" w:right="1440" w:bottom="1440" w:gutter="0" w:footer="0" w:header="0"/>
        </w:sectPr>
      </w:pPr>
    </w:p>
    <w:bookmarkStart w:id="45" w:name="page46"/>
    <w:bookmarkEnd w:id="45"/>
    <w:p>
      <w:pPr>
        <w:ind w:left="3380"/>
        <w:spacing w:after="0"/>
        <w:rPr>
          <w:sz w:val="20"/>
          <w:szCs w:val="20"/>
          <w:color w:val="auto"/>
        </w:rPr>
      </w:pPr>
      <w:r>
        <w:rPr>
          <w:rFonts w:ascii="Courier New" w:cs="Courier New" w:eastAsia="Courier New" w:hAnsi="Courier New"/>
          <w:sz w:val="18"/>
          <w:szCs w:val="18"/>
          <w:color w:val="auto"/>
        </w:rPr>
        <w:t>[FORM OF WARRANT]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mailing a copy thereof via registered or certified mail or overnight delivery (with evidence of delivery) to such party at the address in effect for notices to it under this Warrant and agrees that such service shall constitute good and sufficient service of process and notice thereof. Nothing contained herein shall be deemed to limit in any way any right to serve process in any manner permitted by law. THE PARTIES HEREBY WAIVE ALL RIGHTS TO A TRIAL BY JURY.</w:t>
      </w:r>
    </w:p>
    <w:p>
      <w:pPr>
        <w:spacing w:after="0" w:line="210" w:lineRule="exact"/>
        <w:rPr>
          <w:sz w:val="20"/>
          <w:szCs w:val="20"/>
          <w:color w:val="auto"/>
        </w:rPr>
      </w:pPr>
    </w:p>
    <w:p>
      <w:pPr>
        <w:ind w:right="1779" w:firstLine="1272"/>
        <w:spacing w:after="0" w:line="237" w:lineRule="auto"/>
        <w:tabs>
          <w:tab w:leader="none" w:pos="168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party shall be deemed in default of any provision of this Warrant, to the extent that performance of its obligations or attempts to cure a breach hereof are delayed or prevented by any event reasonably beyond the control of such party, including, without limitation, war, hostilities, acts of terrorism, revolution, riot, civil commotion, national emergency, strike, lockout, unavailability of supplies, epidemic, fire, flood, earthquake, force of nature, explosion, embargo, or any other Act of God, or any law, proclamation, regulation, ordinance, or other act or order of any court, government or governmental agency, provided that such party gives the other party written notice thereof promptly upon discovery thereof and uses reasonable efforts to cure or mitigate the delay or failure to perform.</w:t>
      </w:r>
    </w:p>
    <w:p>
      <w:pPr>
        <w:spacing w:after="0" w:line="215" w:lineRule="exact"/>
        <w:rPr>
          <w:rFonts w:ascii="Courier New" w:cs="Courier New" w:eastAsia="Courier New" w:hAnsi="Courier New"/>
          <w:sz w:val="18"/>
          <w:szCs w:val="18"/>
          <w:color w:val="auto"/>
        </w:rPr>
      </w:pPr>
    </w:p>
    <w:p>
      <w:pPr>
        <w:ind w:right="1879" w:firstLine="1272"/>
        <w:spacing w:after="0" w:line="236" w:lineRule="auto"/>
        <w:tabs>
          <w:tab w:leader="none" w:pos="168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headings herein are for convenience only, do not constitute a part of this Warrant and shall not be deemed to limit or affect any of the provisions hereof.</w:t>
      </w:r>
    </w:p>
    <w:p>
      <w:pPr>
        <w:spacing w:after="0" w:line="208" w:lineRule="exact"/>
        <w:rPr>
          <w:rFonts w:ascii="Courier New" w:cs="Courier New" w:eastAsia="Courier New" w:hAnsi="Courier New"/>
          <w:sz w:val="18"/>
          <w:szCs w:val="18"/>
          <w:color w:val="auto"/>
        </w:rPr>
      </w:pPr>
    </w:p>
    <w:p>
      <w:pPr>
        <w:ind w:right="1879" w:firstLine="1272"/>
        <w:spacing w:after="0" w:line="237" w:lineRule="auto"/>
        <w:tabs>
          <w:tab w:leader="none" w:pos="1685"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any one or more of the provisions of this Warrant shall be deemed invalid or unenforceable in any respect, the validity and enforceability of the remaining terms and provisions of this Warrant shall not in any way be affected or impaired thereby and the parties will attempt in good faith to agree upon a valid and enforceable provision which shall be a commercially reasonable substitute therefor, and upon so agreeing, shall incorporate such substitute provision in this Warrant.</w:t>
      </w:r>
    </w:p>
    <w:p>
      <w:pPr>
        <w:spacing w:after="0" w:line="205"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[REMAINDER OF PAGE INTENTIONALLY LEFT BLANK,</w:t>
      </w:r>
    </w:p>
    <w:p>
      <w:pPr>
        <w:jc w:val="center"/>
        <w:ind w:right="1659"/>
        <w:spacing w:after="0" w:line="238" w:lineRule="auto"/>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514" w:right="1440" w:bottom="1440" w:gutter="0" w:footer="0" w:header="0"/>
        </w:sectPr>
      </w:pPr>
    </w:p>
    <w:bookmarkStart w:id="46" w:name="page47"/>
    <w:bookmarkEnd w:id="46"/>
    <w:p>
      <w:pPr>
        <w:ind w:left="3380"/>
        <w:spacing w:after="0"/>
        <w:rPr>
          <w:sz w:val="20"/>
          <w:szCs w:val="20"/>
          <w:color w:val="auto"/>
        </w:rPr>
      </w:pPr>
      <w:r>
        <w:rPr>
          <w:rFonts w:ascii="Courier New" w:cs="Courier New" w:eastAsia="Courier New" w:hAnsi="Courier New"/>
          <w:sz w:val="18"/>
          <w:szCs w:val="18"/>
          <w:color w:val="auto"/>
        </w:rPr>
        <w:t>[FORM OF WARRANT]</w:t>
      </w:r>
    </w:p>
    <w:p>
      <w:pPr>
        <w:spacing w:after="0" w:line="207" w:lineRule="exact"/>
        <w:rPr>
          <w:sz w:val="20"/>
          <w:szCs w:val="20"/>
          <w:color w:val="auto"/>
        </w:rPr>
      </w:pPr>
    </w:p>
    <w:p>
      <w:pPr>
        <w:jc w:val="both"/>
        <w:ind w:right="2619" w:firstLine="632"/>
        <w:spacing w:after="0" w:line="290" w:lineRule="auto"/>
        <w:rPr>
          <w:sz w:val="20"/>
          <w:szCs w:val="20"/>
          <w:color w:val="auto"/>
        </w:rPr>
      </w:pPr>
      <w:r>
        <w:rPr>
          <w:rFonts w:ascii="Courier New" w:cs="Courier New" w:eastAsia="Courier New" w:hAnsi="Courier New"/>
          <w:sz w:val="16"/>
          <w:szCs w:val="16"/>
          <w:color w:val="auto"/>
        </w:rPr>
        <w:t>IN WITNESS WHEREOF, the Company has caused this Warrant to be duly executed by its authorized officer as of the date first indicated above.</w:t>
      </w:r>
    </w:p>
    <w:p>
      <w:pPr>
        <w:spacing w:after="0" w:line="164" w:lineRule="exact"/>
        <w:rPr>
          <w:sz w:val="20"/>
          <w:szCs w:val="20"/>
          <w:color w:val="auto"/>
        </w:rPr>
      </w:pPr>
    </w:p>
    <w:p>
      <w:pPr>
        <w:jc w:val="center"/>
        <w:ind w:right="399"/>
        <w:spacing w:after="0"/>
        <w:rPr>
          <w:sz w:val="20"/>
          <w:szCs w:val="20"/>
          <w:color w:val="auto"/>
        </w:rPr>
      </w:pPr>
      <w:r>
        <w:rPr>
          <w:rFonts w:ascii="Courier New" w:cs="Courier New" w:eastAsia="Courier New" w:hAnsi="Courier New"/>
          <w:sz w:val="18"/>
          <w:szCs w:val="18"/>
          <w:color w:val="auto"/>
        </w:rPr>
        <w:t>STEMCELLS, INC.</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By:______________________________________</w:t>
      </w: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Name:</w:t>
      </w:r>
    </w:p>
    <w:p>
      <w:pPr>
        <w:ind w:left="4440"/>
        <w:spacing w:after="0" w:line="238" w:lineRule="auto"/>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10219"/>
          </w:cols>
          <w:pgMar w:left="240" w:top="514" w:right="1440" w:bottom="1440" w:gutter="0" w:footer="0" w:header="0"/>
        </w:sectPr>
      </w:pPr>
    </w:p>
    <w:bookmarkStart w:id="47" w:name="page48"/>
    <w:bookmarkEnd w:id="47"/>
    <w:p>
      <w:pPr>
        <w:ind w:left="3380"/>
        <w:spacing w:after="0"/>
        <w:rPr>
          <w:sz w:val="20"/>
          <w:szCs w:val="20"/>
          <w:color w:val="auto"/>
        </w:rPr>
      </w:pPr>
      <w:r>
        <w:rPr>
          <w:rFonts w:ascii="Courier New" w:cs="Courier New" w:eastAsia="Courier New" w:hAnsi="Courier New"/>
          <w:sz w:val="18"/>
          <w:szCs w:val="18"/>
          <w:color w:val="auto"/>
        </w:rPr>
        <w:t>[FORM OF WARRANT]</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APPENDIX A</w:t>
      </w:r>
    </w:p>
    <w:p>
      <w:pPr>
        <w:spacing w:after="0" w:line="20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OF ASSIGNMENT</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(to be completed and signed only upon transfer of Warrant)</w:t>
      </w:r>
    </w:p>
    <w:p>
      <w:pPr>
        <w:spacing w:after="0" w:line="207" w:lineRule="exact"/>
        <w:rPr>
          <w:sz w:val="20"/>
          <w:szCs w:val="20"/>
          <w:color w:val="auto"/>
        </w:rPr>
      </w:pPr>
    </w:p>
    <w:p>
      <w:pPr>
        <w:ind w:right="2099" w:firstLine="632"/>
        <w:spacing w:after="0" w:line="268" w:lineRule="auto"/>
        <w:rPr>
          <w:sz w:val="20"/>
          <w:szCs w:val="20"/>
          <w:color w:val="auto"/>
        </w:rPr>
      </w:pPr>
      <w:r>
        <w:rPr>
          <w:rFonts w:ascii="Courier New" w:cs="Courier New" w:eastAsia="Courier New" w:hAnsi="Courier New"/>
          <w:sz w:val="16"/>
          <w:szCs w:val="16"/>
          <w:color w:val="auto"/>
        </w:rPr>
        <w:t>FOR VALUE RECEIVED, the undersigned hereby sells, assigns and transfers unto ________________________________________ the right represented by the</w:t>
      </w:r>
    </w:p>
    <w:p>
      <w:pPr>
        <w:spacing w:after="0" w:line="233" w:lineRule="auto"/>
        <w:rPr>
          <w:sz w:val="20"/>
          <w:szCs w:val="20"/>
          <w:color w:val="auto"/>
        </w:rPr>
      </w:pPr>
      <w:r>
        <w:rPr>
          <w:rFonts w:ascii="Courier New" w:cs="Courier New" w:eastAsia="Courier New" w:hAnsi="Courier New"/>
          <w:sz w:val="18"/>
          <w:szCs w:val="18"/>
          <w:color w:val="auto"/>
        </w:rPr>
        <w:t>within Warrant to purchase _____________ shares of Common Stock of StemCells,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 to which the within warrant relates and appoints __________________________</w:t>
      </w:r>
    </w:p>
    <w:p>
      <w:pPr>
        <w:spacing w:after="0" w:line="21"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attorney to transfer said right on the books of StemCells, Inc. with full power of substitution in the premises.</w:t>
      </w:r>
    </w:p>
    <w:p>
      <w:pPr>
        <w:sectPr>
          <w:pgSz w:w="11900" w:h="16838" w:orient="portrait"/>
          <w:cols w:equalWidth="0" w:num="1">
            <w:col w:w="10219"/>
          </w:cols>
          <w:pgMar w:left="240" w:top="514" w:right="1440" w:bottom="1440" w:gutter="0" w:footer="0" w:header="0"/>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Dated:____________</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w:t>
      </w:r>
    </w:p>
    <w:p>
      <w:pPr>
        <w:spacing w:after="0" w:line="238" w:lineRule="auto"/>
        <w:rPr>
          <w:sz w:val="20"/>
          <w:szCs w:val="20"/>
          <w:color w:val="auto"/>
        </w:rPr>
      </w:pPr>
      <w:r>
        <w:rPr>
          <w:rFonts w:ascii="Courier New" w:cs="Courier New" w:eastAsia="Courier New" w:hAnsi="Courier New"/>
          <w:sz w:val="18"/>
          <w:szCs w:val="18"/>
          <w:color w:val="auto"/>
        </w:rPr>
        <w:t>(Signature must conform in all</w:t>
      </w:r>
    </w:p>
    <w:p>
      <w:pPr>
        <w:spacing w:after="0"/>
        <w:rPr>
          <w:sz w:val="20"/>
          <w:szCs w:val="20"/>
          <w:color w:val="auto"/>
        </w:rPr>
      </w:pPr>
      <w:r>
        <w:rPr>
          <w:rFonts w:ascii="Courier New" w:cs="Courier New" w:eastAsia="Courier New" w:hAnsi="Courier New"/>
          <w:sz w:val="18"/>
          <w:szCs w:val="18"/>
          <w:color w:val="auto"/>
        </w:rPr>
        <w:t>respects to name of Holder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specified on face of the Warrant)</w:t>
      </w:r>
    </w:p>
    <w:p>
      <w:pPr>
        <w:spacing w:after="0" w:line="200" w:lineRule="exact"/>
        <w:rPr>
          <w:sz w:val="20"/>
          <w:szCs w:val="20"/>
          <w:color w:val="auto"/>
        </w:rPr>
      </w:pPr>
    </w:p>
    <w:p>
      <w:pPr>
        <w:sectPr>
          <w:pgSz w:w="11900" w:h="16838" w:orient="portrait"/>
          <w:cols w:equalWidth="0" w:num="2">
            <w:col w:w="3820" w:space="720"/>
            <w:col w:w="5679"/>
          </w:cols>
          <w:pgMar w:left="240" w:top="514" w:right="1440" w:bottom="1440" w:gutter="0" w:footer="0" w:header="0"/>
          <w:type w:val="continuous"/>
        </w:sectPr>
      </w:pPr>
    </w:p>
    <w:p>
      <w:pPr>
        <w:spacing w:after="0" w:line="226"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Address of Transferee:</w:t>
      </w:r>
    </w:p>
    <w:p>
      <w:pPr>
        <w:spacing w:after="0" w:line="21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__________________</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__________________</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__________________</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the presence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w:t>
      </w:r>
    </w:p>
    <w:p>
      <w:pPr>
        <w:sectPr>
          <w:pgSz w:w="11900" w:h="16838" w:orient="portrait"/>
          <w:cols w:equalWidth="0" w:num="1">
            <w:col w:w="10219"/>
          </w:cols>
          <w:pgMar w:left="240" w:top="514" w:right="1440" w:bottom="1440" w:gutter="0" w:footer="0" w:header="0"/>
          <w:type w:val="continuous"/>
        </w:sectPr>
      </w:pPr>
    </w:p>
    <w:bookmarkStart w:id="48" w:name="page49"/>
    <w:bookmarkEnd w:id="48"/>
    <w:p>
      <w:pPr>
        <w:ind w:left="3380"/>
        <w:spacing w:after="0"/>
        <w:rPr>
          <w:sz w:val="20"/>
          <w:szCs w:val="20"/>
          <w:color w:val="auto"/>
        </w:rPr>
      </w:pPr>
      <w:r>
        <w:rPr>
          <w:rFonts w:ascii="Courier New" w:cs="Courier New" w:eastAsia="Courier New" w:hAnsi="Courier New"/>
          <w:sz w:val="18"/>
          <w:szCs w:val="18"/>
          <w:color w:val="auto"/>
        </w:rPr>
        <w:t>[FORM OF WARRANT]</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APPENDIX B</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OF EXERCISE NOTICE</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(To be executed by the Holder to exercise the right to purchase shares of Common Stock under the foregoing Warrant)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To:</w:t>
      </w:r>
      <w:r>
        <w:rPr>
          <w:sz w:val="20"/>
          <w:szCs w:val="20"/>
          <w:color w:val="auto"/>
        </w:rPr>
        <w:tab/>
      </w:r>
      <w:r>
        <w:rPr>
          <w:rFonts w:ascii="Courier New" w:cs="Courier New" w:eastAsia="Courier New" w:hAnsi="Courier New"/>
          <w:sz w:val="18"/>
          <w:szCs w:val="18"/>
          <w:color w:val="auto"/>
        </w:rPr>
        <w:t>StemCells, Inc.</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undersigned is the Holder of Warrant No. [ ] (the "Warrant") issued by StemCells, Inc., a Delaware corporation (the "Company"). Capitalized terms used herein and not otherwise defined have the respective meanings set forth in the Warrant.</w:t>
      </w:r>
    </w:p>
    <w:p>
      <w:pPr>
        <w:spacing w:after="0" w:line="202" w:lineRule="exact"/>
        <w:rPr>
          <w:sz w:val="20"/>
          <w:szCs w:val="20"/>
          <w:color w:val="auto"/>
        </w:rPr>
      </w:pPr>
    </w:p>
    <w:p>
      <w:pPr>
        <w:ind w:left="640" w:hanging="632"/>
        <w:spacing w:after="0"/>
        <w:tabs>
          <w:tab w:leader="none" w:pos="6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Warrant is currently exercisable to purchase a total of _________</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Warrant Shares.</w:t>
      </w:r>
    </w:p>
    <w:p>
      <w:pPr>
        <w:spacing w:after="0" w:line="207" w:lineRule="exact"/>
        <w:rPr>
          <w:rFonts w:ascii="Courier New" w:cs="Courier New" w:eastAsia="Courier New" w:hAnsi="Courier New"/>
          <w:sz w:val="18"/>
          <w:szCs w:val="18"/>
          <w:color w:val="auto"/>
        </w:rPr>
      </w:pPr>
    </w:p>
    <w:p>
      <w:pPr>
        <w:ind w:left="640" w:right="2319" w:hanging="632"/>
        <w:spacing w:after="0" w:line="235" w:lineRule="auto"/>
        <w:tabs>
          <w:tab w:leader="none" w:pos="6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Holder hereby exercises its right to purchase Warrant Shares pursuant to the Warrant.</w:t>
      </w:r>
    </w:p>
    <w:p>
      <w:pPr>
        <w:spacing w:after="0" w:line="208" w:lineRule="exact"/>
        <w:rPr>
          <w:rFonts w:ascii="Courier New" w:cs="Courier New" w:eastAsia="Courier New" w:hAnsi="Courier New"/>
          <w:sz w:val="18"/>
          <w:szCs w:val="18"/>
          <w:color w:val="auto"/>
        </w:rPr>
      </w:pPr>
    </w:p>
    <w:p>
      <w:pPr>
        <w:ind w:left="640" w:right="2199" w:hanging="632"/>
        <w:spacing w:after="0" w:line="235" w:lineRule="auto"/>
        <w:tabs>
          <w:tab w:leader="none" w:pos="64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Holder intends that payment of the Exercise Price shall be made as (check one):</w:t>
      </w:r>
    </w:p>
    <w:p>
      <w:pPr>
        <w:spacing w:after="0" w:line="203"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Cash Exercise_______</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Cashless Exercise_______</w:t>
      </w:r>
    </w:p>
    <w:p>
      <w:pPr>
        <w:spacing w:after="0" w:line="207" w:lineRule="exact"/>
        <w:rPr>
          <w:sz w:val="20"/>
          <w:szCs w:val="20"/>
          <w:color w:val="auto"/>
        </w:rPr>
      </w:pPr>
    </w:p>
    <w:p>
      <w:pPr>
        <w:ind w:left="640" w:right="1779" w:hanging="632"/>
        <w:spacing w:after="0" w:line="235" w:lineRule="auto"/>
        <w:tabs>
          <w:tab w:leader="none" w:pos="640"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Holder has elected a Cash Exercise, the Holder shall pay the sum of $________ to the Company in accordance with the terms of the Warrant.</w:t>
      </w:r>
    </w:p>
    <w:p>
      <w:pPr>
        <w:spacing w:after="0" w:line="208" w:lineRule="exact"/>
        <w:rPr>
          <w:rFonts w:ascii="Courier New" w:cs="Courier New" w:eastAsia="Courier New" w:hAnsi="Courier New"/>
          <w:sz w:val="18"/>
          <w:szCs w:val="18"/>
          <w:color w:val="auto"/>
        </w:rPr>
      </w:pPr>
    </w:p>
    <w:p>
      <w:pPr>
        <w:ind w:left="640" w:right="2099" w:hanging="632"/>
        <w:spacing w:after="0" w:line="268" w:lineRule="auto"/>
        <w:tabs>
          <w:tab w:leader="none" w:pos="64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Holder has elected a Cashless Exercise, a certificate shall be issued to the Holder for the number of shares equal to the whole number portion of the product of the calculation set forth below, which is</w:t>
      </w:r>
    </w:p>
    <w:p>
      <w:pPr>
        <w:ind w:left="640"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_______. The Company shall pay a cash adjustment in respect of the fractional portion of the product of the calculation set forth below in an amount equal to the product of the fractional portion of such product and the Market Price on the Exercise Day, which product is _______.</w:t>
      </w:r>
    </w:p>
    <w:p>
      <w:pPr>
        <w:spacing w:after="0" w:line="20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X = Y[(A-B)/A]</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X = the number of Warrant Shares to be issued to the Holder.</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Number of Warrant Shares being exercised:_____________ ("Y").</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Market Price on the Exercise Day:_____________ ("A").</w:t>
      </w:r>
    </w:p>
    <w:p>
      <w:pPr>
        <w:spacing w:after="0" w:line="20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Exercise Price:_____________ ("B")</w:t>
      </w:r>
    </w:p>
    <w:p>
      <w:pPr>
        <w:spacing w:after="0" w:line="207" w:lineRule="exact"/>
        <w:rPr>
          <w:sz w:val="20"/>
          <w:szCs w:val="20"/>
          <w:color w:val="auto"/>
        </w:rPr>
      </w:pPr>
    </w:p>
    <w:p>
      <w:pPr>
        <w:ind w:left="640" w:right="1779" w:hanging="632"/>
        <w:spacing w:after="0" w:line="235" w:lineRule="auto"/>
        <w:tabs>
          <w:tab w:leader="none" w:pos="64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this exercise, the Company shall deliver to the Holder Warrant Shares in accordance with the terms of the Warrant.</w:t>
      </w:r>
    </w:p>
    <w:p>
      <w:pPr>
        <w:sectPr>
          <w:pgSz w:w="11900" w:h="16838" w:orient="portrait"/>
          <w:cols w:equalWidth="0" w:num="1">
            <w:col w:w="10219"/>
          </w:cols>
          <w:pgMar w:left="240" w:top="514" w:right="1440" w:bottom="1440" w:gutter="0" w:footer="0" w:header="0"/>
        </w:sectPr>
      </w:pPr>
    </w:p>
    <w:bookmarkStart w:id="49" w:name="page50"/>
    <w:bookmarkEnd w:id="49"/>
    <w:p>
      <w:pPr>
        <w:ind w:left="3380"/>
        <w:spacing w:after="0"/>
        <w:rPr>
          <w:sz w:val="20"/>
          <w:szCs w:val="20"/>
          <w:color w:val="auto"/>
        </w:rPr>
      </w:pPr>
      <w:r>
        <w:rPr>
          <w:rFonts w:ascii="Courier New" w:cs="Courier New" w:eastAsia="Courier New" w:hAnsi="Courier New"/>
          <w:sz w:val="18"/>
          <w:szCs w:val="18"/>
          <w:color w:val="auto"/>
        </w:rPr>
        <w:t>[FORM OF WARRANT]</w:t>
      </w:r>
    </w:p>
    <w:p>
      <w:pPr>
        <w:spacing w:after="0" w:line="207" w:lineRule="exact"/>
        <w:rPr>
          <w:sz w:val="20"/>
          <w:szCs w:val="20"/>
          <w:color w:val="auto"/>
        </w:rPr>
      </w:pPr>
    </w:p>
    <w:p>
      <w:pPr>
        <w:ind w:left="640" w:right="2099" w:hanging="632"/>
        <w:spacing w:after="0" w:line="235" w:lineRule="auto"/>
        <w:tabs>
          <w:tab w:leader="none" w:pos="6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this exercise, the Warrant shall be exercisable to purchase a total of __________ Warrant Shares.</w:t>
      </w:r>
    </w:p>
    <w:p>
      <w:pPr>
        <w:spacing w:after="0" w:line="203"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8"/>
          <w:szCs w:val="18"/>
          <w:color w:val="auto"/>
        </w:rPr>
        <w:t>Dated: _________</w:t>
      </w:r>
      <w:r>
        <w:rPr>
          <w:sz w:val="20"/>
          <w:szCs w:val="20"/>
          <w:color w:val="auto"/>
        </w:rPr>
        <w:tab/>
      </w:r>
      <w:r>
        <w:rPr>
          <w:rFonts w:ascii="Courier New" w:cs="Courier New" w:eastAsia="Courier New" w:hAnsi="Courier New"/>
          <w:sz w:val="16"/>
          <w:szCs w:val="16"/>
          <w:color w:val="auto"/>
        </w:rPr>
        <w:t>Name of Holder:</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(Print)_______________________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By:__________________________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Name:________________________</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Title:_________________________</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(Signature must conform in all respects</w:t>
      </w:r>
    </w:p>
    <w:p>
      <w:pPr>
        <w:spacing w:after="0" w:line="1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to name of holder as specified on the</w:t>
      </w:r>
    </w:p>
    <w:p>
      <w:pPr>
        <w:ind w:left="4120"/>
        <w:spacing w:after="0" w:line="238" w:lineRule="auto"/>
        <w:rPr>
          <w:sz w:val="20"/>
          <w:szCs w:val="20"/>
          <w:color w:val="auto"/>
        </w:rPr>
      </w:pPr>
      <w:r>
        <w:rPr>
          <w:rFonts w:ascii="Courier New" w:cs="Courier New" w:eastAsia="Courier New" w:hAnsi="Courier New"/>
          <w:sz w:val="18"/>
          <w:szCs w:val="18"/>
          <w:color w:val="auto"/>
        </w:rPr>
        <w:t>face of the Warrant)</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514" w:right="1440" w:bottom="1440" w:gutter="0" w:footer="0" w:header="0"/>
        </w:sectPr>
      </w:pPr>
    </w:p>
    <w:bookmarkStart w:id="50" w:name="page51"/>
    <w:bookmarkEnd w:id="50"/>
    <w:p>
      <w:pPr>
        <w:ind w:left="7180"/>
        <w:spacing w:after="0"/>
        <w:rPr>
          <w:sz w:val="20"/>
          <w:szCs w:val="20"/>
          <w:color w:val="auto"/>
        </w:rPr>
      </w:pPr>
      <w:r>
        <w:rPr>
          <w:rFonts w:ascii="Courier New" w:cs="Courier New" w:eastAsia="Courier New" w:hAnsi="Courier New"/>
          <w:sz w:val="18"/>
          <w:szCs w:val="18"/>
          <w:color w:val="auto"/>
        </w:rPr>
        <w:t>Exhibit 99.3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LOGO)</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 (Ticker: STEM, Exchange: NASDAQ)</w:t>
      </w:r>
    </w:p>
    <w:p>
      <w:pPr>
        <w:spacing w:after="0" w:line="238" w:lineRule="auto"/>
        <w:rPr>
          <w:sz w:val="20"/>
          <w:szCs w:val="20"/>
          <w:color w:val="auto"/>
        </w:rPr>
      </w:pPr>
      <w:r>
        <w:rPr>
          <w:rFonts w:ascii="Courier New" w:cs="Courier New" w:eastAsia="Courier New" w:hAnsi="Courier New"/>
          <w:sz w:val="18"/>
          <w:szCs w:val="18"/>
          <w:color w:val="auto"/>
        </w:rPr>
        <w:t>News Release -- June 17, 2004</w:t>
      </w:r>
    </w:p>
    <w:p>
      <w:pPr>
        <w:spacing w:after="0" w:line="5"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48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STEMCELLS RAISES $20 MILLION IN NEW EQUITY FINANCING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Palo Alto, Calif., June 17, 2004 -- StemCells, Inc. (NASDAQ: STEM) announced today that it has entered into a definitive agreement with institutional and other accredited investors with respect to the private placement of approximately 13,158,000 shares of its common stock at a purchase price of $1.52 per share, for gross proceeds of approximately $20,000,000. Investors will also receive warrants to purchase approximately 3,289,500 shares of common stock at an exercise price of $1.90 per share. C.E. Unterberg, Towbin LLC served as placement agent for the transaction.</w:t>
      </w:r>
    </w:p>
    <w:p>
      <w:pPr>
        <w:spacing w:after="0" w:line="212"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The transaction is expected to be consummated within the next few days following satisfaction of certain customary closing conditions contained in the definitive transaction agreements.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pleased by this private placement, and welcome a new and broad-based group of institutional investors who we believe will help us increase the Company's visibility in the investment community," said Martin McGlynn, StemCells Inc.'s President and Chief Executive Officer. "As we have previously announced, we intend to file our first IND with the FDA to begin clinical trials in Batten Disease, a rare but fatal neurodegenerative disorder, by the end of the first quarter of 2005. This infusion of new capital is one critical factor toward enabling us to initiate our first clinical trial in Batten disease in 2005. We estimate that this financing will provide sufficient capital to fund operations into 2006."</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securities offered in this placement have not been registered under the Securities Act of 1933, as amended, or state securities laws, and cannot be offered or sold in the United States absent registration with the Securities and Exchange Commission (SEC) or an applicable exemption from the registration requirements. As part of the transaction, the company has agreed to file a registration statement with the SEC covering the resale of the shares of common stock issued in the offering, including the shares of common stock issuable upon exercise of the warrants. This news release is neither an offer to sell nor a solicitation of an offer to buy any of the securities discussed herein and is being issued under Rule 135c of the Securities Act of 1933.</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STEMCELLS INC.</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StemCells, Inc. is a biotechnology company focused on the discovery, development and commercialization of stem cell-based therapies to treat diseases of the nervous system, liver, and pancreas. The Company's stem cell programs seek to repair or repopulate neural or other tissue that has been damaged or lost as a result of disease or injury. Further information about the Company is available on its web site at www.stemcellsinc.com.</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Apart from statements of historical facts, the text of this press release constitutes forward-looking statements regarding, among other things, the future business operations of StemCells, Inc. ("the Company"). The forward-looking statements speak only as of the date of this news release. StemCells does not undertake to update any of these forward-looking statements to reflect events or circumstances that occur after the date hereof. Such statements reflect management's current views and are based on certain assumptions that may or may not ultimately prove valid. The Company's actual results may vary materially from those contemplated in the forward-looking statements due to risks and uncertainties to which the Company is subject, including uncertainties regarding the</w:t>
      </w:r>
    </w:p>
    <w:p>
      <w:pPr>
        <w:sectPr>
          <w:pgSz w:w="11900" w:h="16838" w:orient="portrait"/>
          <w:cols w:equalWidth="0" w:num="1">
            <w:col w:w="10219"/>
          </w:cols>
          <w:pgMar w:left="240" w:top="339" w:right="1440" w:bottom="1440" w:gutter="0" w:footer="0" w:header="0"/>
        </w:sectPr>
      </w:pPr>
    </w:p>
    <w:bookmarkStart w:id="51" w:name="page52"/>
    <w:bookmarkEnd w:id="51"/>
    <w:p>
      <w:pPr>
        <w:ind w:right="1779"/>
        <w:spacing w:after="0" w:line="270" w:lineRule="auto"/>
        <w:rPr>
          <w:sz w:val="20"/>
          <w:szCs w:val="20"/>
          <w:color w:val="auto"/>
        </w:rPr>
      </w:pPr>
      <w:r>
        <w:rPr>
          <w:rFonts w:ascii="Courier New" w:cs="Courier New" w:eastAsia="Courier New" w:hAnsi="Courier New"/>
          <w:sz w:val="16"/>
          <w:szCs w:val="16"/>
          <w:color w:val="auto"/>
        </w:rPr>
        <w:t>Company's ability to obtain the capital resources needed to continue its current research and development operations and to conduct the research, preclinical development and clinical trials necessary for regulatory approvals; the fact that the Company's stem cell technology is at the pre-clinical stage and has not yet led to the development of any proposed product; the uncertainty whether the Company will be able to file an IND in the time it projects and whether the FDA will permit it to proceed to clinical testing; the uncertainty whether the Company will achieve revenues from product sales or become profitable; uncertainties regarding the Company's obligations in regard to its former encapsulated cell therapy facilities in Rhode Island; and other factors that are described in Exhibit 99 to the Company's Annual Report on Form 10-K entitled "Cautionary Factors Relevant to Forward-Looking Statements."</w:t>
      </w:r>
    </w:p>
    <w:p>
      <w:pPr>
        <w:sectPr>
          <w:pgSz w:w="11900" w:h="16838" w:orient="portrait"/>
          <w:cols w:equalWidth="0" w:num="1">
            <w:col w:w="10219"/>
          </w:cols>
          <w:pgMar w:left="240" w:top="520" w:right="1440" w:bottom="1440" w:gutter="0" w:footer="0" w:header="0"/>
        </w:sect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Corporate Contact:</w:t>
      </w:r>
    </w:p>
    <w:p>
      <w:pPr>
        <w:spacing w:after="0" w:line="238" w:lineRule="auto"/>
        <w:rPr>
          <w:sz w:val="20"/>
          <w:szCs w:val="20"/>
          <w:color w:val="auto"/>
        </w:rPr>
      </w:pPr>
      <w:r>
        <w:rPr>
          <w:rFonts w:ascii="Courier New" w:cs="Courier New" w:eastAsia="Courier New" w:hAnsi="Courier New"/>
          <w:sz w:val="18"/>
          <w:szCs w:val="18"/>
          <w:color w:val="auto"/>
        </w:rPr>
        <w:t>StemCells, Inc.</w:t>
      </w:r>
    </w:p>
    <w:p>
      <w:pPr>
        <w:spacing w:after="0" w:line="5" w:lineRule="exact"/>
        <w:rPr>
          <w:sz w:val="20"/>
          <w:szCs w:val="20"/>
          <w:color w:val="auto"/>
        </w:rPr>
      </w:pPr>
    </w:p>
    <w:p>
      <w:pPr>
        <w:ind w:right="440"/>
        <w:spacing w:after="0" w:line="235" w:lineRule="auto"/>
        <w:rPr>
          <w:sz w:val="20"/>
          <w:szCs w:val="20"/>
          <w:color w:val="auto"/>
        </w:rPr>
      </w:pPr>
      <w:r>
        <w:rPr>
          <w:rFonts w:ascii="Courier New" w:cs="Courier New" w:eastAsia="Courier New" w:hAnsi="Courier New"/>
          <w:sz w:val="18"/>
          <w:szCs w:val="18"/>
          <w:color w:val="auto"/>
        </w:rPr>
        <w:t>Martin McGlynn, President &amp; CEO 650-475-3100, ext 108</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Media/Investor Relations Contact: The Investor Relations Group Janet Vasquez/Jane Lin 212-825-3210</w:t>
      </w:r>
    </w:p>
    <w:sectPr>
      <w:pgSz w:w="11900" w:h="16838" w:orient="portrait"/>
      <w:cols w:equalWidth="0" w:num="2">
        <w:col w:w="3720" w:space="720"/>
        <w:col w:w="5779"/>
      </w:cols>
      <w:pgMar w:left="240" w:top="5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1."/>
      <w:numFmt w:val="decimal"/>
      <w:start w:val="1"/>
    </w:lvl>
    <w:lvl w:ilvl="1">
      <w:lvlJc w:val="left"/>
      <w:lvlText w:val="(%2)"/>
      <w:numFmt w:val="lowerLetter"/>
      <w:start w:val="1"/>
    </w:lvl>
  </w:abstractNum>
  <w:abstractNum w:abstractNumId="1">
    <w:nsid w:val="440BADFC"/>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
    <w:nsid w:val="5072367"/>
    <w:multiLevelType w:val="hybridMultilevel"/>
    <w:lvl w:ilvl="0">
      <w:lvlJc w:val="left"/>
      <w:lvlText w:val="(%1)"/>
      <w:numFmt w:val="lowerLetter"/>
      <w:start w:val="9"/>
    </w:lvl>
    <w:lvl w:ilvl="1">
      <w:lvlJc w:val="left"/>
      <w:lvlText w:val="%2."/>
      <w:numFmt w:val="decimal"/>
      <w:start w:val="3"/>
    </w:lvl>
    <w:lvl w:ilvl="2">
      <w:lvlJc w:val="left"/>
      <w:lvlText w:val="(%3)"/>
      <w:numFmt w:val="lowerLetter"/>
      <w:start w:val="1"/>
    </w:lvl>
  </w:abstractNum>
  <w:abstractNum w:abstractNumId="3">
    <w:nsid w:val="3804823E"/>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4">
    <w:nsid w:val="77465F01"/>
    <w:multiLevelType w:val="hybridMultilevel"/>
    <w:lvl w:ilvl="0">
      <w:lvlJc w:val="left"/>
      <w:lvlText w:val="(%1)"/>
      <w:numFmt w:val="lowerRoman"/>
      <w:start w:val="1"/>
    </w:lvl>
  </w:abstractNum>
  <w:abstractNum w:abstractNumId="5">
    <w:nsid w:val="7724C67E"/>
    <w:multiLevelType w:val="hybridMultilevel"/>
    <w:lvl w:ilvl="0">
      <w:lvlJc w:val="left"/>
      <w:lvlText w:val="(%1)"/>
      <w:numFmt w:val="lowerLetter"/>
      <w:start w:val="3"/>
    </w:lvl>
  </w:abstractNum>
  <w:abstractNum w:abstractNumId="6">
    <w:nsid w:val="5C482A97"/>
    <w:multiLevelType w:val="hybridMultilevel"/>
    <w:lvl w:ilvl="0">
      <w:lvlJc w:val="left"/>
      <w:lvlText w:val="(%1)"/>
      <w:numFmt w:val="lowerLetter"/>
      <w:start w:val="5"/>
    </w:lvl>
    <w:lvl w:ilvl="1">
      <w:lvlJc w:val="left"/>
      <w:lvlText w:val="(%2)"/>
      <w:numFmt w:val="lowerRoman"/>
      <w:start w:val="1"/>
    </w:lvl>
  </w:abstractNum>
  <w:abstractNum w:abstractNumId="7">
    <w:nsid w:val="2463B9EA"/>
    <w:multiLevelType w:val="hybridMultilevel"/>
    <w:lvl w:ilvl="0">
      <w:lvlJc w:val="left"/>
      <w:lvlText w:val="(%1)"/>
      <w:numFmt w:val="lowerLetter"/>
      <w:start w:val="8"/>
    </w:lvl>
    <w:lvl w:ilvl="1">
      <w:lvlJc w:val="left"/>
      <w:lvlText w:val="(%2)"/>
      <w:numFmt w:val="decimal"/>
      <w:start w:val="1"/>
    </w:lvl>
  </w:abstractNum>
  <w:abstractNum w:abstractNumId="8">
    <w:nsid w:val="5E884ADC"/>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2"/>
    </w:lvl>
  </w:abstractNum>
  <w:abstractNum w:abstractNumId="9">
    <w:nsid w:val="51EAD36B"/>
    <w:multiLevelType w:val="hybridMultilevel"/>
    <w:lvl w:ilvl="0">
      <w:lvlJc w:val="left"/>
      <w:lvlText w:val="(%1)"/>
      <w:numFmt w:val="lowerLetter"/>
      <w:start w:val="12"/>
    </w:lvl>
    <w:lvl w:ilvl="1">
      <w:lvlJc w:val="left"/>
      <w:lvlText w:val="(%2)"/>
      <w:numFmt w:val="lowerRoman"/>
      <w:start w:val="1"/>
    </w:lvl>
    <w:lvl w:ilvl="2">
      <w:lvlJc w:val="left"/>
      <w:lvlText w:val="%3"/>
      <w:numFmt w:val="decimal"/>
      <w:start w:val="1"/>
    </w:lvl>
  </w:abstractNum>
  <w:abstractNum w:abstractNumId="10">
    <w:nsid w:val="2D51779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1">
    <w:nsid w:val="580BD78F"/>
    <w:multiLevelType w:val="hybridMultilevel"/>
    <w:lvl w:ilvl="0">
      <w:lvlJc w:val="left"/>
      <w:lvlText w:val="%1"/>
      <w:numFmt w:val="lowerLetter"/>
      <w:start w:val="1"/>
    </w:lvl>
    <w:lvl w:ilvl="1">
      <w:lvlJc w:val="left"/>
      <w:lvlText w:val="(%2)"/>
      <w:numFmt w:val="lowerLetter"/>
      <w:start w:val="13"/>
    </w:lvl>
    <w:lvl w:ilvl="2">
      <w:lvlJc w:val="left"/>
      <w:lvlText w:val="%3"/>
      <w:numFmt w:val="lowerRoman"/>
      <w:start w:val="1"/>
    </w:lvl>
  </w:abstractNum>
  <w:abstractNum w:abstractNumId="12">
    <w:nsid w:val="153EA438"/>
    <w:multiLevelType w:val="hybridMultilevel"/>
    <w:lvl w:ilvl="0">
      <w:lvlJc w:val="left"/>
      <w:lvlText w:val="(%1)"/>
      <w:numFmt w:val="lowerLetter"/>
      <w:start w:val="35"/>
    </w:lvl>
    <w:lvl w:ilvl="1">
      <w:lvlJc w:val="left"/>
      <w:lvlText w:val="(%2)"/>
      <w:numFmt w:val="lowerLetter"/>
      <w:start w:val="16"/>
    </w:lvl>
    <w:lvl w:ilvl="2">
      <w:lvlJc w:val="left"/>
      <w:lvlText w:val="%3"/>
      <w:numFmt w:val="lowerRoman"/>
      <w:start w:val="1"/>
    </w:lvl>
  </w:abstractNum>
  <w:abstractNum w:abstractNumId="13">
    <w:nsid w:val="3855585C"/>
    <w:multiLevelType w:val="hybridMultilevel"/>
    <w:lvl w:ilvl="0">
      <w:lvlJc w:val="left"/>
      <w:lvlText w:val="%1"/>
      <w:numFmt w:val="lowerLetter"/>
      <w:start w:val="1"/>
    </w:lvl>
    <w:lvl w:ilvl="1">
      <w:lvlJc w:val="left"/>
      <w:lvlText w:val="(%2)"/>
      <w:numFmt w:val="lowerLetter"/>
      <w:start w:val="18"/>
    </w:lvl>
  </w:abstractNum>
  <w:abstractNum w:abstractNumId="14">
    <w:nsid w:val="70A64E2A"/>
    <w:multiLevelType w:val="hybridMultilevel"/>
    <w:lvl w:ilvl="0">
      <w:lvlJc w:val="left"/>
      <w:lvlText w:val="(%1)"/>
      <w:numFmt w:val="lowerLetter"/>
      <w:start w:val="2"/>
    </w:lvl>
    <w:lvl w:ilvl="1">
      <w:lvlJc w:val="left"/>
      <w:lvlText w:val="(%2)"/>
      <w:numFmt w:val="lowerLetter"/>
      <w:start w:val="21"/>
    </w:lvl>
  </w:abstractNum>
  <w:abstractNum w:abstractNumId="15">
    <w:nsid w:val="6A2342EC"/>
    <w:multiLevelType w:val="hybridMultilevel"/>
    <w:lvl w:ilvl="0">
      <w:lvlJc w:val="left"/>
      <w:lvlText w:val="%1"/>
      <w:numFmt w:val="decimal"/>
      <w:start w:val="1"/>
    </w:lvl>
    <w:lvl w:ilvl="1">
      <w:lvlJc w:val="left"/>
      <w:lvlText w:val="(%2)"/>
      <w:numFmt w:val="lowerLetter"/>
      <w:start w:val="25"/>
    </w:lvl>
  </w:abstractNum>
  <w:abstractNum w:abstractNumId="16">
    <w:nsid w:val="2A487CB0"/>
    <w:multiLevelType w:val="hybridMultilevel"/>
    <w:lvl w:ilvl="0">
      <w:lvlJc w:val="left"/>
      <w:lvlText w:val="%1."/>
      <w:numFmt w:val="decimal"/>
      <w:start w:val="4"/>
    </w:lvl>
    <w:lvl w:ilvl="1">
      <w:lvlJc w:val="left"/>
      <w:lvlText w:val="(%2)"/>
      <w:numFmt w:val="lowerLetter"/>
      <w:start w:val="1"/>
    </w:lvl>
  </w:abstractNum>
  <w:abstractNum w:abstractNumId="17">
    <w:nsid w:val="1D4ED43B"/>
    <w:multiLevelType w:val="hybridMultilevel"/>
    <w:lvl w:ilvl="0">
      <w:lvlJc w:val="left"/>
      <w:lvlText w:val="(%1)"/>
      <w:numFmt w:val="lowerLetter"/>
      <w:start w:val="8"/>
    </w:lvl>
  </w:abstractNum>
  <w:abstractNum w:abstractNumId="18">
    <w:nsid w:val="725A06FB"/>
    <w:multiLevelType w:val="hybridMultilevel"/>
    <w:lvl w:ilvl="0">
      <w:lvlJc w:val="left"/>
      <w:lvlText w:val="(%1)"/>
      <w:numFmt w:val="lowerLetter"/>
      <w:start w:val="10"/>
    </w:lvl>
    <w:lvl w:ilvl="1">
      <w:lvlJc w:val="left"/>
      <w:lvlText w:val="(%2)"/>
      <w:numFmt w:val="lowerLetter"/>
      <w:start w:val="9"/>
    </w:lvl>
  </w:abstractNum>
  <w:abstractNum w:abstractNumId="19">
    <w:nsid w:val="2CD89A32"/>
    <w:multiLevelType w:val="hybridMultilevel"/>
    <w:lvl w:ilvl="0">
      <w:lvlJc w:val="left"/>
      <w:lvlText w:val="(%1)"/>
      <w:numFmt w:val="lowerRoman"/>
      <w:start w:val="2"/>
    </w:lvl>
  </w:abstractNum>
  <w:abstractNum w:abstractNumId="20">
    <w:nsid w:val="57E4CCAF"/>
    <w:multiLevelType w:val="hybridMultilevel"/>
    <w:lvl w:ilvl="0">
      <w:lvlJc w:val="left"/>
      <w:lvlText w:val="(%1)"/>
      <w:numFmt w:val="lowerLetter"/>
      <w:start w:val="11"/>
    </w:lvl>
  </w:abstractNum>
  <w:abstractNum w:abstractNumId="21">
    <w:nsid w:val="7A6D8D3C"/>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abstractNum>
  <w:abstractNum w:abstractNumId="22">
    <w:nsid w:val="4B588F54"/>
    <w:multiLevelType w:val="hybridMultilevel"/>
    <w:lvl w:ilvl="0">
      <w:lvlJc w:val="left"/>
      <w:lvlText w:val="(%1)"/>
      <w:numFmt w:val="decimal"/>
      <w:start w:val="120"/>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23">
    <w:nsid w:val="542289EC"/>
    <w:multiLevelType w:val="hybridMultilevel"/>
    <w:lvl w:ilvl="0">
      <w:lvlJc w:val="left"/>
      <w:lvlText w:val="(%1)"/>
      <w:numFmt w:val="lowerRoman"/>
      <w:start w:val="3"/>
    </w:lvl>
  </w:abstractNum>
  <w:abstractNum w:abstractNumId="24">
    <w:nsid w:val="6DE91B18"/>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9"/>
    </w:lvl>
  </w:abstractNum>
  <w:abstractNum w:abstractNumId="25">
    <w:nsid w:val="38437FDB"/>
    <w:multiLevelType w:val="hybridMultilevel"/>
    <w:lvl w:ilvl="0">
      <w:lvlJc w:val="left"/>
      <w:lvlText w:val="(%1)"/>
      <w:numFmt w:val="decimal"/>
      <w:start w:val="120"/>
    </w:lvl>
    <w:lvl w:ilvl="1">
      <w:lvlJc w:val="left"/>
      <w:lvlText w:val="(%2)"/>
      <w:numFmt w:val="lowerLetter"/>
      <w:start w:val="2"/>
    </w:lvl>
    <w:lvl w:ilvl="2">
      <w:lvlJc w:val="left"/>
      <w:lvlText w:val="(%3)"/>
      <w:numFmt w:val="lowerLetter"/>
      <w:start w:val="35"/>
    </w:lvl>
  </w:abstractNum>
  <w:abstractNum w:abstractNumId="26">
    <w:nsid w:val="7644A45C"/>
    <w:multiLevelType w:val="hybridMultilevel"/>
    <w:lvl w:ilvl="0">
      <w:lvlJc w:val="left"/>
      <w:lvlText w:val="%1"/>
      <w:numFmt w:val="lowerRoman"/>
      <w:start w:val="1"/>
    </w:lvl>
    <w:lvl w:ilvl="1">
      <w:lvlJc w:val="left"/>
      <w:lvlText w:val="(%2)"/>
      <w:numFmt w:val="lowerRoman"/>
      <w:start w:val="1"/>
    </w:lvl>
  </w:abstractNum>
  <w:abstractNum w:abstractNumId="27">
    <w:nsid w:val="32FFF902"/>
    <w:multiLevelType w:val="hybridMultilevel"/>
    <w:lvl w:ilvl="0">
      <w:lvlJc w:val="left"/>
      <w:lvlText w:val="(%1)"/>
      <w:numFmt w:val="lowerRoman"/>
      <w:start w:val="3"/>
    </w:lvl>
    <w:lvl w:ilvl="1">
      <w:lvlJc w:val="left"/>
      <w:lvlText w:val="(%2)"/>
      <w:numFmt w:val="lowerRoman"/>
      <w:start w:val="3"/>
    </w:lvl>
  </w:abstractNum>
  <w:abstractNum w:abstractNumId="28">
    <w:nsid w:val="684A481A"/>
    <w:multiLevelType w:val="hybridMultilevel"/>
    <w:lvl w:ilvl="0">
      <w:lvlJc w:val="left"/>
      <w:lvlText w:val="%1"/>
      <w:numFmt w:val="lowerLetter"/>
      <w:start w:val="1"/>
    </w:lvl>
    <w:lvl w:ilvl="1">
      <w:lvlJc w:val="left"/>
      <w:lvlText w:val="(%2)"/>
      <w:numFmt w:val="lowerRoman"/>
      <w:start w:val="4"/>
    </w:lvl>
  </w:abstractNum>
  <w:abstractNum w:abstractNumId="29">
    <w:nsid w:val="579478FE"/>
    <w:multiLevelType w:val="hybridMultilevel"/>
    <w:lvl w:ilvl="0">
      <w:lvlJc w:val="left"/>
      <w:lvlText w:val="(%1)"/>
      <w:numFmt w:val="lowerLetter"/>
      <w:start w:val="4"/>
    </w:lvl>
    <w:lvl w:ilvl="1">
      <w:lvlJc w:val="left"/>
      <w:lvlText w:val="(%2)"/>
      <w:numFmt w:val="lowerRoman"/>
      <w:start w:val="1"/>
    </w:lvl>
  </w:abstractNum>
  <w:abstractNum w:abstractNumId="30">
    <w:nsid w:val="749ABB43"/>
    <w:multiLevelType w:val="hybridMultilevel"/>
    <w:lvl w:ilvl="0">
      <w:lvlJc w:val="left"/>
      <w:lvlText w:val="(%1)"/>
      <w:numFmt w:val="lowerRoman"/>
      <w:start w:val="2"/>
    </w:lvl>
    <w:lvl w:ilvl="1">
      <w:lvlJc w:val="left"/>
      <w:lvlText w:val="(%2)"/>
      <w:numFmt w:val="decimal"/>
      <w:start w:val="1"/>
    </w:lvl>
  </w:abstractNum>
  <w:abstractNum w:abstractNumId="31">
    <w:nsid w:val="3DC240FB"/>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32">
    <w:nsid w:val="1BA026FA"/>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33">
    <w:nsid w:val="79A1DEAA"/>
    <w:multiLevelType w:val="hybridMultilevel"/>
    <w:lvl w:ilvl="0">
      <w:lvlJc w:val="left"/>
      <w:lvlText w:val="%1"/>
      <w:numFmt w:val="decimal"/>
      <w:start w:val="1"/>
    </w:lvl>
    <w:lvl w:ilvl="1">
      <w:lvlJc w:val="left"/>
      <w:lvlText w:val="(%2)"/>
      <w:numFmt w:val="lowerLetter"/>
      <w:start w:val="5"/>
    </w:lvl>
  </w:abstractNum>
  <w:abstractNum w:abstractNumId="34">
    <w:nsid w:val="75C6C33A"/>
    <w:multiLevelType w:val="hybridMultilevel"/>
    <w:lvl w:ilvl="0">
      <w:lvlJc w:val="left"/>
      <w:lvlText w:val="%1."/>
      <w:numFmt w:val="decimal"/>
      <w:start w:val="6"/>
    </w:lvl>
    <w:lvl w:ilvl="1">
      <w:lvlJc w:val="left"/>
      <w:lvlText w:val="%2"/>
      <w:numFmt w:val="lowerLetter"/>
      <w:start w:val="1"/>
    </w:lvl>
  </w:abstractNum>
  <w:abstractNum w:abstractNumId="35">
    <w:nsid w:val="12E685FB"/>
    <w:multiLevelType w:val="hybridMultilevel"/>
    <w:lvl w:ilvl="0">
      <w:lvlJc w:val="left"/>
      <w:lvlText w:val="%1."/>
      <w:numFmt w:val="decimal"/>
      <w:start w:val="7"/>
    </w:lvl>
    <w:lvl w:ilvl="1">
      <w:lvlJc w:val="left"/>
      <w:lvlText w:val="(%2)"/>
      <w:numFmt w:val="lowerLetter"/>
      <w:start w:val="1"/>
    </w:lvl>
  </w:abstractNum>
  <w:abstractNum w:abstractNumId="36">
    <w:nsid w:val="70C6A529"/>
    <w:multiLevelType w:val="hybridMultilevel"/>
    <w:lvl w:ilvl="0">
      <w:lvlJc w:val="left"/>
      <w:lvlText w:val="%1"/>
      <w:numFmt w:val="decimal"/>
      <w:start w:val="1"/>
    </w:lvl>
    <w:lvl w:ilvl="1">
      <w:lvlJc w:val="left"/>
      <w:lvlText w:val="(%2)"/>
      <w:numFmt w:val="lowerLetter"/>
      <w:start w:val="9"/>
    </w:lvl>
  </w:abstractNum>
  <w:abstractNum w:abstractNumId="37">
    <w:nsid w:val="520EEDD1"/>
    <w:multiLevelType w:val="hybridMultilevel"/>
    <w:lvl w:ilvl="0">
      <w:lvlJc w:val="left"/>
      <w:lvlText w:val="%1."/>
      <w:numFmt w:val="decimal"/>
      <w:start w:val="8"/>
    </w:lvl>
    <w:lvl w:ilvl="1">
      <w:lvlJc w:val="left"/>
      <w:lvlText w:val="(%2)"/>
      <w:numFmt w:val="lowerLetter"/>
      <w:start w:val="1"/>
    </w:lvl>
  </w:abstractNum>
  <w:abstractNum w:abstractNumId="38">
    <w:nsid w:val="374A3FE6"/>
    <w:multiLevelType w:val="hybridMultilevel"/>
    <w:lvl w:ilvl="0">
      <w:lvlJc w:val="left"/>
      <w:lvlText w:val="%1"/>
      <w:numFmt w:val="decimal"/>
      <w:start w:val="1"/>
    </w:lvl>
    <w:lvl w:ilvl="1">
      <w:lvlJc w:val="left"/>
      <w:lvlText w:val="(%2)"/>
      <w:numFmt w:val="lowerLetter"/>
      <w:start w:val="5"/>
    </w:lvl>
  </w:abstractNum>
  <w:abstractNum w:abstractNumId="39">
    <w:nsid w:val="4F4EF005"/>
    <w:multiLevelType w:val="hybridMultilevel"/>
    <w:lvl w:ilvl="0">
      <w:lvlJc w:val="left"/>
      <w:lvlText w:val="%1."/>
      <w:numFmt w:val="decimal"/>
      <w:start w:val="9"/>
    </w:lvl>
    <w:lvl w:ilvl="1">
      <w:lvlJc w:val="left"/>
      <w:lvlText w:val="(%2)"/>
      <w:numFmt w:val="lowerLetter"/>
      <w:start w:val="1"/>
    </w:lvl>
  </w:abstractNum>
  <w:abstractNum w:abstractNumId="40">
    <w:nsid w:val="23F9C13C"/>
    <w:multiLevelType w:val="hybridMultilevel"/>
    <w:lvl w:ilvl="0">
      <w:lvlJc w:val="left"/>
      <w:lvlText w:val="(%1)"/>
      <w:numFmt w:val="lowerLetter"/>
      <w:start w:val="6"/>
    </w:lvl>
  </w:abstractNum>
  <w:abstractNum w:abstractNumId="41">
    <w:nsid w:val="649BB77C"/>
    <w:multiLevelType w:val="hybridMultilevel"/>
    <w:lvl w:ilvl="0">
      <w:lvlJc w:val="left"/>
      <w:lvlText w:val="(%1)"/>
      <w:numFmt w:val="lowerLetter"/>
      <w:start w:val="7"/>
    </w:lvl>
  </w:abstractNum>
  <w:abstractNum w:abstractNumId="42">
    <w:nsid w:val="275AC794"/>
    <w:multiLevelType w:val="hybridMultilevel"/>
    <w:lvl w:ilvl="0">
      <w:lvlJc w:val="left"/>
      <w:lvlText w:val="(%1)"/>
      <w:numFmt w:val="lowerLetter"/>
      <w:start w:val="9"/>
    </w:lvl>
  </w:abstractNum>
  <w:abstractNum w:abstractNumId="43">
    <w:nsid w:val="39386575"/>
    <w:multiLevelType w:val="hybridMultilevel"/>
    <w:lvl w:ilvl="0">
      <w:lvlJc w:val="left"/>
      <w:lvlText w:val="%1."/>
      <w:numFmt w:val="decimal"/>
      <w:start w:val="1"/>
    </w:lvl>
  </w:abstractNum>
  <w:abstractNum w:abstractNumId="44">
    <w:nsid w:val="1CF10FD8"/>
    <w:multiLevelType w:val="hybridMultilevel"/>
    <w:lvl w:ilvl="0">
      <w:lvlJc w:val="left"/>
      <w:lvlText w:val="(%1)"/>
      <w:numFmt w:val="lowerLetter"/>
      <w:start w:val="4"/>
    </w:lvl>
  </w:abstractNum>
  <w:abstractNum w:abstractNumId="45">
    <w:nsid w:val="180115BE"/>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46">
    <w:nsid w:val="235BA861"/>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abstractNum>
  <w:abstractNum w:abstractNumId="47">
    <w:nsid w:val="47398C89"/>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48">
    <w:nsid w:val="354FE9F9"/>
    <w:multiLevelType w:val="hybridMultilevel"/>
    <w:lvl w:ilvl="0">
      <w:lvlJc w:val="left"/>
      <w:lvlText w:val="%1"/>
      <w:numFmt w:val="decimal"/>
      <w:start w:val="1"/>
    </w:lvl>
    <w:lvl w:ilvl="1">
      <w:lvlJc w:val="left"/>
      <w:lvlText w:val="(%2)"/>
      <w:numFmt w:val="lowerLetter"/>
      <w:start w:val="4"/>
    </w:lvl>
  </w:abstractNum>
  <w:abstractNum w:abstractNumId="49">
    <w:nsid w:val="15B5AF5C"/>
    <w:multiLevelType w:val="hybridMultilevel"/>
    <w:lvl w:ilvl="0">
      <w:lvlJc w:val="left"/>
      <w:lvlText w:val="%1."/>
      <w:numFmt w:val="decimal"/>
      <w:start w:val="5"/>
    </w:lvl>
    <w:lvl w:ilvl="1">
      <w:lvlJc w:val="left"/>
      <w:lvlText w:val="(%2)"/>
      <w:numFmt w:val="lowerLetter"/>
      <w:start w:val="1"/>
    </w:lvl>
  </w:abstractNum>
  <w:abstractNum w:abstractNumId="50">
    <w:nsid w:val="741226BB"/>
    <w:multiLevelType w:val="hybridMultilevel"/>
    <w:lvl w:ilvl="0">
      <w:lvlJc w:val="left"/>
      <w:lvlText w:val="%1"/>
      <w:numFmt w:val="decimal"/>
      <w:start w:val="1"/>
    </w:lvl>
    <w:lvl w:ilvl="1">
      <w:lvlJc w:val="left"/>
      <w:lvlText w:val="(%2)"/>
      <w:numFmt w:val="lowerLetter"/>
      <w:start w:val="2"/>
    </w:lvl>
  </w:abstractNum>
  <w:abstractNum w:abstractNumId="51">
    <w:nsid w:val="D34B6A8"/>
    <w:multiLevelType w:val="hybridMultilevel"/>
    <w:lvl w:ilvl="0">
      <w:lvlJc w:val="left"/>
      <w:lvlText w:val="%1."/>
      <w:numFmt w:val="decimal"/>
      <w:start w:val="6"/>
    </w:lvl>
    <w:lvl w:ilvl="1">
      <w:lvlJc w:val="left"/>
      <w:lvlText w:val="(%2)"/>
      <w:numFmt w:val="lowerLetter"/>
      <w:start w:val="1"/>
    </w:lvl>
  </w:abstractNum>
  <w:abstractNum w:abstractNumId="52">
    <w:nsid w:val="10233C99"/>
    <w:multiLevelType w:val="hybridMultilevel"/>
    <w:lvl w:ilvl="0">
      <w:lvlJc w:val="left"/>
      <w:lvlText w:val="(%1)"/>
      <w:numFmt w:val="lowerLetter"/>
      <w:start w:val="2"/>
    </w:lvl>
    <w:lvl w:ilvl="1">
      <w:lvlJc w:val="left"/>
      <w:lvlText w:val="(%2)"/>
      <w:numFmt w:val="lowerRoman"/>
      <w:start w:val="1"/>
    </w:lvl>
  </w:abstractNum>
  <w:abstractNum w:abstractNumId="53">
    <w:nsid w:val="3F6AB60F"/>
    <w:multiLevelType w:val="hybridMultilevel"/>
    <w:lvl w:ilvl="0">
      <w:lvlJc w:val="left"/>
      <w:lvlText w:val="%1"/>
      <w:numFmt w:val="upperLetter"/>
      <w:start w:val="1"/>
    </w:lvl>
    <w:lvl w:ilvl="1">
      <w:lvlJc w:val="left"/>
      <w:lvlText w:val="(%2)"/>
      <w:numFmt w:val="lowerRoman"/>
      <w:start w:val="2"/>
    </w:lvl>
  </w:abstractNum>
  <w:abstractNum w:abstractNumId="54">
    <w:nsid w:val="61574095"/>
    <w:multiLevelType w:val="hybridMultilevel"/>
    <w:lvl w:ilvl="0">
      <w:lvlJc w:val="left"/>
      <w:lvlText w:val="(%1)"/>
      <w:numFmt w:val="upperLetter"/>
      <w:start w:val="1"/>
    </w:lvl>
    <w:lvl w:ilvl="1">
      <w:lvlJc w:val="left"/>
      <w:lvlText w:val="%2"/>
      <w:numFmt w:val="lowerRoman"/>
      <w:start w:val="1"/>
    </w:lvl>
  </w:abstractNum>
  <w:abstractNum w:abstractNumId="55">
    <w:nsid w:val="7E0C57B1"/>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lvl w:ilvl="3">
      <w:lvlJc w:val="left"/>
      <w:lvlText w:val="%4"/>
      <w:numFmt w:val="upperLetter"/>
      <w:start w:val="1"/>
    </w:lvl>
  </w:abstractNum>
  <w:abstractNum w:abstractNumId="56">
    <w:nsid w:val="77AE35EB"/>
    <w:multiLevelType w:val="hybridMultilevel"/>
    <w:lvl w:ilvl="0">
      <w:lvlJc w:val="left"/>
      <w:lvlText w:val="(%1)"/>
      <w:numFmt w:val="lowerLetter"/>
      <w:start w:val="61"/>
    </w:lvl>
    <w:lvl w:ilvl="1">
      <w:lvlJc w:val="left"/>
      <w:lvlText w:val="%2"/>
      <w:numFmt w:val="lowerLetter"/>
      <w:start w:val="1"/>
    </w:lvl>
    <w:lvl w:ilvl="2">
      <w:lvlJc w:val="left"/>
      <w:lvlText w:val="(%3)"/>
      <w:numFmt w:val="lowerRoman"/>
      <w:start w:val="10"/>
    </w:lvl>
    <w:lvl w:ilvl="3">
      <w:lvlJc w:val="left"/>
      <w:lvlText w:val="(%4)"/>
      <w:numFmt w:val="upperLetter"/>
      <w:start w:val="1"/>
    </w:lvl>
  </w:abstractNum>
  <w:abstractNum w:abstractNumId="57">
    <w:nsid w:val="579BE4F1"/>
    <w:multiLevelType w:val="hybridMultilevel"/>
    <w:lvl w:ilvl="0">
      <w:lvlJc w:val="left"/>
      <w:lvlText w:val="%1"/>
      <w:numFmt w:val="lowerLetter"/>
      <w:start w:val="1"/>
    </w:lvl>
    <w:lvl w:ilvl="1">
      <w:lvlJc w:val="left"/>
      <w:lvlText w:val="(%2)"/>
      <w:numFmt w:val="upperLetter"/>
      <w:start w:val="2"/>
    </w:lvl>
  </w:abstractNum>
  <w:abstractNum w:abstractNumId="58">
    <w:nsid w:val="310C50B3"/>
    <w:multiLevelType w:val="hybridMultilevel"/>
    <w:lvl w:ilvl="0">
      <w:lvlJc w:val="left"/>
      <w:lvlText w:val="(%1)"/>
      <w:numFmt w:val="lowerLetter"/>
      <w:start w:val="25"/>
    </w:lvl>
    <w:lvl w:ilvl="1">
      <w:lvlJc w:val="left"/>
      <w:lvlText w:val="%2"/>
      <w:numFmt w:val="upperLetter"/>
      <w:start w:val="1"/>
    </w:lvl>
  </w:abstractNum>
  <w:abstractNum w:abstractNumId="59">
    <w:nsid w:val="5FF87E05"/>
    <w:multiLevelType w:val="hybridMultilevel"/>
    <w:lvl w:ilvl="0">
      <w:lvlJc w:val="left"/>
      <w:lvlText w:val="(%1)"/>
      <w:numFmt w:val="lowerLetter"/>
      <w:start w:val="7"/>
    </w:lvl>
  </w:abstractNum>
  <w:abstractNum w:abstractNumId="60">
    <w:nsid w:val="2F305DEF"/>
    <w:multiLevelType w:val="hybridMultilevel"/>
    <w:lvl w:ilvl="0">
      <w:lvlJc w:val="left"/>
      <w:lvlText w:val="%1"/>
      <w:numFmt w:val="decimal"/>
      <w:start w:val="1"/>
    </w:lvl>
    <w:lvl w:ilvl="1">
      <w:lvlJc w:val="left"/>
      <w:lvlText w:val="(%2)"/>
      <w:numFmt w:val="lowerLetter"/>
      <w:start w:val="11"/>
    </w:lvl>
  </w:abstractNum>
  <w:abstractNum w:abstractNumId="61">
    <w:nsid w:val="25A70BF7"/>
    <w:multiLevelType w:val="hybridMultilevel"/>
    <w:lvl w:ilvl="0">
      <w:lvlJc w:val="left"/>
      <w:lvlText w:val="%1."/>
      <w:numFmt w:val="decimal"/>
      <w:start w:val="10"/>
    </w:lvl>
    <w:lvl w:ilvl="1">
      <w:lvlJc w:val="left"/>
      <w:lvlText w:val="%2"/>
      <w:numFmt w:val="lowerLetter"/>
      <w:start w:val="1"/>
    </w:lvl>
  </w:abstractNum>
  <w:abstractNum w:abstractNumId="62">
    <w:nsid w:val="1DBABF00"/>
    <w:multiLevelType w:val="hybridMultilevel"/>
    <w:lvl w:ilvl="0">
      <w:lvlJc w:val="left"/>
      <w:lvlText w:val="%1."/>
      <w:numFmt w:val="decimal"/>
      <w:start w:val="15"/>
    </w:lvl>
    <w:lvl w:ilvl="1">
      <w:lvlJc w:val="left"/>
      <w:lvlText w:val="(%2)"/>
      <w:numFmt w:val="lowerLetter"/>
      <w:start w:val="2"/>
    </w:lvl>
  </w:abstractNum>
  <w:abstractNum w:abstractNumId="63">
    <w:nsid w:val="4AD084E9"/>
    <w:multiLevelType w:val="hybridMultilevel"/>
    <w:lvl w:ilvl="0">
      <w:lvlJc w:val="left"/>
      <w:lvlText w:val="(%1)"/>
      <w:numFmt w:val="lowerLetter"/>
      <w:start w:val="4"/>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4"/>
    </w:lvl>
  </w:abstractNum>
  <w:abstractNum w:abstractNumId="66">
    <w:nsid w:val="5DB70AE5"/>
    <w:multiLevelType w:val="hybridMultilevel"/>
    <w:lvl w:ilvl="0">
      <w:lvlJc w:val="left"/>
      <w:lvlText w:val="%1."/>
      <w:numFmt w:val="decimal"/>
      <w:start w:val="6"/>
    </w:lvl>
  </w:abstractNum>
  <w:abstractNum w:abstractNumId="67">
    <w:nsid w:val="100F8FCA"/>
    <w:multiLevelType w:val="hybridMultilevel"/>
    <w:lvl w:ilvl="0">
      <w:lvlJc w:val="left"/>
      <w:lvlText w:val="%1."/>
      <w:numFmt w:val="decimal"/>
      <w:start w:val="7"/>
    </w:lvl>
  </w:abstractNum>
  <w:abstractNum w:abstractNumId="68">
    <w:nsid w:val="6590700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2019-12-13T21:52:18Z</dcterms:created>
  <dcterms:modified xsi:type="dcterms:W3CDTF">2019-12-13T21:52:18Z</dcterms:modified>
</cp:coreProperties>
</file>