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0"/>
          <w:szCs w:val="20"/>
          <w:color w:val="auto"/>
        </w:rPr>
      </w:pPr>
    </w:p>
    <w:p>
      <w:pPr>
        <w:spacing w:after="0" w:line="260" w:lineRule="exact"/>
        <w:rPr>
          <w:sz w:val="20"/>
          <w:szCs w:val="20"/>
          <w:color w:val="auto"/>
        </w:rPr>
      </w:pPr>
    </w:p>
    <w:p>
      <w:pPr>
        <w:ind w:left="1840" w:right="92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2003</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4440" w:right="560" w:hanging="3733"/>
        <w:spacing w:after="0" w:line="528" w:lineRule="auto"/>
        <w:tabs>
          <w:tab w:leader="none" w:pos="184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0-19871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-18415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StemCells, Inc.</w:t>
      </w:r>
    </w:p>
    <w:p>
      <w:pPr>
        <w:spacing w:after="0" w:line="256"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6100" w:type="dxa"/>
            <w:vAlign w:val="bottom"/>
          </w:tcPr>
          <w:p>
            <w:pPr>
              <w:jc w:val="center"/>
              <w:ind w:left="1092"/>
              <w:spacing w:after="0"/>
              <w:rPr>
                <w:sz w:val="20"/>
                <w:szCs w:val="20"/>
                <w:color w:val="auto"/>
              </w:rPr>
            </w:pPr>
            <w:r>
              <w:rPr>
                <w:rFonts w:ascii="Times New Roman" w:cs="Times New Roman" w:eastAsia="Times New Roman" w:hAnsi="Times New Roman"/>
                <w:sz w:val="18"/>
                <w:szCs w:val="18"/>
                <w:i w:val="1"/>
                <w:iCs w:val="1"/>
                <w:color w:val="auto"/>
                <w:w w:val="97"/>
              </w:rPr>
              <w:t>(Exact name of Registrant as specified in its charter)</w:t>
            </w:r>
          </w:p>
        </w:tc>
        <w:tc>
          <w:tcPr>
            <w:tcW w:w="1600" w:type="dxa"/>
            <w:vAlign w:val="bottom"/>
          </w:tcPr>
          <w:p>
            <w:pPr>
              <w:spacing w:after="0"/>
              <w:rPr>
                <w:sz w:val="20"/>
                <w:szCs w:val="20"/>
                <w:color w:val="auto"/>
              </w:rPr>
            </w:pPr>
          </w:p>
        </w:tc>
      </w:tr>
      <w:tr>
        <w:trPr>
          <w:trHeight w:val="418"/>
        </w:trPr>
        <w:tc>
          <w:tcPr>
            <w:tcW w:w="6100" w:type="dxa"/>
            <w:vAlign w:val="bottom"/>
          </w:tcPr>
          <w:p>
            <w:pPr>
              <w:jc w:val="center"/>
              <w:ind w:right="36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6100" w:type="dxa"/>
            <w:vAlign w:val="bottom"/>
          </w:tcPr>
          <w:p>
            <w:pPr>
              <w:jc w:val="center"/>
              <w:ind w:right="3652"/>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w:t>
            </w:r>
          </w:p>
        </w:tc>
        <w:tc>
          <w:tcPr>
            <w:tcW w:w="1600" w:type="dxa"/>
            <w:vAlign w:val="bottom"/>
          </w:tcPr>
          <w:p>
            <w:pPr>
              <w:jc w:val="center"/>
              <w:ind w:left="232"/>
              <w:spacing w:after="0"/>
              <w:rPr>
                <w:sz w:val="20"/>
                <w:szCs w:val="20"/>
                <w:color w:val="auto"/>
              </w:rPr>
            </w:pPr>
            <w:r>
              <w:rPr>
                <w:rFonts w:ascii="Times New Roman" w:cs="Times New Roman" w:eastAsia="Times New Roman" w:hAnsi="Times New Roman"/>
                <w:sz w:val="18"/>
                <w:szCs w:val="18"/>
                <w:i w:val="1"/>
                <w:iCs w:val="1"/>
                <w:color w:val="auto"/>
                <w:w w:val="96"/>
              </w:rPr>
              <w:t>(I.R.S. Employer</w:t>
            </w:r>
          </w:p>
        </w:tc>
      </w:tr>
      <w:tr>
        <w:trPr>
          <w:trHeight w:val="216"/>
        </w:trPr>
        <w:tc>
          <w:tcPr>
            <w:tcW w:w="6100" w:type="dxa"/>
            <w:vAlign w:val="bottom"/>
          </w:tcPr>
          <w:p>
            <w:pPr>
              <w:jc w:val="center"/>
              <w:ind w:right="3652"/>
              <w:spacing w:after="0"/>
              <w:rPr>
                <w:sz w:val="20"/>
                <w:szCs w:val="20"/>
                <w:color w:val="auto"/>
              </w:rPr>
            </w:pPr>
            <w:r>
              <w:rPr>
                <w:rFonts w:ascii="Times New Roman" w:cs="Times New Roman" w:eastAsia="Times New Roman" w:hAnsi="Times New Roman"/>
                <w:sz w:val="18"/>
                <w:szCs w:val="18"/>
                <w:i w:val="1"/>
                <w:iCs w:val="1"/>
                <w:color w:val="auto"/>
                <w:w w:val="97"/>
              </w:rPr>
              <w:t>of incorporation or organization)</w:t>
            </w:r>
          </w:p>
        </w:tc>
        <w:tc>
          <w:tcPr>
            <w:tcW w:w="1600" w:type="dxa"/>
            <w:vAlign w:val="bottom"/>
          </w:tcPr>
          <w:p>
            <w:pPr>
              <w:jc w:val="center"/>
              <w:ind w:left="212"/>
              <w:spacing w:after="0"/>
              <w:rPr>
                <w:sz w:val="20"/>
                <w:szCs w:val="20"/>
                <w:color w:val="auto"/>
              </w:rPr>
            </w:pPr>
            <w:r>
              <w:rPr>
                <w:rFonts w:ascii="Times New Roman" w:cs="Times New Roman" w:eastAsia="Times New Roman" w:hAnsi="Times New Roman"/>
                <w:sz w:val="18"/>
                <w:szCs w:val="18"/>
                <w:i w:val="1"/>
                <w:iCs w:val="1"/>
                <w:color w:val="auto"/>
                <w:w w:val="97"/>
              </w:rPr>
              <w:t>Identification No.)</w:t>
            </w:r>
          </w:p>
        </w:tc>
      </w:tr>
      <w:tr>
        <w:trPr>
          <w:trHeight w:val="216"/>
        </w:trPr>
        <w:tc>
          <w:tcPr>
            <w:tcW w:w="6100" w:type="dxa"/>
            <w:vAlign w:val="bottom"/>
          </w:tcPr>
          <w:p>
            <w:pPr>
              <w:jc w:val="center"/>
              <w:ind w:right="3652"/>
              <w:spacing w:after="0"/>
              <w:rPr>
                <w:sz w:val="20"/>
                <w:szCs w:val="20"/>
                <w:color w:val="auto"/>
              </w:rPr>
            </w:pPr>
            <w:r>
              <w:rPr>
                <w:rFonts w:ascii="Times New Roman" w:cs="Times New Roman" w:eastAsia="Times New Roman" w:hAnsi="Times New Roman"/>
                <w:sz w:val="18"/>
                <w:szCs w:val="18"/>
                <w:b w:val="1"/>
                <w:bCs w:val="1"/>
                <w:color w:val="auto"/>
                <w:w w:val="98"/>
              </w:rPr>
              <w:t>3155 Porter Drive,</w:t>
            </w:r>
          </w:p>
        </w:tc>
        <w:tc>
          <w:tcPr>
            <w:tcW w:w="16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94304</w:t>
            </w:r>
          </w:p>
        </w:tc>
      </w:tr>
      <w:tr>
        <w:trPr>
          <w:trHeight w:val="216"/>
        </w:trPr>
        <w:tc>
          <w:tcPr>
            <w:tcW w:w="6100" w:type="dxa"/>
            <w:vAlign w:val="bottom"/>
          </w:tcPr>
          <w:p>
            <w:pPr>
              <w:jc w:val="center"/>
              <w:ind w:right="3512"/>
              <w:spacing w:after="0"/>
              <w:rPr>
                <w:sz w:val="20"/>
                <w:szCs w:val="20"/>
                <w:color w:val="auto"/>
              </w:rPr>
            </w:pPr>
            <w:r>
              <w:rPr>
                <w:rFonts w:ascii="Times New Roman" w:cs="Times New Roman" w:eastAsia="Times New Roman" w:hAnsi="Times New Roman"/>
                <w:sz w:val="18"/>
                <w:szCs w:val="18"/>
                <w:b w:val="1"/>
                <w:bCs w:val="1"/>
                <w:color w:val="auto"/>
                <w:w w:val="95"/>
              </w:rPr>
              <w:t>Palo Alto, CA</w:t>
            </w:r>
          </w:p>
        </w:tc>
        <w:tc>
          <w:tcPr>
            <w:tcW w:w="1600" w:type="dxa"/>
            <w:vAlign w:val="bottom"/>
          </w:tcPr>
          <w:p>
            <w:pPr>
              <w:jc w:val="center"/>
              <w:ind w:left="212"/>
              <w:spacing w:after="0"/>
              <w:rPr>
                <w:sz w:val="20"/>
                <w:szCs w:val="20"/>
                <w:color w:val="auto"/>
              </w:rPr>
            </w:pPr>
            <w:r>
              <w:rPr>
                <w:rFonts w:ascii="Times New Roman" w:cs="Times New Roman" w:eastAsia="Times New Roman" w:hAnsi="Times New Roman"/>
                <w:sz w:val="18"/>
                <w:szCs w:val="18"/>
                <w:i w:val="1"/>
                <w:iCs w:val="1"/>
                <w:color w:val="auto"/>
                <w:w w:val="97"/>
              </w:rPr>
              <w:t>(zip code)</w:t>
            </w:r>
          </w:p>
        </w:tc>
      </w:tr>
      <w:tr>
        <w:trPr>
          <w:trHeight w:val="230"/>
        </w:trPr>
        <w:tc>
          <w:tcPr>
            <w:tcW w:w="6100" w:type="dxa"/>
            <w:vAlign w:val="bottom"/>
          </w:tcPr>
          <w:p>
            <w:pPr>
              <w:jc w:val="center"/>
              <w:ind w:right="3512"/>
              <w:spacing w:after="0"/>
              <w:rPr>
                <w:sz w:val="20"/>
                <w:szCs w:val="20"/>
                <w:color w:val="auto"/>
              </w:rPr>
            </w:pPr>
            <w:r>
              <w:rPr>
                <w:rFonts w:ascii="Times New Roman" w:cs="Times New Roman" w:eastAsia="Times New Roman" w:hAnsi="Times New Roman"/>
                <w:sz w:val="18"/>
                <w:szCs w:val="18"/>
                <w:i w:val="1"/>
                <w:iCs w:val="1"/>
                <w:color w:val="auto"/>
                <w:w w:val="97"/>
              </w:rPr>
              <w:t>(Address of principal offices)</w:t>
            </w:r>
          </w:p>
        </w:tc>
        <w:tc>
          <w:tcPr>
            <w:tcW w:w="1600" w:type="dxa"/>
            <w:vAlign w:val="bottom"/>
          </w:tcPr>
          <w:p>
            <w:pPr>
              <w:spacing w:after="0"/>
              <w:rPr>
                <w:sz w:val="20"/>
                <w:szCs w:val="20"/>
                <w:color w:val="auto"/>
              </w:rPr>
            </w:pPr>
          </w:p>
        </w:tc>
      </w:tr>
      <w:tr>
        <w:trPr>
          <w:trHeight w:val="432"/>
        </w:trPr>
        <w:tc>
          <w:tcPr>
            <w:tcW w:w="6100" w:type="dxa"/>
            <w:vAlign w:val="bottom"/>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6"/>
              </w:rPr>
              <w:t>Registrant’s telephone number, including area code:</w:t>
            </w:r>
          </w:p>
        </w:tc>
        <w:tc>
          <w:tcPr>
            <w:tcW w:w="1600" w:type="dxa"/>
            <w:vAlign w:val="bottom"/>
          </w:tcPr>
          <w:p>
            <w:pPr>
              <w:spacing w:after="0"/>
              <w:rPr>
                <w:sz w:val="24"/>
                <w:szCs w:val="24"/>
                <w:color w:val="auto"/>
              </w:rPr>
            </w:pPr>
          </w:p>
        </w:tc>
      </w:tr>
      <w:tr>
        <w:trPr>
          <w:trHeight w:val="432"/>
        </w:trPr>
        <w:tc>
          <w:tcPr>
            <w:tcW w:w="6100" w:type="dxa"/>
            <w:vAlign w:val="bottom"/>
          </w:tcPr>
          <w:p>
            <w:pPr>
              <w:jc w:val="center"/>
              <w:ind w:left="1092"/>
              <w:spacing w:after="0"/>
              <w:rPr>
                <w:sz w:val="20"/>
                <w:szCs w:val="20"/>
                <w:color w:val="auto"/>
              </w:rPr>
            </w:pPr>
            <w:r>
              <w:rPr>
                <w:rFonts w:ascii="Times New Roman" w:cs="Times New Roman" w:eastAsia="Times New Roman" w:hAnsi="Times New Roman"/>
                <w:sz w:val="18"/>
                <w:szCs w:val="18"/>
                <w:b w:val="1"/>
                <w:bCs w:val="1"/>
                <w:color w:val="auto"/>
                <w:w w:val="97"/>
              </w:rPr>
              <w:t>(650) 475 3100</w:t>
            </w:r>
          </w:p>
        </w:tc>
        <w:tc>
          <w:tcPr>
            <w:tcW w:w="1600" w:type="dxa"/>
            <w:vAlign w:val="bottom"/>
          </w:tcPr>
          <w:p>
            <w:pPr>
              <w:spacing w:after="0"/>
              <w:rPr>
                <w:sz w:val="24"/>
                <w:szCs w:val="24"/>
                <w:color w:val="auto"/>
              </w:rPr>
            </w:pPr>
          </w:p>
        </w:tc>
      </w:tr>
      <w:tr>
        <w:trPr>
          <w:trHeight w:val="432"/>
        </w:trPr>
        <w:tc>
          <w:tcPr>
            <w:tcW w:w="6100" w:type="dxa"/>
            <w:vAlign w:val="bottom"/>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1600" w:type="dxa"/>
            <w:vAlign w:val="bottom"/>
          </w:tcPr>
          <w:p>
            <w:pPr>
              <w:spacing w:after="0"/>
              <w:rPr>
                <w:sz w:val="24"/>
                <w:szCs w:val="24"/>
                <w:color w:val="auto"/>
              </w:rPr>
            </w:pPr>
          </w:p>
        </w:tc>
      </w:tr>
    </w:tbl>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$.01 PAR VALUE</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JUNIOR PREFERRED STOCK PURCHASE RIGHTS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w:t>
      </w:r>
    </w:p>
    <w:p>
      <w:pPr>
        <w:spacing w:after="0" w:line="213" w:lineRule="exact"/>
        <w:rPr>
          <w:sz w:val="20"/>
          <w:szCs w:val="20"/>
          <w:color w:val="auto"/>
        </w:rPr>
      </w:pPr>
    </w:p>
    <w:p>
      <w:pPr>
        <w:ind w:right="160" w:firstLine="439"/>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0"/>
          <w:szCs w:val="20"/>
          <w:color w:val="auto"/>
        </w:rPr>
      </w:pPr>
    </w:p>
    <w:p>
      <w:pPr>
        <w:ind w:right="140" w:firstLine="439"/>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7" w:lineRule="exact"/>
        <w:rPr>
          <w:sz w:val="20"/>
          <w:szCs w:val="20"/>
          <w:color w:val="auto"/>
        </w:rPr>
      </w:pPr>
    </w:p>
    <w:p>
      <w:pPr>
        <w:ind w:left="440"/>
        <w:spacing w:after="0" w:line="207" w:lineRule="exact"/>
        <w:tabs>
          <w:tab w:leader="none" w:pos="830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Exchange Act Rule 126(2).</w:t>
        <w:tab/>
        <w:t>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2" w:lineRule="exact"/>
        <w:rPr>
          <w:sz w:val="20"/>
          <w:szCs w:val="20"/>
          <w:color w:val="auto"/>
        </w:rPr>
      </w:pPr>
    </w:p>
    <w:p>
      <w:pPr>
        <w:ind w:firstLine="429"/>
        <w:spacing w:after="0" w:line="262" w:lineRule="auto"/>
        <w:rPr>
          <w:sz w:val="20"/>
          <w:szCs w:val="20"/>
          <w:color w:val="auto"/>
        </w:rPr>
      </w:pPr>
      <w:r>
        <w:rPr>
          <w:rFonts w:ascii="Times New Roman" w:cs="Times New Roman" w:eastAsia="Times New Roman" w:hAnsi="Times New Roman"/>
          <w:sz w:val="18"/>
          <w:szCs w:val="18"/>
          <w:color w:val="auto"/>
        </w:rPr>
        <w:t>Aggregate market value of Common Stock held by non-affiliates at June 30, 2003: $54,596,198.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Common stock outstanding at March 17, 2004: 41,004,834 shares.</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ind w:right="220" w:firstLine="439"/>
        <w:spacing w:after="0" w:line="275"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registrant’s 2004 Annual Meeting of Stockholders to be filed with the Commission pursuant to Regulation 14A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8" w:right="319" w:bottom="1021"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4" w:lineRule="exact"/>
        <w:rPr>
          <w:sz w:val="20"/>
          <w:szCs w:val="20"/>
          <w:color w:val="auto"/>
        </w:rPr>
      </w:pPr>
    </w:p>
    <w:p>
      <w:pPr>
        <w:ind w:firstLine="324"/>
        <w:spacing w:after="0" w:line="291" w:lineRule="auto"/>
        <w:rPr>
          <w:sz w:val="20"/>
          <w:szCs w:val="20"/>
          <w:color w:val="auto"/>
        </w:rPr>
      </w:pPr>
      <w:r>
        <w:rPr>
          <w:rFonts w:ascii="Times New Roman" w:cs="Times New Roman" w:eastAsia="Times New Roman" w:hAnsi="Times New Roman"/>
          <w:sz w:val="16"/>
          <w:szCs w:val="16"/>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3" w:name="page4"/>
    <w:bookmarkEnd w:id="3"/>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1. Business</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26">
        <w:r>
          <w:rPr>
            <w:rFonts w:ascii="Times New Roman" w:cs="Times New Roman" w:eastAsia="Times New Roman" w:hAnsi="Times New Roman"/>
            <w:sz w:val="22"/>
            <w:szCs w:val="22"/>
            <w:u w:val="single" w:color="auto"/>
            <w:color w:val="0000EE"/>
          </w:rPr>
          <w:t>Item 2. Properties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26">
        <w:r>
          <w:rPr>
            <w:rFonts w:ascii="Times New Roman" w:cs="Times New Roman" w:eastAsia="Times New Roman" w:hAnsi="Times New Roman"/>
            <w:sz w:val="22"/>
            <w:szCs w:val="22"/>
            <w:u w:val="single" w:color="auto"/>
            <w:color w:val="0000EE"/>
          </w:rPr>
          <w:t>Item 3. Legal Proceedings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26">
        <w:r>
          <w:rPr>
            <w:rFonts w:ascii="Times New Roman" w:cs="Times New Roman" w:eastAsia="Times New Roman" w:hAnsi="Times New Roman"/>
            <w:sz w:val="22"/>
            <w:szCs w:val="22"/>
            <w:u w:val="single" w:color="auto"/>
            <w:color w:val="0000EE"/>
          </w:rPr>
          <w:t>Item 4. Submission of Matters to a Vote of Security Holders</w:t>
        </w:r>
      </w:hyperlink>
    </w:p>
    <w:p>
      <w:pPr>
        <w:spacing w:after="0" w:line="230" w:lineRule="auto"/>
        <w:rPr>
          <w:rFonts w:ascii="Times New Roman" w:cs="Times New Roman" w:eastAsia="Times New Roman" w:hAnsi="Times New Roman"/>
          <w:sz w:val="22"/>
          <w:szCs w:val="22"/>
          <w:u w:val="single" w:color="auto"/>
          <w:color w:val="0000EE"/>
        </w:rPr>
      </w:pPr>
      <w:hyperlink w:anchor="page26">
        <w:r>
          <w:rPr>
            <w:rFonts w:ascii="Times New Roman" w:cs="Times New Roman" w:eastAsia="Times New Roman" w:hAnsi="Times New Roman"/>
            <w:sz w:val="22"/>
            <w:szCs w:val="22"/>
            <w:u w:val="single" w:color="auto"/>
            <w:color w:val="0000EE"/>
          </w:rPr>
          <w:t>PART II</w:t>
        </w:r>
      </w:hyperlink>
    </w:p>
    <w:p>
      <w:pPr>
        <w:spacing w:after="0" w:line="1" w:lineRule="exact"/>
        <w:rPr>
          <w:sz w:val="20"/>
          <w:szCs w:val="20"/>
          <w:color w:val="auto"/>
        </w:rPr>
      </w:pPr>
    </w:p>
    <w:p>
      <w:pPr>
        <w:ind w:left="320" w:right="2380"/>
        <w:spacing w:after="0" w:line="230" w:lineRule="auto"/>
        <w:rPr>
          <w:rFonts w:ascii="Times New Roman" w:cs="Times New Roman" w:eastAsia="Times New Roman" w:hAnsi="Times New Roman"/>
          <w:sz w:val="22"/>
          <w:szCs w:val="22"/>
          <w:u w:val="single" w:color="auto"/>
          <w:color w:val="0000EE"/>
        </w:rPr>
      </w:pPr>
      <w:hyperlink w:anchor="page26">
        <w:r>
          <w:rPr>
            <w:rFonts w:ascii="Times New Roman" w:cs="Times New Roman" w:eastAsia="Times New Roman" w:hAnsi="Times New Roman"/>
            <w:sz w:val="22"/>
            <w:szCs w:val="22"/>
            <w:u w:val="single" w:color="auto"/>
            <w:color w:val="0000EE"/>
          </w:rPr>
          <w:t>Item 5. Market for Registrant’s Common Equity and Related Stockholders Matters</w:t>
        </w:r>
      </w:hyperlink>
      <w:r>
        <w:rPr>
          <w:rFonts w:ascii="Times New Roman" w:cs="Times New Roman" w:eastAsia="Times New Roman" w:hAnsi="Times New Roman"/>
          <w:sz w:val="22"/>
          <w:szCs w:val="22"/>
          <w:u w:val="single" w:color="auto"/>
          <w:color w:val="0000EE"/>
        </w:rPr>
        <w:t xml:space="preserve"> </w:t>
      </w:r>
      <w:hyperlink w:anchor="page28">
        <w:r>
          <w:rPr>
            <w:rFonts w:ascii="Times New Roman" w:cs="Times New Roman" w:eastAsia="Times New Roman" w:hAnsi="Times New Roman"/>
            <w:sz w:val="22"/>
            <w:szCs w:val="22"/>
            <w:u w:val="single" w:color="auto"/>
            <w:color w:val="0000EE"/>
          </w:rPr>
          <w:t>Item 6. Selected Financial Data</w:t>
        </w:r>
      </w:hyperlink>
    </w:p>
    <w:p>
      <w:pPr>
        <w:spacing w:after="0" w:line="1" w:lineRule="exact"/>
        <w:rPr>
          <w:sz w:val="20"/>
          <w:szCs w:val="20"/>
          <w:color w:val="auto"/>
        </w:rPr>
      </w:pPr>
    </w:p>
    <w:p>
      <w:pPr>
        <w:ind w:left="320" w:right="1100"/>
        <w:spacing w:after="0" w:line="230" w:lineRule="auto"/>
        <w:rPr>
          <w:rFonts w:ascii="Times New Roman" w:cs="Times New Roman" w:eastAsia="Times New Roman" w:hAnsi="Times New Roman"/>
          <w:sz w:val="22"/>
          <w:szCs w:val="22"/>
          <w:u w:val="single" w:color="auto"/>
          <w:color w:val="0000EE"/>
        </w:rPr>
      </w:pPr>
      <w:hyperlink w:anchor="page29">
        <w:r>
          <w:rPr>
            <w:rFonts w:ascii="Times New Roman" w:cs="Times New Roman" w:eastAsia="Times New Roman" w:hAnsi="Times New Roman"/>
            <w:sz w:val="22"/>
            <w:szCs w:val="22"/>
            <w:u w:val="single" w:color="auto"/>
            <w:color w:val="0000EE"/>
          </w:rPr>
          <w:t>Item 7. Management’s Discussion and Analysis of Financial Condition and Results of Operations</w:t>
        </w:r>
      </w:hyperlink>
      <w:r>
        <w:rPr>
          <w:rFonts w:ascii="Times New Roman" w:cs="Times New Roman" w:eastAsia="Times New Roman" w:hAnsi="Times New Roman"/>
          <w:sz w:val="22"/>
          <w:szCs w:val="22"/>
          <w:u w:val="single" w:color="auto"/>
          <w:color w:val="0000EE"/>
        </w:rPr>
        <w:t xml:space="preserve"> </w:t>
      </w:r>
      <w:hyperlink w:anchor="page37">
        <w:r>
          <w:rPr>
            <w:rFonts w:ascii="Times New Roman" w:cs="Times New Roman" w:eastAsia="Times New Roman" w:hAnsi="Times New Roman"/>
            <w:sz w:val="22"/>
            <w:szCs w:val="22"/>
            <w:u w:val="single" w:color="auto"/>
            <w:color w:val="0000EE"/>
          </w:rPr>
          <w:t>Item 7A. Quantitive and Qualitative Disclosures About Market Risk</w:t>
        </w:r>
      </w:hyperlink>
      <w:r>
        <w:rPr>
          <w:rFonts w:ascii="Times New Roman" w:cs="Times New Roman" w:eastAsia="Times New Roman" w:hAnsi="Times New Roman"/>
          <w:sz w:val="22"/>
          <w:szCs w:val="22"/>
          <w:u w:val="single" w:color="auto"/>
          <w:color w:val="0000EE"/>
        </w:rPr>
        <w:t xml:space="preserve"> </w:t>
      </w:r>
      <w:hyperlink w:anchor="page37">
        <w:r>
          <w:rPr>
            <w:rFonts w:ascii="Times New Roman" w:cs="Times New Roman" w:eastAsia="Times New Roman" w:hAnsi="Times New Roman"/>
            <w:sz w:val="22"/>
            <w:szCs w:val="22"/>
            <w:u w:val="single" w:color="auto"/>
            <w:color w:val="0000EE"/>
          </w:rPr>
          <w:t>Item 8. Financial Statements and Supplementary Data</w:t>
        </w:r>
      </w:hyperlink>
    </w:p>
    <w:p>
      <w:pPr>
        <w:spacing w:after="0" w:line="2" w:lineRule="exact"/>
        <w:rPr>
          <w:rFonts w:ascii="Times New Roman" w:cs="Times New Roman" w:eastAsia="Times New Roman" w:hAnsi="Times New Roman"/>
          <w:sz w:val="22"/>
          <w:szCs w:val="22"/>
          <w:u w:val="single" w:color="auto"/>
          <w:color w:val="0000EE"/>
        </w:rPr>
      </w:pPr>
    </w:p>
    <w:p>
      <w:pPr>
        <w:ind w:left="320" w:right="1080"/>
        <w:spacing w:after="0" w:line="230" w:lineRule="auto"/>
        <w:rPr>
          <w:rFonts w:ascii="Times New Roman" w:cs="Times New Roman" w:eastAsia="Times New Roman" w:hAnsi="Times New Roman"/>
          <w:sz w:val="22"/>
          <w:szCs w:val="22"/>
          <w:u w:val="single" w:color="auto"/>
          <w:color w:val="0000EE"/>
        </w:rPr>
      </w:pPr>
      <w:hyperlink w:anchor="page64">
        <w:r>
          <w:rPr>
            <w:rFonts w:ascii="Times New Roman" w:cs="Times New Roman" w:eastAsia="Times New Roman" w:hAnsi="Times New Roman"/>
            <w:sz w:val="22"/>
            <w:szCs w:val="22"/>
            <w:u w:val="single" w:color="auto"/>
            <w:color w:val="0000EE"/>
          </w:rPr>
          <w:t>Item 9. Changes in and Disagreements with Accountants on Accounting and Financial Disclosure</w:t>
        </w:r>
      </w:hyperlink>
      <w:r>
        <w:rPr>
          <w:rFonts w:ascii="Times New Roman" w:cs="Times New Roman" w:eastAsia="Times New Roman" w:hAnsi="Times New Roman"/>
          <w:sz w:val="22"/>
          <w:szCs w:val="22"/>
          <w:u w:val="single" w:color="auto"/>
          <w:color w:val="0000EE"/>
        </w:rPr>
        <w:t xml:space="preserve"> </w:t>
      </w:r>
      <w:hyperlink w:anchor="page64">
        <w:r>
          <w:rPr>
            <w:rFonts w:ascii="Times New Roman" w:cs="Times New Roman" w:eastAsia="Times New Roman" w:hAnsi="Times New Roman"/>
            <w:sz w:val="22"/>
            <w:szCs w:val="22"/>
            <w:u w:val="single" w:color="auto"/>
            <w:color w:val="0000EE"/>
          </w:rPr>
          <w:t>Item 9A. Controls and Procedures</w:t>
        </w:r>
      </w:hyperlink>
    </w:p>
    <w:p>
      <w:pPr>
        <w:spacing w:after="0" w:line="231" w:lineRule="auto"/>
        <w:rPr>
          <w:rFonts w:ascii="Times New Roman" w:cs="Times New Roman" w:eastAsia="Times New Roman" w:hAnsi="Times New Roman"/>
          <w:sz w:val="22"/>
          <w:szCs w:val="22"/>
          <w:u w:val="single" w:color="auto"/>
          <w:color w:val="0000EE"/>
        </w:rPr>
      </w:pPr>
      <w:hyperlink w:anchor="page64">
        <w:r>
          <w:rPr>
            <w:rFonts w:ascii="Times New Roman" w:cs="Times New Roman" w:eastAsia="Times New Roman" w:hAnsi="Times New Roman"/>
            <w:sz w:val="22"/>
            <w:szCs w:val="22"/>
            <w:u w:val="single" w:color="auto"/>
            <w:color w:val="0000EE"/>
          </w:rPr>
          <w:t>PART III</w:t>
        </w:r>
      </w:hyperlink>
    </w:p>
    <w:p>
      <w:pPr>
        <w:spacing w:after="0" w:line="1" w:lineRule="exact"/>
        <w:rPr>
          <w:sz w:val="20"/>
          <w:szCs w:val="20"/>
          <w:color w:val="auto"/>
        </w:rPr>
      </w:pPr>
    </w:p>
    <w:p>
      <w:pPr>
        <w:ind w:left="320" w:right="4420"/>
        <w:spacing w:after="0" w:line="230" w:lineRule="auto"/>
        <w:rPr>
          <w:rFonts w:ascii="Times New Roman" w:cs="Times New Roman" w:eastAsia="Times New Roman" w:hAnsi="Times New Roman"/>
          <w:sz w:val="22"/>
          <w:szCs w:val="22"/>
          <w:u w:val="single" w:color="auto"/>
          <w:color w:val="0000EE"/>
        </w:rPr>
      </w:pPr>
      <w:hyperlink w:anchor="page64">
        <w:r>
          <w:rPr>
            <w:rFonts w:ascii="Times New Roman" w:cs="Times New Roman" w:eastAsia="Times New Roman" w:hAnsi="Times New Roman"/>
            <w:sz w:val="22"/>
            <w:szCs w:val="22"/>
            <w:u w:val="single" w:color="auto"/>
            <w:color w:val="0000EE"/>
          </w:rPr>
          <w:t>Item 10. Directors and Executive Officers of the Registrant</w:t>
        </w:r>
      </w:hyperlink>
      <w:r>
        <w:rPr>
          <w:rFonts w:ascii="Times New Roman" w:cs="Times New Roman" w:eastAsia="Times New Roman" w:hAnsi="Times New Roman"/>
          <w:sz w:val="22"/>
          <w:szCs w:val="22"/>
          <w:u w:val="single" w:color="auto"/>
          <w:color w:val="0000EE"/>
        </w:rPr>
        <w:t xml:space="preserve"> </w:t>
      </w:r>
      <w:hyperlink w:anchor="page64">
        <w:r>
          <w:rPr>
            <w:rFonts w:ascii="Times New Roman" w:cs="Times New Roman" w:eastAsia="Times New Roman" w:hAnsi="Times New Roman"/>
            <w:sz w:val="22"/>
            <w:szCs w:val="22"/>
            <w:u w:val="single" w:color="auto"/>
            <w:color w:val="0000EE"/>
          </w:rPr>
          <w:t>Item 11. Executive Compensation</w:t>
        </w:r>
      </w:hyperlink>
    </w:p>
    <w:p>
      <w:pPr>
        <w:spacing w:after="0" w:line="1" w:lineRule="exact"/>
        <w:rPr>
          <w:sz w:val="20"/>
          <w:szCs w:val="20"/>
          <w:color w:val="auto"/>
        </w:rPr>
      </w:pPr>
    </w:p>
    <w:p>
      <w:pPr>
        <w:ind w:left="320"/>
        <w:spacing w:after="0" w:line="230" w:lineRule="auto"/>
        <w:rPr>
          <w:rFonts w:ascii="Times New Roman" w:cs="Times New Roman" w:eastAsia="Times New Roman" w:hAnsi="Times New Roman"/>
          <w:sz w:val="22"/>
          <w:szCs w:val="22"/>
          <w:u w:val="single" w:color="auto"/>
          <w:color w:val="0000EE"/>
        </w:rPr>
      </w:pPr>
      <w:hyperlink w:anchor="page64">
        <w:r>
          <w:rPr>
            <w:rFonts w:ascii="Times New Roman" w:cs="Times New Roman" w:eastAsia="Times New Roman" w:hAnsi="Times New Roman"/>
            <w:sz w:val="22"/>
            <w:szCs w:val="22"/>
            <w:u w:val="single" w:color="auto"/>
            <w:color w:val="0000EE"/>
          </w:rPr>
          <w:t>Item 12. Security Ownership of Certain Beneficial Owners and Management and Related Stockholder Matters</w:t>
        </w:r>
      </w:hyperlink>
      <w:r>
        <w:rPr>
          <w:rFonts w:ascii="Times New Roman" w:cs="Times New Roman" w:eastAsia="Times New Roman" w:hAnsi="Times New Roman"/>
          <w:sz w:val="22"/>
          <w:szCs w:val="22"/>
          <w:u w:val="single" w:color="auto"/>
          <w:color w:val="0000EE"/>
        </w:rPr>
        <w:t xml:space="preserve"> </w:t>
      </w:r>
      <w:hyperlink w:anchor="page65">
        <w:r>
          <w:rPr>
            <w:rFonts w:ascii="Times New Roman" w:cs="Times New Roman" w:eastAsia="Times New Roman" w:hAnsi="Times New Roman"/>
            <w:sz w:val="22"/>
            <w:szCs w:val="22"/>
            <w:u w:val="single" w:color="auto"/>
            <w:color w:val="0000EE"/>
          </w:rPr>
          <w:t>Item 13. Certain Relationships and Related Transactions</w:t>
        </w:r>
      </w:hyperlink>
    </w:p>
    <w:p>
      <w:pPr>
        <w:spacing w:after="0" w:line="231" w:lineRule="auto"/>
        <w:rPr>
          <w:rFonts w:ascii="Times New Roman" w:cs="Times New Roman" w:eastAsia="Times New Roman" w:hAnsi="Times New Roman"/>
          <w:sz w:val="22"/>
          <w:szCs w:val="22"/>
          <w:u w:val="single" w:color="auto"/>
          <w:color w:val="0000EE"/>
        </w:rPr>
      </w:pPr>
      <w:hyperlink w:anchor="page65">
        <w:r>
          <w:rPr>
            <w:rFonts w:ascii="Times New Roman" w:cs="Times New Roman" w:eastAsia="Times New Roman" w:hAnsi="Times New Roman"/>
            <w:sz w:val="22"/>
            <w:szCs w:val="22"/>
            <w:u w:val="single" w:color="auto"/>
            <w:color w:val="0000EE"/>
          </w:rPr>
          <w:t>PART IV</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5">
        <w:r>
          <w:rPr>
            <w:rFonts w:ascii="Times New Roman" w:cs="Times New Roman" w:eastAsia="Times New Roman" w:hAnsi="Times New Roman"/>
            <w:sz w:val="22"/>
            <w:szCs w:val="22"/>
            <w:u w:val="single" w:color="auto"/>
            <w:color w:val="0000EE"/>
          </w:rPr>
          <w:t>Item 14. Principal Accountant Fees and Services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5">
        <w:r>
          <w:rPr>
            <w:rFonts w:ascii="Times New Roman" w:cs="Times New Roman" w:eastAsia="Times New Roman" w:hAnsi="Times New Roman"/>
            <w:sz w:val="22"/>
            <w:szCs w:val="22"/>
            <w:u w:val="single" w:color="auto"/>
            <w:color w:val="0000EE"/>
          </w:rPr>
          <w:t>Item 15. Exhibits, Financial Statement Schedules and Reports on Form 8-K</w:t>
        </w:r>
      </w:hyperlink>
    </w:p>
    <w:p>
      <w:pPr>
        <w:spacing w:after="0" w:line="230" w:lineRule="auto"/>
        <w:rPr>
          <w:rFonts w:ascii="Times New Roman" w:cs="Times New Roman" w:eastAsia="Times New Roman" w:hAnsi="Times New Roman"/>
          <w:sz w:val="22"/>
          <w:szCs w:val="22"/>
          <w:u w:val="single" w:color="auto"/>
          <w:color w:val="0000EE"/>
        </w:rPr>
      </w:pPr>
      <w:hyperlink w:anchor="page71">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72">
        <w:r>
          <w:rPr>
            <w:rFonts w:ascii="Times New Roman" w:cs="Times New Roman" w:eastAsia="Times New Roman" w:hAnsi="Times New Roman"/>
            <w:sz w:val="22"/>
            <w:szCs w:val="22"/>
            <w:u w:val="single" w:color="auto"/>
            <w:color w:val="0000EE"/>
          </w:rPr>
          <w:t>EXHIBIT INDEX</w:t>
        </w:r>
      </w:hyperlink>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EXHIBIT 14.1</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EXHIBIT 23.1</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EXHIBIT 23.2</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EXHIBIT 31.1</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EXHIBIT 31.2</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EXHIBIT 32.1</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EXHIBIT 32.2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820" w:top="108" w:right="1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are engaged in research aimed at the development of therapies that would use stem and progenitor cells to treat, and possibly cure, human diseases and injuries such as neurodegenerative diseases (for instance, Batten’s,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224"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49 million people in the United States and account for more than $300 billion annually in health care costs.(1)</w:t>
      </w:r>
    </w:p>
    <w:p>
      <w:pPr>
        <w:spacing w:after="0" w:line="2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stem cell discovery engine relies upon our state of the art cell sorting capabilities and our library of proprietary monoclonal antibodies to human proteins. Using this library of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in-house efforts on our neural and liver programs and, for the present, pursuing research on the pancreas primarily through an external collaborator.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 Therapy Background</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Role of Cells in Human Health and Traditional Therapies</w:t>
      </w:r>
    </w:p>
    <w:p>
      <w:pPr>
        <w:spacing w:after="0" w:line="25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in some diseases, such as dopamine which is deficient in the brains of individuals with Parkinson’s disease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1 This estimate is based on information from the Alzheimer’s Association, the Alzheimer’s Disease Education &amp; Referral Center (National Institute on Aging), the National Institutes of Health’s National Institute on Neurological Disorders and Stroke, the Foundation for Spinal Cord Injury Prevention, Care &amp; Cure, the Centers for Disease Control and Prevention, University of Georgia College of Pharmacy, the Cincinnati Children’s Hospital Medical Center, JAIDs, the American Liver Foundation, and the Parkinson’s Action Network.</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loss of dopamine producing neurons.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 considered supplementing the failing cells that are no longer producing the needed substances or proteins by implanting stem or progenitor cells. Where there has been irreversible tissue damage or organ failure, transplantation of these stem or progenitor cells offers the possibility of generating new and healthy mature cells, thus potentially restoring the organ function and the patient’s health.</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Potential of our Tissue-Derived Stem Cell-Based Therapy</w:t>
      </w:r>
    </w:p>
    <w:p>
      <w:pPr>
        <w:spacing w:after="0" w:line="256"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We believe that, if successfully developed, stem cell-based therapy — the use of stem or progenitor cells to treat diseases — has the potential to provide a broad therapeutic approach comparable in importance to traditional pharmaceuticals and genetically engineered biologics.</w:t>
      </w:r>
    </w:p>
    <w:p>
      <w:pPr>
        <w:spacing w:after="0" w:line="20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213" w:lineRule="exact"/>
        <w:rPr>
          <w:sz w:val="20"/>
          <w:szCs w:val="20"/>
          <w:color w:val="auto"/>
        </w:rPr>
      </w:pPr>
    </w:p>
    <w:p>
      <w:pPr>
        <w:ind w:left="880" w:hanging="19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stem or progenitor cells of a particular organ;</w:t>
      </w:r>
    </w:p>
    <w:p>
      <w:pPr>
        <w:spacing w:after="0" w:line="279" w:lineRule="exact"/>
        <w:rPr>
          <w:rFonts w:ascii="Times New Roman" w:cs="Times New Roman" w:eastAsia="Times New Roman" w:hAnsi="Times New Roman"/>
          <w:sz w:val="18"/>
          <w:szCs w:val="18"/>
          <w:color w:val="auto"/>
        </w:rPr>
      </w:pPr>
    </w:p>
    <w:p>
      <w:pPr>
        <w:ind w:left="880" w:hanging="19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techniques and processes that can be used to expand these rare cells in sufficient quantities for effective transplants; and</w:t>
      </w:r>
    </w:p>
    <w:p>
      <w:pPr>
        <w:spacing w:after="0" w:line="279" w:lineRule="exact"/>
        <w:rPr>
          <w:rFonts w:ascii="Times New Roman" w:cs="Times New Roman" w:eastAsia="Times New Roman" w:hAnsi="Times New Roman"/>
          <w:sz w:val="18"/>
          <w:szCs w:val="18"/>
          <w:color w:val="auto"/>
        </w:rPr>
      </w:pPr>
    </w:p>
    <w:p>
      <w:pPr>
        <w:ind w:left="360" w:right="280" w:firstLine="323"/>
        <w:spacing w:after="0" w:line="275" w:lineRule="auto"/>
        <w:tabs>
          <w:tab w:leader="none" w:pos="8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 bank of normal human stem or progenitor cells that can be used for transplantation into individuals whose own cells are not suitable because of disease or other reasons.</w:t>
      </w: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discovered and patented the use of monoclonal antibodies to markers on the cell surface that identify the human central nervous system, or CNS, stem cells. This methodology allows us to purify the stem cell population and eliminate other unwanted cell types. We have also developed a process, based on a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culture system in chemically defined media, that reproducibly grows normal human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2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be used to restore function by replacing specific cells that have been damaged or destroyed. In our research, we have shown that when human stem cells of the central nervous system are transplanted into animals, they are accepted, migrate, and successfully specialize to produce mature neurons and glial cells.</w:t>
      </w:r>
    </w:p>
    <w:p>
      <w:pPr>
        <w:spacing w:after="0" w:line="220"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More generally, because the tissue-derived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4" w:lineRule="exact"/>
        <w:rPr>
          <w:sz w:val="20"/>
          <w:szCs w:val="20"/>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repair and replacement,</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of genetic disorders,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 and screening,</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discovery and use,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79"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intend to research, develop, and commercialize the therapeutic uses of our stem and progenitor cells alone or in partnership with third parties. We also intend to monetize non-core uses of our stem cell technology, such as diagnostics, gene discovery and use, drug discovery and screening, by engaging in a number of non-exclusive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Stem Cell Technology Programs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Stem cells have two defining characteristics:</w:t>
      </w:r>
    </w:p>
    <w:p>
      <w:pPr>
        <w:spacing w:after="0" w:line="225" w:lineRule="exact"/>
        <w:rPr>
          <w:sz w:val="20"/>
          <w:szCs w:val="20"/>
          <w:color w:val="auto"/>
        </w:rPr>
      </w:pPr>
    </w:p>
    <w:p>
      <w:pPr>
        <w:ind w:left="460" w:hanging="101"/>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cells developed from stem cells produce all the kinds of mature cells making up the particular organ;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self renew — that is, other cells developed from stem cells are themselves new stem cells, thus permitting the process to continue again and again.</w:t>
      </w:r>
    </w:p>
    <w:p>
      <w:pPr>
        <w:spacing w:after="0" w:line="27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Stem cells are known to or thought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greater or lesser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220"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13"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Our strategy is to be the first to identify, isolate and patent multiple types of human stem and progenitor cells, derived from human tissue, with commercial importance. Our portfolio of issued patents includes a method of culturing normal human central nervous system stem and progenitor cells in our proprietary chemically defined media, and our published studies show that these cultured and expanded cells give rise to all three major cell types of the central nervous system. In rodents, we have shown that these cells exhibit the unique properties of stem cells: They migrate and colonize throughout the organ from which they were derived and mature into the specialized cells, such as neurons and glial cells, that are normally found in that region of the organ. We also have patent applications pending in connection with our search for liver and pancreas stem and progenitor cells.</w:t>
      </w:r>
    </w:p>
    <w:p>
      <w:pPr>
        <w:spacing w:after="0" w:line="22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published the results of a study showing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We own or have exclusive licenses to U.S. patents on this process, as well as issued patents and pending patent applications for compositions of matter.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are the exclusive licensee of a U.S. patent issued in December, 2002, covering the transplantation of central nervous system stem cells (U.S. Patent No. 6,497,872, “Neural transplantation using proliferated multipotent neural stem cells and their progeny”). We have also filed patent applications covering the growth and expansion of these purified normal human central nervous system cells.</w:t>
      </w:r>
    </w:p>
    <w:p>
      <w:pPr>
        <w:spacing w:after="0" w:line="224"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18"/>
          <w:szCs w:val="18"/>
          <w:color w:val="auto"/>
        </w:rPr>
        <w:t>In 2001, we also announced the results of a new study (published in 2002) in which we used novel human specific monoclonal antibodies to demonstrate the extent of engraftment, migration and site-specific formation of the human neural stem cells into mature neurons. These neuronal cells integrate in a 3-dimensional array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within the normal architecture of the mouse brain. Astrocytes and oligodendrocytes, the other two principle types of central nervous system cells, are also generated from the human neural stem cells.</w:t>
      </w:r>
    </w:p>
    <w:p>
      <w:pPr>
        <w:spacing w:after="0" w:line="201"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In 2003, we announced results of three preclinical studies showing proof of principle of the human CNS-SC for a neurodegenerative disease using the mouse model for Infantile Batten Disease (a rare lysosomal storage disease), for spinal cord injury using a spinal cord crush mouse model and for myelination in the shiverer mouse model.</w:t>
      </w:r>
    </w:p>
    <w:p>
      <w:pPr>
        <w:spacing w:after="0" w:line="21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Neurological disorders such as Parkinson’s disease, Alzheimer’s disease, the side effects of stroke, and the mental retardation that accompanies genetic disorders such as Gaucher’s Disease, Tay-Sachs Disease, and Batten’s Disease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some of these diseases.</w:t>
      </w:r>
    </w:p>
    <w:p>
      <w:pPr>
        <w:spacing w:after="0" w:line="2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demonstrated in a mouse model for the Batten disease mouse model that the Company’s human CNS-SC engraft, migrate throughout the brain and produce the enzyme that is missing in this transgenic mouse. The transplanted human cells are able to neuroprotect specific neurons, in the transgenic mouse, from death and quantitatively reduce the insoluble storage material in the brain, a characteristic hallmark of this disease. The Company has submitted these results to the FDA and held formal discussions with the FDA pertaining to the filing of an IND for Batten Disease.</w:t>
      </w:r>
    </w:p>
    <w:p>
      <w:pPr>
        <w:spacing w:after="0" w:line="21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has also obtained and presented preclinical results in spinal cord injury. A preclinical study in mice by Drs. Aileen Anderson and Brian Cummings of the Reeve-Irvine Center at the University of California showed promising results using the Company’s proprietary human neural stem cell technology as a potential means to regenerate damaged nerves and nerve fibers in patients with spinal cord injuries. In quantitative tests designed to measure functional recovery from complete hind limb paralysis to normal walking, the Company’s researchers reported that injured mice transplanted with the Company’s human neural stem cells (hCNS-SC) showed improved motor function compared to control animals. Inspection of the spinal cords from these mice showed significant levels of human neural cells derived from the transplanted stem cells. Previously, injured rats have been given stem cells from other rats or mice, but not stem cells from humans. The performance of the human cells in this rodent injury model suggests the possibility that similar results may be obtainable in humans. We believe that the significance of this study is that there is now hope in treating two aspects of spinal cord injury: nerve damage and loss of motor function.</w:t>
      </w:r>
    </w:p>
    <w:p>
      <w:pPr>
        <w:spacing w:after="0" w:line="22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November 2003, the Company presented data at the 33rd Annual Society for Neuroscience Meeting showing production of myelin, the insulator for nerve cells. In the mutant shiverer mouse, which is deficient in myelin production, transplantation of hCNS-SC into the brain resulted in widespread engraftment of human cells that matured into oligodendrocytes, the myelin producing cells. Analysis of the brain tissue of these mice shows the human cells juxtaposed to the mouse nerves where the myelin produced by the human cells now ensheath the mouse nerve, providing the proper layers of insulation. Further studies are in progress to demonstrate proper function of the newly produced myelin. Loss of myelin characterizes conditions such as spinal cord injury, multiple sclerosis and certain genetic disorders (for example, Krabbe’s disease, metachormatic leukodystrophy, Tay Sachs disease).</w:t>
      </w:r>
    </w:p>
    <w:p>
      <w:pPr>
        <w:spacing w:after="0" w:line="220"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We continue to advance our research programs to discover the liver and pancreas stem and/or progenitor cells.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w:t>
      </w:r>
    </w:p>
    <w:p>
      <w:pPr>
        <w:spacing w:after="0" w:line="178"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expect to expand our search for new stem and progenitor cells and to seek to acquire rights to additional inventions relating to stem and progenitor cells from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Advantages of Our Stem Cell Technology</w:t>
      </w:r>
    </w:p>
    <w:p>
      <w:pPr>
        <w:spacing w:after="0" w:line="200" w:lineRule="exact"/>
        <w:rPr>
          <w:sz w:val="20"/>
          <w:szCs w:val="20"/>
          <w:color w:val="auto"/>
        </w:rPr>
      </w:pPr>
    </w:p>
    <w:p>
      <w:pPr>
        <w:spacing w:after="0" w:line="266" w:lineRule="exact"/>
        <w:rPr>
          <w:sz w:val="20"/>
          <w:szCs w:val="20"/>
          <w:color w:val="auto"/>
        </w:rPr>
      </w:pPr>
    </w:p>
    <w:p>
      <w:pPr>
        <w:ind w:left="1020" w:hanging="661"/>
        <w:spacing w:after="0"/>
        <w:tabs>
          <w:tab w:leader="none" w:pos="10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Other Treatment</w:t>
      </w:r>
    </w:p>
    <w:p>
      <w:pPr>
        <w:spacing w:after="0" w:line="25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200" w:lineRule="exact"/>
        <w:rPr>
          <w:sz w:val="20"/>
          <w:szCs w:val="20"/>
          <w:color w:val="auto"/>
        </w:rPr>
      </w:pPr>
    </w:p>
    <w:p>
      <w:pPr>
        <w:spacing w:after="0" w:line="232" w:lineRule="exact"/>
        <w:rPr>
          <w:sz w:val="20"/>
          <w:szCs w:val="20"/>
          <w:color w:val="auto"/>
        </w:rPr>
      </w:pPr>
    </w:p>
    <w:p>
      <w:pPr>
        <w:ind w:left="1020" w:hanging="661"/>
        <w:spacing w:after="0"/>
        <w:tabs>
          <w:tab w:leader="none" w:pos="10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Replaced Cells May Provide Normal Function for the Life of the Patient</w:t>
      </w:r>
    </w:p>
    <w:p>
      <w:pPr>
        <w:spacing w:after="0" w:line="256" w:lineRule="exact"/>
        <w:rPr>
          <w:sz w:val="20"/>
          <w:szCs w:val="20"/>
          <w:color w:val="auto"/>
        </w:rPr>
      </w:pPr>
    </w:p>
    <w:p>
      <w:pPr>
        <w:jc w:val="both"/>
        <w:ind w:right="420" w:firstLine="324"/>
        <w:spacing w:after="0" w:line="258" w:lineRule="auto"/>
        <w:rPr>
          <w:sz w:val="20"/>
          <w:szCs w:val="20"/>
          <w:color w:val="auto"/>
        </w:rPr>
      </w:pPr>
      <w:r>
        <w:rPr>
          <w:rFonts w:ascii="Times New Roman" w:cs="Times New Roman" w:eastAsia="Times New Roman" w:hAnsi="Times New Roman"/>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200" w:lineRule="exact"/>
        <w:rPr>
          <w:sz w:val="20"/>
          <w:szCs w:val="20"/>
          <w:color w:val="auto"/>
        </w:rPr>
      </w:pPr>
    </w:p>
    <w:p>
      <w:pPr>
        <w:spacing w:after="0" w:line="229" w:lineRule="exact"/>
        <w:rPr>
          <w:sz w:val="20"/>
          <w:szCs w:val="20"/>
          <w:color w:val="auto"/>
        </w:rPr>
      </w:pPr>
    </w:p>
    <w:p>
      <w:pPr>
        <w:ind w:left="1020" w:hanging="661"/>
        <w:spacing w:after="0"/>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Stem Cell Therapy Targets the Root Cause of the Disease</w:t>
      </w:r>
    </w:p>
    <w:p>
      <w:pPr>
        <w:spacing w:after="0" w:line="256"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Most approved therapies for the diseases being targeted by the Company are palliative in nature, primarily treating the symptoms of the disease. Stem cell therapy, by contrast, has the potential to arrest or slow down the progression of the disease or even cure the patient.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Programs</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Overview of Strategy</w:t>
      </w:r>
    </w:p>
    <w:p>
      <w:pPr>
        <w:spacing w:after="0" w:line="2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Research and Product Development Programs</w:t>
      </w:r>
    </w:p>
    <w:p>
      <w:pPr>
        <w:sectPr>
          <w:pgSz w:w="11900" w:h="16838" w:orient="portrait"/>
          <w:cols w:equalWidth="0" w:num="1">
            <w:col w:w="11380"/>
          </w:cols>
          <w:pgMar w:left="240" w:top="415"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Program Description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9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i w:val="1"/>
          <w:iCs w:val="1"/>
          <w:color w:val="auto"/>
        </w:rPr>
        <w:t>Human Neural Stem Cell</w:t>
      </w:r>
    </w:p>
    <w:p>
      <w:pPr>
        <w:spacing w:after="0" w:line="23" w:lineRule="exact"/>
        <w:rPr>
          <w:sz w:val="20"/>
          <w:szCs w:val="20"/>
          <w:color w:val="auto"/>
        </w:rPr>
      </w:pPr>
    </w:p>
    <w:p>
      <w:pPr>
        <w:spacing w:after="0" w:line="323" w:lineRule="auto"/>
        <w:rPr>
          <w:sz w:val="20"/>
          <w:szCs w:val="20"/>
          <w:color w:val="auto"/>
        </w:rPr>
      </w:pPr>
      <w:r>
        <w:rPr>
          <w:rFonts w:ascii="Times New Roman" w:cs="Times New Roman" w:eastAsia="Times New Roman" w:hAnsi="Times New Roman"/>
          <w:sz w:val="16"/>
          <w:szCs w:val="16"/>
          <w:color w:val="auto"/>
        </w:rPr>
        <w:t>Repair or replace damaged central nervous system tissue (including spinal cord, stroke-damaged tissue,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i w:val="1"/>
          <w:iCs w:val="1"/>
          <w:color w:val="auto"/>
        </w:rPr>
        <w:t>Liver Stem Cell</w:t>
      </w:r>
    </w:p>
    <w:p>
      <w:pPr>
        <w:spacing w:after="0" w:line="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Repair or replace liver tissue damaged or destroyed by cirrhosis and certain metabolic genetic diseases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Stage/Status(1)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71120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23" w:lineRule="exact"/>
        <w:rPr>
          <w:sz w:val="20"/>
          <w:szCs w:val="20"/>
          <w:color w:val="auto"/>
        </w:rPr>
      </w:pPr>
    </w:p>
    <w:p>
      <w:pPr>
        <w:ind w:left="280" w:right="100" w:hanging="10"/>
        <w:spacing w:after="0" w:line="250"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the ability to reproducibly identify and purify human neural stem cells (hCNS-SC).</w:t>
      </w:r>
    </w:p>
    <w:p>
      <w:pPr>
        <w:ind w:left="380" w:hanging="11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the ability to create human neural stem cell banks.</w:t>
      </w:r>
    </w:p>
    <w:p>
      <w:pPr>
        <w:spacing w:after="0" w:line="9" w:lineRule="exact"/>
        <w:rPr>
          <w:rFonts w:ascii="Times New Roman" w:cs="Times New Roman" w:eastAsia="Times New Roman" w:hAnsi="Times New Roman"/>
          <w:sz w:val="18"/>
          <w:szCs w:val="18"/>
          <w:color w:val="auto"/>
        </w:rPr>
      </w:pPr>
    </w:p>
    <w:p>
      <w:pPr>
        <w:ind w:left="280" w:hanging="10"/>
        <w:spacing w:after="0" w:line="250"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Demonstrated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the ability to initiate and expand stem cell-containing human neural cultures and specialization into three types of central nervous system cells.</w:t>
      </w:r>
    </w:p>
    <w:p>
      <w:pPr>
        <w:spacing w:after="0" w:line="1" w:lineRule="exact"/>
        <w:rPr>
          <w:rFonts w:ascii="Times New Roman" w:cs="Times New Roman" w:eastAsia="Times New Roman" w:hAnsi="Times New Roman"/>
          <w:sz w:val="18"/>
          <w:szCs w:val="18"/>
          <w:color w:val="auto"/>
        </w:rPr>
      </w:pPr>
    </w:p>
    <w:p>
      <w:pPr>
        <w:ind w:left="280" w:right="40" w:hanging="10"/>
        <w:spacing w:after="0" w:line="250"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in rodent studies that transplanted human brain-derived stem cells are accepted and properly specialized into the three major cell types of the central nervous system with no tumor formation.</w:t>
      </w:r>
    </w:p>
    <w:p>
      <w:pPr>
        <w:spacing w:after="0" w:line="1" w:lineRule="exact"/>
        <w:rPr>
          <w:rFonts w:ascii="Times New Roman" w:cs="Times New Roman" w:eastAsia="Times New Roman" w:hAnsi="Times New Roman"/>
          <w:sz w:val="18"/>
          <w:szCs w:val="18"/>
          <w:color w:val="auto"/>
        </w:rPr>
      </w:pPr>
    </w:p>
    <w:p>
      <w:pPr>
        <w:ind w:left="280" w:right="620" w:hanging="10"/>
        <w:spacing w:after="0" w:line="250"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preclinical testing of human neural stem cells in well-characterized small animal models of human diseases.</w:t>
      </w:r>
    </w:p>
    <w:p>
      <w:pPr>
        <w:ind w:left="380" w:hanging="11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Batten’s Disease Indication:</w:t>
      </w:r>
    </w:p>
    <w:p>
      <w:pPr>
        <w:spacing w:after="0" w:line="21" w:lineRule="exact"/>
        <w:rPr>
          <w:rFonts w:ascii="Times New Roman" w:cs="Times New Roman" w:eastAsia="Times New Roman" w:hAnsi="Times New Roman"/>
          <w:sz w:val="18"/>
          <w:szCs w:val="18"/>
          <w:color w:val="auto"/>
        </w:rPr>
      </w:pPr>
    </w:p>
    <w:p>
      <w:pPr>
        <w:jc w:val="both"/>
        <w:ind w:left="280" w:right="380" w:firstLine="98"/>
        <w:spacing w:after="0" w:line="299" w:lineRule="auto"/>
        <w:tabs>
          <w:tab w:leader="none" w:pos="493"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Demonstrated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proof of principle showing hCNS-SC can slow progression of neuro- degeneration in a genetic disease (Batten disease)</w:t>
      </w:r>
    </w:p>
    <w:p>
      <w:pPr>
        <w:ind w:left="280" w:right="180" w:firstLine="98"/>
        <w:spacing w:after="0" w:line="258" w:lineRule="auto"/>
        <w:tabs>
          <w:tab w:leader="none" w:pos="4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pre-clinical data to the FDA at a pre-IND meeting. </w:t>
      </w:r>
      <w:r>
        <w:rPr>
          <w:rFonts w:ascii="Times New Roman" w:cs="Times New Roman" w:eastAsia="Times New Roman" w:hAnsi="Times New Roman"/>
          <w:sz w:val="18"/>
          <w:szCs w:val="18"/>
          <w:i w:val="1"/>
          <w:iCs w:val="1"/>
          <w:color w:val="auto"/>
        </w:rPr>
        <w:t>IND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planned for Q1 2005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center"/>
        <w:ind w:left="280" w:right="720" w:hanging="10"/>
        <w:spacing w:after="0" w:line="281" w:lineRule="auto"/>
        <w:tabs>
          <w:tab w:leader="none" w:pos="38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Spinal Cord Injury: </w:t>
      </w:r>
      <w:r>
        <w:rPr>
          <w:rFonts w:ascii="Times New Roman" w:cs="Times New Roman" w:eastAsia="Times New Roman" w:hAnsi="Times New Roman"/>
          <w:sz w:val="16"/>
          <w:szCs w:val="16"/>
          <w:color w:val="auto"/>
        </w:rPr>
        <w:t>Demonstrated</w:t>
      </w:r>
      <w:r>
        <w:rPr>
          <w:rFonts w:ascii="Times New Roman" w:cs="Times New Roman" w:eastAsia="Times New Roman" w:hAnsi="Times New Roman"/>
          <w:sz w:val="16"/>
          <w:szCs w:val="16"/>
          <w:i w:val="1"/>
          <w:iCs w:val="1"/>
          <w:color w:val="auto"/>
        </w:rPr>
        <w:t xml:space="preserve"> in vivo </w:t>
      </w:r>
      <w:r>
        <w:rPr>
          <w:rFonts w:ascii="Times New Roman" w:cs="Times New Roman" w:eastAsia="Times New Roman" w:hAnsi="Times New Roman"/>
          <w:sz w:val="16"/>
          <w:szCs w:val="16"/>
          <w:color w:val="auto"/>
        </w:rPr>
        <w:t>proof of principle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transplanted cells show preferential migration towards injured sites</w:t>
      </w:r>
    </w:p>
    <w:p>
      <w:pPr>
        <w:spacing w:after="0" w:line="1" w:lineRule="exact"/>
        <w:rPr>
          <w:rFonts w:ascii="Times New Roman" w:cs="Times New Roman" w:eastAsia="Times New Roman" w:hAnsi="Times New Roman"/>
          <w:sz w:val="16"/>
          <w:szCs w:val="16"/>
          <w:color w:val="auto"/>
        </w:rPr>
      </w:pPr>
    </w:p>
    <w:p>
      <w:pPr>
        <w:ind w:left="280" w:hanging="10"/>
        <w:spacing w:after="0" w:line="261"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Stroke Indication: </w:t>
      </w:r>
      <w:r>
        <w:rPr>
          <w:rFonts w:ascii="Times New Roman" w:cs="Times New Roman" w:eastAsia="Times New Roman" w:hAnsi="Times New Roman"/>
          <w:sz w:val="18"/>
          <w:szCs w:val="18"/>
          <w:color w:val="auto"/>
        </w:rPr>
        <w:t>Demonstrated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proof of principle shows functional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of myelin onto the mouse nerve axons.</w:t>
      </w:r>
    </w:p>
    <w:p>
      <w:pPr>
        <w:spacing w:after="0" w:line="1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23" w:lineRule="exact"/>
        <w:rPr>
          <w:sz w:val="20"/>
          <w:szCs w:val="20"/>
          <w:color w:val="auto"/>
        </w:rPr>
      </w:pPr>
    </w:p>
    <w:p>
      <w:pPr>
        <w:ind w:left="280" w:right="40" w:hanging="10"/>
        <w:spacing w:after="0" w:line="250" w:lineRule="auto"/>
        <w:tabs>
          <w:tab w:leader="none" w:pos="3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 candidate human liver stem cell-like population referred to as a human liver engrafting cell (hLEC).</w:t>
      </w:r>
    </w:p>
    <w:p>
      <w:pPr>
        <w:ind w:left="280" w:right="120" w:hanging="10"/>
        <w:spacing w:after="0" w:line="261" w:lineRule="auto"/>
        <w:tabs>
          <w:tab w:leader="none" w:pos="3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Identified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culture assay for growth of human liver progenitor cells that express markers for both bile duct cells and hepatocytes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00" w:space="280"/>
            <w:col w:w="5700"/>
          </w:cols>
          <w:pgMar w:left="240" w:top="415" w:right="27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Program Description and Objective</w:t>
            </w:r>
          </w:p>
        </w:tc>
        <w:tc>
          <w:tcPr>
            <w:tcW w:w="3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Stage/Status(1)</w:t>
            </w:r>
          </w:p>
        </w:tc>
      </w:tr>
      <w:tr>
        <w:trPr>
          <w:trHeight w:val="95"/>
        </w:trPr>
        <w:tc>
          <w:tcPr>
            <w:tcW w:w="5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r>
      <w:tr>
        <w:trPr>
          <w:trHeight w:val="303"/>
        </w:trPr>
        <w:tc>
          <w:tcPr>
            <w:tcW w:w="5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Shown that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culture of human liver progenitor cells also can</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grow human hepatitis virus; this is a potential assay system to screen for</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novel anti-viral compounds.</w:t>
            </w:r>
          </w:p>
        </w:tc>
      </w:tr>
      <w:tr>
        <w:trPr>
          <w:trHeight w:val="214"/>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w w:val="98"/>
              </w:rPr>
              <w:t>• Demonstrated the engraftment and survival of the candidate human LEC in</w:t>
            </w:r>
          </w:p>
        </w:tc>
      </w:tr>
      <w:tr>
        <w:trPr>
          <w:trHeight w:val="218"/>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Detected human albumin in mouse serum in animals transplanted with</w:t>
            </w:r>
          </w:p>
        </w:tc>
      </w:tr>
      <w:tr>
        <w:trPr>
          <w:trHeight w:val="228"/>
        </w:trPr>
        <w:tc>
          <w:tcPr>
            <w:tcW w:w="5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hLECs.</w:t>
            </w:r>
          </w:p>
        </w:tc>
      </w:tr>
      <w:tr>
        <w:trPr>
          <w:trHeight w:val="420"/>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Pancreas Islet Stem Cell</w:t>
            </w:r>
          </w:p>
        </w:tc>
        <w:tc>
          <w:tcPr>
            <w:tcW w:w="3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Research</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Repair or replace damaged pancreas islet tissue</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w w:val="99"/>
              </w:rPr>
              <w:t>• Identified markers on the surface of a rare population of human pancreatic</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stem cell-like population, a candidate pancreatic stem/progenitor cell.</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Identified a human insulin-producing -cell.</w:t>
            </w:r>
          </w:p>
        </w:tc>
      </w:tr>
      <w:tr>
        <w:trPr>
          <w:trHeight w:val="214"/>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Commenced testing of a candidate murine pancreatic stem/progenitor cell</w:t>
            </w:r>
          </w:p>
        </w:tc>
      </w:tr>
      <w:tr>
        <w:trPr>
          <w:trHeight w:val="230"/>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in small animal model.</w:t>
            </w:r>
          </w:p>
        </w:tc>
      </w:tr>
      <w:tr>
        <w:trPr>
          <w:trHeight w:val="229"/>
        </w:trPr>
        <w:tc>
          <w:tcPr>
            <w:tcW w:w="5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Commenced testing of a candidate human pancreatic stem/progenitor cell</w:t>
            </w:r>
          </w:p>
        </w:tc>
      </w:tr>
      <w:tr>
        <w:trPr>
          <w:trHeight w:val="230"/>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in small animal models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100" w:hanging="452"/>
        <w:spacing w:after="0" w:line="277"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“Research” refers to early stage research and product development activities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including the selection and characterization of product candidates for preclinical testing. “Preclinical” refers to further testing of a defined product candidate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animals prior to clinical studies.</w:t>
      </w:r>
    </w:p>
    <w:p>
      <w:pPr>
        <w:spacing w:after="0" w:line="19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founding scientists Irving L. Weissman, M.D., of Stanford University, Fred H. Gage, Ph.D., of The Salk Institute, and David Anderson, Ph.D., of the California Institute of Technology, as well as other occasional consultants including William C. Mobley, M.D., Ph.D., Ben Barres, Ph.D., and Seung Kim, M.D., Ph.D., all of Stanford University.</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Neural Program</w:t>
      </w:r>
    </w:p>
    <w:p>
      <w:pPr>
        <w:spacing w:after="0" w:line="2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“NeuroSpheres Ltd.” under “License Agreements” below.</w:t>
      </w:r>
    </w:p>
    <w:p>
      <w:pPr>
        <w:spacing w:after="0" w:line="21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1997, our scientists invented a reproducible method for growing human CNS stem and progenitor cells in culture. 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early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in chemically defined media. In collaboration with Dr. Anders Bjorklund of Lund University, Sweden, that cells from these cultures can be successfully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transplanted and accepted into the brains of rodents where they subsequently migrated and specialized into the appropriate cell types for the site of the brain into which they were placed.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StemCells Inc holds a substantial portfolio of issued and allowed patents in the neural field. See </w:t>
      </w:r>
      <w:r>
        <w:rPr>
          <w:rFonts w:ascii="Times New Roman" w:cs="Times New Roman" w:eastAsia="Times New Roman" w:hAnsi="Times New Roman"/>
          <w:sz w:val="18"/>
          <w:szCs w:val="18"/>
          <w:b w:val="1"/>
          <w:bCs w:val="1"/>
          <w:color w:val="auto"/>
        </w:rPr>
        <w:t>“Patents, Proprietary Rights And Licenses.”</w:t>
      </w:r>
    </w:p>
    <w:p>
      <w:pPr>
        <w:spacing w:after="0" w:line="254" w:lineRule="exact"/>
        <w:rPr>
          <w:sz w:val="20"/>
          <w:szCs w:val="20"/>
          <w:color w:val="auto"/>
        </w:rPr>
      </w:pPr>
    </w:p>
    <w:p>
      <w:pPr>
        <w:ind w:right="160" w:firstLine="324"/>
        <w:spacing w:after="0" w:line="293" w:lineRule="auto"/>
        <w:rPr>
          <w:sz w:val="20"/>
          <w:szCs w:val="20"/>
          <w:color w:val="auto"/>
        </w:rPr>
      </w:pPr>
      <w:r>
        <w:rPr>
          <w:rFonts w:ascii="Times New Roman" w:cs="Times New Roman" w:eastAsia="Times New Roman" w:hAnsi="Times New Roman"/>
          <w:sz w:val="16"/>
          <w:szCs w:val="16"/>
          <w:color w:val="auto"/>
        </w:rPr>
        <w:t>In 2000, using our proprietary markers on the surface of the cell, our researchers succeeded in identifying, isolating and purifying human CNS stem cells from brain tissue. We believe that this was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19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course of this long-term study, the transplanted human CNS stem cells survived for as long as one year and migrated to specific functional domains of the host brain, with </w:t>
      </w:r>
      <w:r>
        <w:rPr>
          <w:rFonts w:ascii="Times New Roman" w:cs="Times New Roman" w:eastAsia="Times New Roman" w:hAnsi="Times New Roman"/>
          <w:sz w:val="18"/>
          <w:szCs w:val="18"/>
          <w:i w:val="1"/>
          <w:iCs w:val="1"/>
          <w:color w:val="auto"/>
        </w:rPr>
        <w:t>no sign</w:t>
      </w:r>
      <w:r>
        <w:rPr>
          <w:rFonts w:ascii="Times New Roman" w:cs="Times New Roman" w:eastAsia="Times New Roman" w:hAnsi="Times New Roman"/>
          <w:sz w:val="18"/>
          <w:szCs w:val="18"/>
          <w:color w:val="auto"/>
        </w:rPr>
        <w:t xml:space="preserve">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217"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company has established a number of research collaborations in the neural field to assess the effects of transplanting the human CNS stem cells into preclinical animal models, including the spinal cord injury collaboration with Drs. Aileen Anderson and Brian Cummings of the Reeve-Irvine Center at the University of California and a collaboration with Dr. Gary Steinberg, Chairman of the Department of Neurosurgery of Stanford University School of Medicine and Co-director of the Stanford Stroke Center, pertaining to the evaluation of our human neural stem cells in animal models of stroke.</w:t>
      </w:r>
    </w:p>
    <w:p>
      <w:pPr>
        <w:spacing w:after="0" w:line="217" w:lineRule="exact"/>
        <w:rPr>
          <w:sz w:val="20"/>
          <w:szCs w:val="20"/>
          <w:color w:val="auto"/>
        </w:rPr>
      </w:pPr>
    </w:p>
    <w:p>
      <w:pPr>
        <w:jc w:val="both"/>
        <w:ind w:right="340" w:firstLine="324"/>
        <w:spacing w:after="0" w:line="258" w:lineRule="auto"/>
        <w:rPr>
          <w:sz w:val="20"/>
          <w:szCs w:val="20"/>
          <w:color w:val="auto"/>
        </w:rPr>
      </w:pPr>
      <w:r>
        <w:rPr>
          <w:rFonts w:ascii="Times New Roman" w:cs="Times New Roman" w:eastAsia="Times New Roman" w:hAnsi="Times New Roman"/>
          <w:sz w:val="18"/>
          <w:szCs w:val="18"/>
          <w:color w:val="auto"/>
        </w:rPr>
        <w:t>As noted above, human CNS stem and progenitor cells harvested and purified and expanded using our proprietary processes may be useful for creating therapies for the treatment of degenerative brain diseases such as Batten Disease and other genetic disorders affecting the brain, Parkinson’s and Alzheimer’s diseases. These conditions affect about 5 million people in the United States and there are no effective long-term therapies currently available. We believe the ability to purify human brain stem cells directly from fresh tissue is important because:</w:t>
      </w:r>
    </w:p>
    <w:p>
      <w:pPr>
        <w:spacing w:after="0" w:line="190" w:lineRule="exact"/>
        <w:rPr>
          <w:sz w:val="20"/>
          <w:szCs w:val="20"/>
          <w:color w:val="auto"/>
        </w:rPr>
      </w:pPr>
    </w:p>
    <w:p>
      <w:pPr>
        <w:ind w:left="460" w:hanging="101"/>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200" w:lineRule="exact"/>
        <w:rPr>
          <w:rFonts w:ascii="Times New Roman" w:cs="Times New Roman" w:eastAsia="Times New Roman" w:hAnsi="Times New Roman"/>
          <w:sz w:val="18"/>
          <w:szCs w:val="18"/>
          <w:color w:val="auto"/>
        </w:rPr>
      </w:pPr>
    </w:p>
    <w:p>
      <w:pPr>
        <w:ind w:left="460" w:right="40" w:hanging="101"/>
        <w:spacing w:after="0" w:line="25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opens the way to a better understanding of the properties of these cells and how they might be manipulated to treat specific diseases. For example, in certain genetic diseases such as Tay Sachs and Batten’s, a key metabolic enzyme required for normal development and function of the brain is absent. Brain-derived stem cells might produce enough enzyme after transplantation to degrade the toxic product build-up, or, if not enough enzyme is made naturally, the cells might be genetically modified to produce those proteins. The native or modified brain stem cells could be transplanted into patients with these genetic diseases;</w:t>
      </w:r>
    </w:p>
    <w:p>
      <w:pPr>
        <w:spacing w:after="0" w:line="219" w:lineRule="exact"/>
        <w:rPr>
          <w:rFonts w:ascii="Times New Roman" w:cs="Times New Roman" w:eastAsia="Times New Roman" w:hAnsi="Times New Roman"/>
          <w:sz w:val="18"/>
          <w:szCs w:val="18"/>
          <w:color w:val="auto"/>
        </w:rPr>
      </w:pPr>
    </w:p>
    <w:p>
      <w:pPr>
        <w:ind w:left="460" w:right="100" w:hanging="101"/>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Liver Program</w:t>
      </w:r>
    </w:p>
    <w:p>
      <w:pPr>
        <w:spacing w:after="0" w:line="256" w:lineRule="exact"/>
        <w:rPr>
          <w:sz w:val="20"/>
          <w:szCs w:val="20"/>
          <w:color w:val="auto"/>
        </w:rPr>
      </w:pPr>
    </w:p>
    <w:p>
      <w:pPr>
        <w:jc w:val="both"/>
        <w:ind w:right="480" w:firstLine="324"/>
        <w:spacing w:after="0" w:line="262" w:lineRule="auto"/>
        <w:rPr>
          <w:sz w:val="20"/>
          <w:szCs w:val="20"/>
          <w:color w:val="auto"/>
        </w:rPr>
      </w:pPr>
      <w:r>
        <w:rPr>
          <w:rFonts w:ascii="Times New Roman" w:cs="Times New Roman" w:eastAsia="Times New Roman" w:hAnsi="Times New Roman"/>
          <w:sz w:val="18"/>
          <w:szCs w:val="18"/>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evaluating cell transplantation developed by Dr. Grompe: The “FAH transgenic mouse”. This mouse lacks a key enzyme (FAH, or fumaryl-acetoacetate hydrolase), which results in build-up of a toxic substance which causes liver damage. In addition, we obtained an exclusive license to U.S. Patent No. 6,132,708, claiming a method of regenerating a functional liver by transplantation of pancreas cells in mammals, including humans.</w:t>
      </w:r>
    </w:p>
    <w:p>
      <w:pPr>
        <w:spacing w:after="0" w:line="21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Approximately 1 in 10 Americans suffers from diseases and disorders of the liver for many of which there are currently no effective, long-term treatments. Our researchers continue to advance methods for 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217" w:lineRule="exact"/>
        <w:rPr>
          <w:sz w:val="20"/>
          <w:szCs w:val="20"/>
          <w:color w:val="auto"/>
        </w:rPr>
      </w:pPr>
    </w:p>
    <w:p>
      <w:pPr>
        <w:jc w:val="both"/>
        <w:ind w:right="200" w:firstLine="324"/>
        <w:spacing w:after="0" w:line="262" w:lineRule="auto"/>
        <w:rPr>
          <w:sz w:val="20"/>
          <w:szCs w:val="20"/>
          <w:color w:val="auto"/>
        </w:rPr>
      </w:pPr>
      <w:r>
        <w:rPr>
          <w:rFonts w:ascii="Times New Roman" w:cs="Times New Roman" w:eastAsia="Times New Roman" w:hAnsi="Times New Roman"/>
          <w:sz w:val="18"/>
          <w:szCs w:val="18"/>
          <w:color w:val="auto"/>
        </w:rPr>
        <w:t>The Company focuses on discovering and utilizing proprietary methods to identify and isolate liver stem and progenitor cells and to evaluate these cells in culture and in preclinical animal models. The Company intends to use these advanced methods, as they become available, to establish enriched cell populations suitable for transplantation.</w:t>
      </w:r>
    </w:p>
    <w:p>
      <w:pPr>
        <w:spacing w:after="0" w:line="213"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StemCells has devised a culture assay that it uses in its efforts to identify liver stem and progenitor cells. In addition, the culture assay can support the growth of an early human liver bipotent progenitor cell — a cell that can develop into two kinds of mature liver cells: bile duct cells and hepatocytes. Further, since cells in this culture can be infected with human hepatitis virus, it provides a valuable system for study of the virus. This technology also could provide a unique in vitro model for the testing of drugs that act on, or are metabolized by, human liver cells.</w:t>
      </w:r>
    </w:p>
    <w:p>
      <w:pPr>
        <w:spacing w:after="0" w:line="2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scientists have identified proprietary monoclonal antibodies that enrich for distinct subsets of human liver cells, including a candidate human liver stem-like cell that the Company refers to as a human liver engrafting cell (hLEC). When tested in the Company’s in vitro culture assay, these antibody-enriched cells produce human serum albumin, a measure of hepatocyte generation. Studies to date show that these hLECs can produce of human serum albumin in mouse serum following transplantation into immunodeficient mice, suggesting that the human liver-engrafting cell, once transplanted, becomes a functional cell. The program will focus on demonstrating the robust engraftment and function of these hLECs in a preclinical animal model of liver degeneration for proof of principle of a therapeutic cell for liver disease. A source of defined human cells capable of engraftment and substantial liver regeneration could provide a cell-based therapeutic product available to a wider patient base than liver transplants. An in vitro culture system that can reproducibly grow human liver progenitor cells might also provide cells for genetic modification to correct inborn errors of metabolism.</w:t>
      </w: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Pancreas Program</w:t>
      </w:r>
    </w:p>
    <w:p>
      <w:pPr>
        <w:spacing w:after="0" w:line="25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Company’s scientists have again used StemCells’ monoclonal antibody-based search engine to identify a rare subset of human pancreatic cells that may be candidate pancreatic stem/progenitor cells. The Company has filed a patent application on these critical monoclonal antibodies. For the present, the Company is not pursuing its pancreas program in-house. In 2002, the Company established a collaboration with Dr. Seung Kim of Stanford University to pursue other avenues to identify an insulin-producing cell. Dr. Kim’s laboratory is studying the developmental biology and controlling events of generating insulin-producing cells. We believe this may lead to the development of cell-based treatments for Type 1 diabetes and that portion of Type 2 diabetes characterized by defective secretion of insulin.</w:t>
      </w:r>
    </w:p>
    <w:p>
      <w:pPr>
        <w:spacing w:after="0" w:line="220" w:lineRule="exact"/>
        <w:rPr>
          <w:sz w:val="20"/>
          <w:szCs w:val="20"/>
          <w:color w:val="auto"/>
        </w:rPr>
      </w:pPr>
    </w:p>
    <w:p>
      <w:pPr>
        <w:ind w:right="680" w:firstLine="324"/>
        <w:spacing w:after="0" w:line="289" w:lineRule="auto"/>
        <w:rPr>
          <w:sz w:val="20"/>
          <w:szCs w:val="20"/>
          <w:color w:val="auto"/>
        </w:rPr>
      </w:pPr>
      <w:r>
        <w:rPr>
          <w:rFonts w:ascii="Times New Roman" w:cs="Times New Roman" w:eastAsia="Times New Roman" w:hAnsi="Times New Roman"/>
          <w:sz w:val="16"/>
          <w:szCs w:val="16"/>
          <w:color w:val="auto"/>
        </w:rPr>
        <w:t>The Company has an exclusive, worldwide license from The Scripps Research Institute (Scripps), to novel technology developed by Dr. Nora Sarvetnick, Ph.D., which may facilitate the identification and isolation of those cells by using a mouse model that continuously regenerates the pancreas.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Patent Number 6,242,666 was issued on the animal model on June 5, 2001. We believe that stem cells produce the regeneration, in which case this animal model may be useful for identifying specific markers on the cell surface unique to the pancreas stem cells. We also obtained licenses from Scripps to novel markers on the cell surface identified by Dr. Sarvetnick and her research team as being unique to the pancreas islet stem cell; a U.S. patent has issued on certain of the markers, and another US patent applications has been allowed. The issued patent covers a unique gene that is expressed on regenerating mouse pancreas cells. Antibodies to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protein encoded by this gene have been generated and used to enrich for cell populations expressing this marker for testing in vitro and in animal models.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StemCells California, Inc.</w:t>
      </w:r>
    </w:p>
    <w:p>
      <w:pPr>
        <w:spacing w:after="0" w:line="25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September 26, 1997, we acquired by merger StemCells California, Inc., a California corporation, in exchange for 1,320,691 shares of our common stock and options and warrants for the purchase of 259,296 common shares. StemCells California remains our wholly-owned subsidiary, and the owner or licensee of most of our intellectual property. The members of its Board of Directors are Irving L. Weissman, M.D., David J. Anderson, Ph.D., and Fred H. Gage, Ph.D., who were the founders of StemCells California, as well as John J. Schwartz, Ph.D. and Martin McGlynn. Drs. Weissman and Schwartz and Mr. McGlynn are also members of the Board of the parent company; Mr. McGlynn is President of StemCells California as well as President and CEO of StemCells, Inc. References in this annual report to “the Company,” “we,” “us,” and similar words include this subsidiary.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a number of research-plus-license agreements with academic organizations including The Scripps Research Institute (Scripps), the California Institute of Technology (Cal Tech), and the Oregon Health Sciences University (OHSU), the University of Texas Medical Branch (UTMB), and the University of California — Irvine (UC-I). The research components of the UTMB and UC-I agreements are in progress, but those with the other institutions mentioned have been concluded and have resulted in a number of license agreements for resultant technology. Under the license agreements, we are typically subject to obligations of due diligence and the requirement to pay royalties on products that use patented technology licensed under such agreements. The license agreements with these institutions relate largely to stem or progenitor cells and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and we can terminate the license agreements at any time upon notice.</w:t>
      </w:r>
    </w:p>
    <w:p>
      <w:pPr>
        <w:spacing w:after="0" w:line="224" w:lineRule="exact"/>
        <w:rPr>
          <w:sz w:val="20"/>
          <w:szCs w:val="20"/>
          <w:color w:val="auto"/>
        </w:rPr>
      </w:pPr>
    </w:p>
    <w:p>
      <w:pPr>
        <w:ind w:right="440" w:firstLine="324"/>
        <w:spacing w:after="0" w:line="262" w:lineRule="auto"/>
        <w:rPr>
          <w:sz w:val="20"/>
          <w:szCs w:val="20"/>
          <w:color w:val="auto"/>
        </w:rPr>
      </w:pPr>
      <w:r>
        <w:rPr>
          <w:rFonts w:ascii="Times New Roman" w:cs="Times New Roman" w:eastAsia="Times New Roman" w:hAnsi="Times New Roman"/>
          <w:sz w:val="18"/>
          <w:szCs w:val="18"/>
          <w:color w:val="auto"/>
        </w:rPr>
        <w:t>In the case of Scripps, we must pay $50,000 upon the initiation of the Phase II trial for our first product using Scripps licensed technology, and upon completion of that Phase II trial we must pay Scripps an additional $125,000. Upon approval of the first product for sale in the market, we must pay Scripps $250,000.</w:t>
      </w:r>
    </w:p>
    <w:p>
      <w:pPr>
        <w:spacing w:after="0" w:line="21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Pursuant to the terms of our license agreement with Cal Tech and our acquisition of our wholly owned subsidiary, StemCells California, we issued</w:t>
      </w:r>
    </w:p>
    <w:p>
      <w:pPr>
        <w:spacing w:after="0" w:line="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14,513 shares of our common stock to Cal Tech. We issued an additional 12,800 shares of common stock to Cal Tech with a market value of approximately</w:t>
      </w:r>
    </w:p>
    <w:p>
      <w:pPr>
        <w:spacing w:after="0" w:line="3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$40,000 in May 2000, upon execution of an amendment adding four families of patent applications to the license agreement. We must pay an additional $10,000 upon the issuance of the patent licensed to us under the relevant agreement and $5,000 on the first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w:t>
      </w:r>
    </w:p>
    <w:p>
      <w:pPr>
        <w:spacing w:after="0" w:line="22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with OHSU and our acquisition of StemCells California, we issued 4,838 shares of our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jc w:val="both"/>
        <w:ind w:firstLine="324"/>
        <w:spacing w:after="0" w:line="310" w:lineRule="auto"/>
        <w:rPr>
          <w:sz w:val="20"/>
          <w:szCs w:val="20"/>
          <w:color w:val="auto"/>
        </w:rPr>
      </w:pPr>
      <w:r>
        <w:rPr>
          <w:rFonts w:ascii="Times New Roman" w:cs="Times New Roman" w:eastAsia="Times New Roman" w:hAnsi="Times New Roman"/>
          <w:sz w:val="16"/>
          <w:szCs w:val="16"/>
          <w:color w:val="auto"/>
        </w:rPr>
        <w:t>In 2002, we issued a license to BioWhittaker, Inc., for the exclusive right to make, sell and distribute one of our proprietary cells for the research market only. In 2003, we issued a non-exclusive license to StemCell Technologies, Inc., a Canadian corporation, to make, use and sell certain proprietary mouse and rat neural stem cells and culture media for all mammalian neural stem cells, also for the research market. These licenses are not expected to generate material revenues.</w:t>
      </w:r>
    </w:p>
    <w:p>
      <w:pPr>
        <w:spacing w:after="0" w:line="3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Signal Pharmaceuticals, Inc.</w:t>
      </w:r>
    </w:p>
    <w:p>
      <w:pPr>
        <w:spacing w:after="0" w:line="256"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In December 1997, we entered into two license agreements with Signal Pharmaceuticals (Signal), Inc. under which each party licensed to the other certain patent rights and biological materials for use in defined fields.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NeuroSpheres, Ltd.</w:t>
      </w:r>
    </w:p>
    <w:p>
      <w:pPr>
        <w:spacing w:after="0" w:line="256"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6"/>
          <w:szCs w:val="16"/>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payable at various stages in the development of potential products, would total $500,000 for each product that is approved for market. The first milestone for a potential product is $50,000, due when the product candidate enters pre-clinical development in a non-rodent model. We expect to reach this milestone in 2004 with respect to a potential treatment for Batten’s disease. In addition, we will make annual payments of $50,000 a year to NeuroSpheres beginning in 2004; the annual payments are due by the last day of the year and are fully creditable against royalties due to NeuroSpheres. Our agreements with NeuroSpheres will terminate at the expiration of all patents licensed to us, but can terminate earlier if we breach our obligations under the agreement and do not cure the breach, or if we declare bankruptcy. We have a security interest in the licensed technology.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facility in Palo Alto has the capacity to be used for manufacture of cells under FDA-determined clinical Good Manufacturing Practices conditions in quantities sufficient for clinical trials, and we have developed a robust and replicable process for producing and processing the cells. We are at the pre-clinical stage of our stem and progenitor cell programs, and are keeping all options open about the means by which potential future cell products will be manufactured.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54" w:lineRule="exact"/>
        <w:rPr>
          <w:sz w:val="20"/>
          <w:szCs w:val="20"/>
          <w:color w:val="auto"/>
        </w:rPr>
      </w:pPr>
    </w:p>
    <w:p>
      <w:pPr>
        <w:ind w:right="560" w:firstLine="324"/>
        <w:spacing w:after="0" w:line="275" w:lineRule="auto"/>
        <w:rPr>
          <w:sz w:val="20"/>
          <w:szCs w:val="20"/>
          <w:color w:val="auto"/>
        </w:rPr>
      </w:pPr>
      <w:r>
        <w:rPr>
          <w:rFonts w:ascii="Times New Roman" w:cs="Times New Roman" w:eastAsia="Times New Roman" w:hAnsi="Times New Roman"/>
          <w:sz w:val="18"/>
          <w:szCs w:val="18"/>
          <w:color w:val="auto"/>
        </w:rPr>
        <w:t>Because of the early stage of our stem and progenitor cell programs, we have not yet addressed questions of channels of distribution and marketing of potential future products.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Rights And Licenses</w:t>
      </w:r>
    </w:p>
    <w:p>
      <w:pPr>
        <w:spacing w:after="0" w:line="25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21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Currently, our U.S. patent portfolio includes thirty-nine issued U.S. patents, four of which issued in 2003. Approximately forty additional patent applications are pending, two of which have been allowed. In addition, we have foreign counterparts to many of the U.S. applications and patents; the counterparts to eleven of our U.S. patents or applications have issued in various countries, making a total of ninety-five individual non-U.S. patents from those eleven cases. One party has recently opposed two of our issued European patent cases. While we are confident that we will overcome the opposition, there is no guarantee that we will prevail. If we are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although other types of proceedings may be available to third parties to contest our U.S. patents.</w:t>
      </w:r>
    </w:p>
    <w:p>
      <w:pPr>
        <w:spacing w:after="0" w:line="224" w:lineRule="exact"/>
        <w:rPr>
          <w:sz w:val="20"/>
          <w:szCs w:val="20"/>
          <w:color w:val="auto"/>
        </w:rPr>
      </w:pPr>
    </w:p>
    <w:p>
      <w:pPr>
        <w:ind w:right="200" w:firstLine="324"/>
        <w:spacing w:after="0" w:line="296" w:lineRule="auto"/>
        <w:rPr>
          <w:sz w:val="20"/>
          <w:szCs w:val="20"/>
          <w:color w:val="auto"/>
        </w:rPr>
      </w:pPr>
      <w:r>
        <w:rPr>
          <w:rFonts w:ascii="Times New Roman" w:cs="Times New Roman" w:eastAsia="Times New Roman" w:hAnsi="Times New Roman"/>
          <w:sz w:val="16"/>
          <w:szCs w:val="16"/>
          <w:color w:val="auto"/>
        </w:rPr>
        <w:t>In December 1998, the US Patent and Trademark Office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2002, the U.S. Patent Office issued a key strategic patent to us: U.S. Patent Number 6,468,794, entitled “Enriched central nervous system stem cell and progenitor cell populations, and methods for identifying, isolating and enriching for such populations.” The patent issued on October 22, 2002 and covers the identification and purification of the human CNS stem cell. In 2001, we were granted U.S. Patent No. 6,238,922 (“Use of collagenase in the preparation of neural stem cell cultures”) which described methods to advance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culture and passage of human CNS stem cells that result in a 100-fold increase in CNS stem and progenitor cell production after 6 passages. We believe the methodologies of these two patents together will augment our leadership position in the stem cell field by providing a reproducible proprietary method for obtaining and expanding stem cells for therapeutic uses.</w:t>
      </w:r>
    </w:p>
    <w:p>
      <w:pPr>
        <w:spacing w:after="0" w:line="2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Another significant patent in the neural field, of which we are the exclusive licensees, was also issued in 2002, and, we believe, may prove even more important: We believe that U.S. Patent Number 6,497,872, entitled “Neural transplantation using proliferated multipotent neural stem cells and their progeny,” covers transplanting any neural stem cells or their differentiated progeny, whether the cells have been cultured in suspension or as adherent cells, for the treatment of any disease. The patent gives us the right to exclude others from practicing the claimed invention.</w:t>
      </w:r>
    </w:p>
    <w:p>
      <w:pPr>
        <w:spacing w:after="0" w:line="2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2003, two neurogenin-related patents were issued (U.S. Patents Numbers 6,555,337 and 6,566,496) as well as U.S. Patent Number 6,638,501, covering the use of multipotent neural stem cell progeny to augment non-neural tissues and U.S. Patent Number 6,541,251, covering a novel pancreatic progenitor gene and its uses.</w:t>
      </w:r>
    </w:p>
    <w:p>
      <w:pPr>
        <w:spacing w:after="0" w:line="213"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These new patents, together with U.S. Patent Number 6,294,346 (“Use of multipotent neural stem cells and their progeny for the screening of drugs and other biological agents”), which issued September 25, 2001,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have strengthened our already extensive patent portfolio and, we believe, give StemCells the dominant intellectual property position in the field, covering methods for identification, isolation, expansion, and transplantation of neural stem cells as well as drug discovery and testing.</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our issued U.S. patents and published international patent applications: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60" w:type="dxa"/>
            <w:vAlign w:val="bottom"/>
          </w:tcPr>
          <w:p>
            <w:pPr>
              <w:jc w:val="right"/>
              <w:ind w:right="3432"/>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0" w:type="dxa"/>
            <w:vAlign w:val="bottom"/>
          </w:tcPr>
          <w:p>
            <w:pPr>
              <w:spacing w:after="0"/>
              <w:rPr>
                <w:sz w:val="1"/>
                <w:szCs w:val="1"/>
                <w:color w:val="auto"/>
              </w:rPr>
            </w:pPr>
          </w:p>
        </w:tc>
      </w:tr>
      <w:tr>
        <w:trPr>
          <w:trHeight w:val="95"/>
        </w:trPr>
        <w:tc>
          <w:tcPr>
            <w:tcW w:w="3260" w:type="dxa"/>
            <w:vAlign w:val="bottom"/>
            <w:vMerge w:val="restart"/>
          </w:tcPr>
          <w:p>
            <w:pPr>
              <w:jc w:val="right"/>
              <w:ind w:right="1752"/>
              <w:spacing w:after="0"/>
              <w:rPr>
                <w:sz w:val="20"/>
                <w:szCs w:val="20"/>
                <w:color w:val="auto"/>
              </w:rPr>
            </w:pPr>
            <w:r>
              <w:rPr>
                <w:rFonts w:ascii="Times New Roman" w:cs="Times New Roman" w:eastAsia="Times New Roman" w:hAnsi="Times New Roman"/>
                <w:sz w:val="18"/>
                <w:szCs w:val="18"/>
                <w:color w:val="auto"/>
                <w:w w:val="96"/>
              </w:rPr>
              <w:t>U.S. Patent Number</w:t>
            </w:r>
          </w:p>
        </w:tc>
        <w:tc>
          <w:tcPr>
            <w:tcW w:w="700" w:type="dxa"/>
            <w:vAlign w:val="bottom"/>
          </w:tcPr>
          <w:p>
            <w:pPr>
              <w:spacing w:after="0"/>
              <w:rPr>
                <w:sz w:val="8"/>
                <w:szCs w:val="8"/>
                <w:color w:val="auto"/>
              </w:rPr>
            </w:pPr>
          </w:p>
        </w:tc>
        <w:tc>
          <w:tcPr>
            <w:tcW w:w="7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i w:val="1"/>
                <w:iCs w:val="1"/>
                <w:color w:val="auto"/>
              </w:rPr>
              <w:t>Owned by StemCells</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5,968,829</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Human CNS neural stem cells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6,103,530</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Human CNS neural stem cells — culture media</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6,238,922</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Use of collagenase in the preparation of neural stem cell cultures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6,468,794</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Enriched neural stem cell populations, and methods for identifying, isolating and enriching for neural</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stem cells</w:t>
            </w:r>
          </w:p>
        </w:tc>
        <w:tc>
          <w:tcPr>
            <w:tcW w:w="0" w:type="dxa"/>
            <w:vAlign w:val="bottom"/>
          </w:tcPr>
          <w:p>
            <w:pPr>
              <w:spacing w:after="0"/>
              <w:rPr>
                <w:sz w:val="1"/>
                <w:szCs w:val="1"/>
                <w:color w:val="auto"/>
              </w:rPr>
            </w:pPr>
          </w:p>
        </w:tc>
      </w:tr>
      <w:tr>
        <w:trPr>
          <w:trHeight w:val="214"/>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6,498,018</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Human CNS neural stem cells</w:t>
            </w:r>
          </w:p>
        </w:tc>
        <w:tc>
          <w:tcPr>
            <w:tcW w:w="0" w:type="dxa"/>
            <w:vAlign w:val="bottom"/>
          </w:tcPr>
          <w:p>
            <w:pPr>
              <w:spacing w:after="0"/>
              <w:rPr>
                <w:sz w:val="1"/>
                <w:szCs w:val="1"/>
                <w:color w:val="auto"/>
              </w:rPr>
            </w:pPr>
          </w:p>
        </w:tc>
      </w:tr>
      <w:tr>
        <w:trPr>
          <w:trHeight w:val="216"/>
        </w:trPr>
        <w:tc>
          <w:tcPr>
            <w:tcW w:w="3260" w:type="dxa"/>
            <w:vAlign w:val="bottom"/>
          </w:tcPr>
          <w:p>
            <w:pPr>
              <w:jc w:val="center"/>
              <w:ind w:left="312"/>
              <w:spacing w:after="0"/>
              <w:rPr>
                <w:sz w:val="20"/>
                <w:szCs w:val="20"/>
                <w:color w:val="auto"/>
              </w:rPr>
            </w:pPr>
            <w:r>
              <w:rPr>
                <w:rFonts w:ascii="Times New Roman" w:cs="Times New Roman" w:eastAsia="Times New Roman" w:hAnsi="Times New Roman"/>
                <w:sz w:val="18"/>
                <w:szCs w:val="18"/>
                <w:i w:val="1"/>
                <w:iCs w:val="1"/>
                <w:color w:val="auto"/>
                <w:w w:val="95"/>
              </w:rPr>
              <w:t>Licensed from</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Pr>
          <w:p>
            <w:pPr>
              <w:jc w:val="center"/>
              <w:ind w:left="312"/>
              <w:spacing w:after="0"/>
              <w:rPr>
                <w:sz w:val="20"/>
                <w:szCs w:val="20"/>
                <w:color w:val="auto"/>
              </w:rPr>
            </w:pPr>
            <w:r>
              <w:rPr>
                <w:rFonts w:ascii="Times New Roman" w:cs="Times New Roman" w:eastAsia="Times New Roman" w:hAnsi="Times New Roman"/>
                <w:sz w:val="18"/>
                <w:szCs w:val="18"/>
                <w:i w:val="1"/>
                <w:iCs w:val="1"/>
                <w:color w:val="auto"/>
                <w:w w:val="96"/>
              </w:rPr>
              <w:t>NeuroSpheres</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5,750,376</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 vitro genetic modification</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5,851,832</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 vitro proliferation</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5,980,885</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Methods for inducing in vivo proliferation of precursor cells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5,981,165</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9"/>
              </w:rPr>
              <w:t>In vitro production of dopaminergic cells from mammalian central nervous system multipotent stem cell</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compositions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6,071,889</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Methods for in vivo transfer of a nucleic acid sequence to proliferating neural cells)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6,093,531</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Generation of hematopoietic cells from multipotent neural stem cells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6,165,783</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Methods of inducing differentiation of multipotent neural stem cells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6,294,346</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Methods for screening biological agents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6,368,854</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Hypoxia-mediated neurogenesis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6,399,369</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cDNA libraries derived from populations of non-primary neural cells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6,497,872</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Neural transplantation using proliferated multipotent neural stem cells and their progeny</w:t>
            </w:r>
          </w:p>
        </w:tc>
        <w:tc>
          <w:tcPr>
            <w:tcW w:w="0" w:type="dxa"/>
            <w:vAlign w:val="bottom"/>
          </w:tcPr>
          <w:p>
            <w:pPr>
              <w:spacing w:after="0"/>
              <w:rPr>
                <w:sz w:val="1"/>
                <w:szCs w:val="1"/>
                <w:color w:val="auto"/>
              </w:rPr>
            </w:pPr>
          </w:p>
        </w:tc>
      </w:tr>
      <w:tr>
        <w:trPr>
          <w:trHeight w:val="214"/>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6,638,501</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Use of multipotent neural stem cell progeny to augment non-neural tissues</w:t>
            </w:r>
          </w:p>
        </w:tc>
        <w:tc>
          <w:tcPr>
            <w:tcW w:w="0" w:type="dxa"/>
            <w:vAlign w:val="bottom"/>
          </w:tcPr>
          <w:p>
            <w:pPr>
              <w:spacing w:after="0"/>
              <w:rPr>
                <w:sz w:val="1"/>
                <w:szCs w:val="1"/>
                <w:color w:val="auto"/>
              </w:rPr>
            </w:pPr>
          </w:p>
        </w:tc>
      </w:tr>
      <w:tr>
        <w:trPr>
          <w:trHeight w:val="216"/>
        </w:trPr>
        <w:tc>
          <w:tcPr>
            <w:tcW w:w="3260" w:type="dxa"/>
            <w:vAlign w:val="bottom"/>
          </w:tcPr>
          <w:p>
            <w:pPr>
              <w:jc w:val="center"/>
              <w:ind w:left="312"/>
              <w:spacing w:after="0"/>
              <w:rPr>
                <w:sz w:val="20"/>
                <w:szCs w:val="20"/>
                <w:color w:val="auto"/>
              </w:rPr>
            </w:pPr>
            <w:r>
              <w:rPr>
                <w:rFonts w:ascii="Times New Roman" w:cs="Times New Roman" w:eastAsia="Times New Roman" w:hAnsi="Times New Roman"/>
                <w:sz w:val="18"/>
                <w:szCs w:val="18"/>
                <w:i w:val="1"/>
                <w:iCs w:val="1"/>
                <w:color w:val="auto"/>
                <w:w w:val="95"/>
              </w:rPr>
              <w:t>Licensed from</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center"/>
              <w:ind w:left="312"/>
              <w:spacing w:after="0"/>
              <w:rPr>
                <w:sz w:val="20"/>
                <w:szCs w:val="20"/>
                <w:color w:val="auto"/>
              </w:rPr>
            </w:pPr>
            <w:r>
              <w:rPr>
                <w:rFonts w:ascii="Times New Roman" w:cs="Times New Roman" w:eastAsia="Times New Roman" w:hAnsi="Times New Roman"/>
                <w:sz w:val="18"/>
                <w:szCs w:val="18"/>
                <w:i w:val="1"/>
                <w:iCs w:val="1"/>
                <w:color w:val="auto"/>
                <w:w w:val="96"/>
              </w:rPr>
              <w:t>University of</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center"/>
              <w:ind w:left="312"/>
              <w:spacing w:after="0"/>
              <w:rPr>
                <w:sz w:val="20"/>
                <w:szCs w:val="20"/>
                <w:color w:val="auto"/>
              </w:rPr>
            </w:pPr>
            <w:r>
              <w:rPr>
                <w:rFonts w:ascii="Times New Roman" w:cs="Times New Roman" w:eastAsia="Times New Roman" w:hAnsi="Times New Roman"/>
                <w:sz w:val="18"/>
                <w:szCs w:val="18"/>
                <w:i w:val="1"/>
                <w:iCs w:val="1"/>
                <w:color w:val="auto"/>
                <w:w w:val="98"/>
              </w:rPr>
              <w:t>California,</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Pr>
          <w:p>
            <w:pPr>
              <w:jc w:val="center"/>
              <w:ind w:left="312"/>
              <w:spacing w:after="0"/>
              <w:rPr>
                <w:sz w:val="20"/>
                <w:szCs w:val="20"/>
                <w:color w:val="auto"/>
              </w:rPr>
            </w:pPr>
            <w:r>
              <w:rPr>
                <w:rFonts w:ascii="Times New Roman" w:cs="Times New Roman" w:eastAsia="Times New Roman" w:hAnsi="Times New Roman"/>
                <w:sz w:val="18"/>
                <w:szCs w:val="18"/>
                <w:i w:val="1"/>
                <w:iCs w:val="1"/>
                <w:color w:val="auto"/>
                <w:w w:val="97"/>
              </w:rPr>
              <w:t>San Diego</w:t>
            </w:r>
          </w:p>
        </w:tc>
        <w:tc>
          <w:tcPr>
            <w:tcW w:w="7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5,766,948</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6,013,521</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6,020,197</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6,045,807</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28"/>
        </w:trPr>
        <w:tc>
          <w:tcPr>
            <w:tcW w:w="32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6,265,175</w:t>
            </w:r>
          </w:p>
        </w:tc>
        <w:tc>
          <w:tcPr>
            <w:tcW w:w="8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8160" w:type="dxa"/>
            <w:vAlign w:val="bottom"/>
            <w:gridSpan w:val="2"/>
          </w:tcPr>
          <w:p>
            <w:pPr>
              <w:jc w:val="right"/>
              <w:ind w:right="555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8"/>
        </w:trPr>
        <w:tc>
          <w:tcPr>
            <w:tcW w:w="3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20" w:type="dxa"/>
            <w:vAlign w:val="bottom"/>
          </w:tcPr>
          <w:p>
            <w:pPr>
              <w:spacing w:after="0"/>
              <w:rPr>
                <w:sz w:val="15"/>
                <w:szCs w:val="15"/>
                <w:color w:val="auto"/>
              </w:rPr>
            </w:pPr>
          </w:p>
        </w:tc>
        <w:tc>
          <w:tcPr>
            <w:tcW w:w="7500" w:type="dxa"/>
            <w:vAlign w:val="bottom"/>
          </w:tcPr>
          <w:p>
            <w:pPr>
              <w:ind w:left="3540"/>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0" w:type="dxa"/>
            <w:vAlign w:val="bottom"/>
          </w:tcPr>
          <w:p>
            <w:pPr>
              <w:spacing w:after="0"/>
              <w:rPr>
                <w:sz w:val="1"/>
                <w:szCs w:val="1"/>
                <w:color w:val="auto"/>
              </w:rPr>
            </w:pPr>
          </w:p>
        </w:tc>
      </w:tr>
      <w:tr>
        <w:trPr>
          <w:trHeight w:val="95"/>
        </w:trPr>
        <w:tc>
          <w:tcPr>
            <w:tcW w:w="39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rPr>
              <w:t>Licensed from the</w:t>
            </w:r>
          </w:p>
        </w:tc>
        <w:tc>
          <w:tcPr>
            <w:tcW w:w="7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920" w:type="dxa"/>
            <w:vAlign w:val="bottom"/>
            <w:vMerge w:val="continue"/>
          </w:tcPr>
          <w:p>
            <w:pPr>
              <w:spacing w:after="0"/>
              <w:rPr>
                <w:sz w:val="24"/>
                <w:szCs w:val="24"/>
                <w:color w:val="auto"/>
              </w:rPr>
            </w:pPr>
          </w:p>
        </w:tc>
        <w:tc>
          <w:tcPr>
            <w:tcW w:w="7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California Institute</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5"/>
              </w:rPr>
              <w:t>of Technology</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5,589,376</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Mammalian neural crest stem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5,629,159</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Immortalization and disimmortalization of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5,654,183</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Genetically engineered mammalian neural crest stem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5,672,499</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Methods for immortalizing multipotent neural crest stem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5,693,482</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 vitro neural crest stem cell assay</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5,824,489</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Methods for isolating mammalian multipotent neural crest stem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5,849,553</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Immortalizing and disimmortalizing multipotent neural crest stem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5,928,947</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Mammalian multipotent neural crest stem cells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5,935,811</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Neuron restrictive silencer factor proteins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6,001,654</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Methods for differentiating neural stem cells to neurons or smooth muscle cells (TGFb)</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6,033,906</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Differentiating mammalian neural stem cells to glial cells using neuregulins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6,270,990</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Neuron restrictive silencer factor proteins</w:t>
            </w: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6,555,337</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Neurogenin</w:t>
            </w:r>
          </w:p>
        </w:tc>
        <w:tc>
          <w:tcPr>
            <w:tcW w:w="0" w:type="dxa"/>
            <w:vAlign w:val="bottom"/>
          </w:tcPr>
          <w:p>
            <w:pPr>
              <w:spacing w:after="0"/>
              <w:rPr>
                <w:sz w:val="1"/>
                <w:szCs w:val="1"/>
                <w:color w:val="auto"/>
              </w:rPr>
            </w:pPr>
          </w:p>
        </w:tc>
      </w:tr>
      <w:tr>
        <w:trPr>
          <w:trHeight w:val="214"/>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6,566,496</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Neurogenin</w:t>
            </w: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7"/>
              </w:rPr>
              <w:t>Licensed from the</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7"/>
              </w:rPr>
              <w:t>Scripps Research</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Institute</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6,242,666</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An animal model for identifying a common stem/ progenitor to liver cells and pancreatic cells</w:t>
            </w:r>
          </w:p>
        </w:tc>
        <w:tc>
          <w:tcPr>
            <w:tcW w:w="0" w:type="dxa"/>
            <w:vAlign w:val="bottom"/>
          </w:tcPr>
          <w:p>
            <w:pPr>
              <w:spacing w:after="0"/>
              <w:rPr>
                <w:sz w:val="1"/>
                <w:szCs w:val="1"/>
                <w:color w:val="auto"/>
              </w:rPr>
            </w:pPr>
          </w:p>
        </w:tc>
      </w:tr>
      <w:tr>
        <w:trPr>
          <w:trHeight w:val="214"/>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6,541,251</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Pancreatic progenitor 1 gene and its uses</w:t>
            </w: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7"/>
              </w:rPr>
              <w:t>Licensed from Oregon</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Health Sciences</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University</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6,132,708</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Liver regeneration using pancreas cells</w:t>
            </w: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Published</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International Patent</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Applications</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tcPr>
          <w:p>
            <w:pPr>
              <w:jc w:val="right"/>
              <w:ind w:right="1292"/>
              <w:spacing w:after="0"/>
              <w:rPr>
                <w:sz w:val="20"/>
                <w:szCs w:val="20"/>
                <w:color w:val="auto"/>
              </w:rPr>
            </w:pPr>
            <w:r>
              <w:rPr>
                <w:rFonts w:ascii="Times New Roman" w:cs="Times New Roman" w:eastAsia="Times New Roman" w:hAnsi="Times New Roman"/>
                <w:sz w:val="18"/>
                <w:szCs w:val="18"/>
                <w:i w:val="1"/>
                <w:iCs w:val="1"/>
                <w:color w:val="auto"/>
              </w:rPr>
              <w:t>Owned by StemCells</w:t>
            </w: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WO 99/11758</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Cultures of human CNS neural stem cells</w:t>
            </w:r>
          </w:p>
        </w:tc>
        <w:tc>
          <w:tcPr>
            <w:tcW w:w="0" w:type="dxa"/>
            <w:vAlign w:val="bottom"/>
          </w:tcPr>
          <w:p>
            <w:pPr>
              <w:spacing w:after="0"/>
              <w:rPr>
                <w:sz w:val="1"/>
                <w:szCs w:val="1"/>
                <w:color w:val="auto"/>
              </w:rPr>
            </w:pPr>
          </w:p>
        </w:tc>
      </w:tr>
      <w:tr>
        <w:trPr>
          <w:trHeight w:val="216"/>
        </w:trPr>
        <w:tc>
          <w:tcPr>
            <w:tcW w:w="392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WO 00/47762</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Enriched neural stem cell populations and methods of identifying, isolating, and enriching neural stem</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cells</w:t>
            </w:r>
          </w:p>
        </w:tc>
        <w:tc>
          <w:tcPr>
            <w:tcW w:w="0" w:type="dxa"/>
            <w:vAlign w:val="bottom"/>
          </w:tcPr>
          <w:p>
            <w:pPr>
              <w:spacing w:after="0"/>
              <w:rPr>
                <w:sz w:val="1"/>
                <w:szCs w:val="1"/>
                <w:color w:val="auto"/>
              </w:rPr>
            </w:pPr>
          </w:p>
        </w:tc>
      </w:tr>
      <w:tr>
        <w:trPr>
          <w:trHeight w:val="228"/>
        </w:trPr>
        <w:tc>
          <w:tcPr>
            <w:tcW w:w="392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WO 00/50572</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Use of collagenase in the preparation of neural stem cell cultures</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75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3920" w:type="dxa"/>
            <w:vAlign w:val="bottom"/>
            <w:tcBorders>
              <w:bottom w:val="single" w:sz="8" w:color="808080"/>
            </w:tcBorders>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1020" w:type="dxa"/>
        <w:tblCellMar>
          <w:top w:w="0" w:type="dxa"/>
          <w:left w:w="0" w:type="dxa"/>
          <w:bottom w:w="0" w:type="dxa"/>
          <w:right w:w="0" w:type="dxa"/>
        </w:tblCellMar>
      </w:tblPr>
      <w:tr>
        <w:trPr>
          <w:trHeight w:val="178"/>
        </w:trPr>
        <w:tc>
          <w:tcPr>
            <w:tcW w:w="2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7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0" w:type="dxa"/>
            <w:vAlign w:val="bottom"/>
          </w:tcPr>
          <w:p>
            <w:pPr>
              <w:spacing w:after="0"/>
              <w:rPr>
                <w:sz w:val="1"/>
                <w:szCs w:val="1"/>
                <w:color w:val="auto"/>
              </w:rPr>
            </w:pPr>
          </w:p>
        </w:tc>
      </w:tr>
      <w:tr>
        <w:trPr>
          <w:trHeight w:val="95"/>
        </w:trPr>
        <w:tc>
          <w:tcPr>
            <w:tcW w:w="2020" w:type="dxa"/>
            <w:vAlign w:val="bottom"/>
            <w:vMerge w:val="restart"/>
          </w:tcPr>
          <w:p>
            <w:pPr>
              <w:jc w:val="center"/>
              <w:ind w:right="572"/>
              <w:spacing w:after="0"/>
              <w:rPr>
                <w:sz w:val="20"/>
                <w:szCs w:val="20"/>
                <w:color w:val="auto"/>
              </w:rPr>
            </w:pPr>
            <w:r>
              <w:rPr>
                <w:rFonts w:ascii="Times New Roman" w:cs="Times New Roman" w:eastAsia="Times New Roman" w:hAnsi="Times New Roman"/>
                <w:sz w:val="18"/>
                <w:szCs w:val="18"/>
                <w:i w:val="1"/>
                <w:iCs w:val="1"/>
                <w:color w:val="auto"/>
                <w:w w:val="97"/>
              </w:rPr>
              <w:t>Licensed from</w:t>
            </w:r>
          </w:p>
        </w:tc>
        <w:tc>
          <w:tcPr>
            <w:tcW w:w="660" w:type="dxa"/>
            <w:vAlign w:val="bottom"/>
          </w:tcPr>
          <w:p>
            <w:pPr>
              <w:spacing w:after="0"/>
              <w:rPr>
                <w:sz w:val="8"/>
                <w:szCs w:val="8"/>
                <w:color w:val="auto"/>
              </w:rPr>
            </w:pPr>
          </w:p>
        </w:tc>
        <w:tc>
          <w:tcPr>
            <w:tcW w:w="7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0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20" w:type="dxa"/>
            <w:vAlign w:val="bottom"/>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6"/>
              </w:rPr>
              <w:t>NeuroSpheres</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93/01275</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Mammalian central nervous system multipotent stem cell compositions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94/09119</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Remyelination using mammalian central nervous multipotent stem cell compositions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94/10292</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Biological factors useful in differentiating mammalian central nervous system multipotent stem cell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compositions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94/16718</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Genetically engineered mammalian central nervous system multipotent stem cell compositions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95/13364</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 situ modification and manipulation of stem cells of the CNS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96/15224</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 vitro production of dopaminergic cells from mammalian central nervous system multipotent stem cell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composition</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99/16863</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Generation of hematopoietic cells</w:t>
            </w:r>
          </w:p>
        </w:tc>
        <w:tc>
          <w:tcPr>
            <w:tcW w:w="0" w:type="dxa"/>
            <w:vAlign w:val="bottom"/>
          </w:tcPr>
          <w:p>
            <w:pPr>
              <w:spacing w:after="0"/>
              <w:rPr>
                <w:sz w:val="1"/>
                <w:szCs w:val="1"/>
                <w:color w:val="auto"/>
              </w:rPr>
            </w:pPr>
          </w:p>
        </w:tc>
      </w:tr>
      <w:tr>
        <w:trPr>
          <w:trHeight w:val="214"/>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99/21966</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Erythropoietin-mediated neurogenesis</w:t>
            </w:r>
          </w:p>
        </w:tc>
        <w:tc>
          <w:tcPr>
            <w:tcW w:w="0" w:type="dxa"/>
            <w:vAlign w:val="bottom"/>
          </w:tcPr>
          <w:p>
            <w:pPr>
              <w:spacing w:after="0"/>
              <w:rPr>
                <w:sz w:val="1"/>
                <w:szCs w:val="1"/>
                <w:color w:val="auto"/>
              </w:rPr>
            </w:pPr>
          </w:p>
        </w:tc>
      </w:tr>
      <w:tr>
        <w:trPr>
          <w:trHeight w:val="216"/>
        </w:trPr>
        <w:tc>
          <w:tcPr>
            <w:tcW w:w="2020" w:type="dxa"/>
            <w:vAlign w:val="bottom"/>
          </w:tcPr>
          <w:p>
            <w:pPr>
              <w:jc w:val="center"/>
              <w:ind w:right="572"/>
              <w:spacing w:after="0"/>
              <w:rPr>
                <w:sz w:val="20"/>
                <w:szCs w:val="20"/>
                <w:color w:val="auto"/>
              </w:rPr>
            </w:pPr>
            <w:r>
              <w:rPr>
                <w:rFonts w:ascii="Times New Roman" w:cs="Times New Roman" w:eastAsia="Times New Roman" w:hAnsi="Times New Roman"/>
                <w:sz w:val="18"/>
                <w:szCs w:val="18"/>
                <w:i w:val="1"/>
                <w:iCs w:val="1"/>
                <w:color w:val="auto"/>
                <w:w w:val="97"/>
              </w:rPr>
              <w:t>Licensed from</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University of</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8"/>
              </w:rPr>
              <w:t>California,</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7"/>
              </w:rPr>
              <w:t>San Diego</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94/16059</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Method of production of neuroblasts</w:t>
            </w:r>
          </w:p>
        </w:tc>
        <w:tc>
          <w:tcPr>
            <w:tcW w:w="0" w:type="dxa"/>
            <w:vAlign w:val="bottom"/>
          </w:tcPr>
          <w:p>
            <w:pPr>
              <w:spacing w:after="0"/>
              <w:rPr>
                <w:sz w:val="1"/>
                <w:szCs w:val="1"/>
                <w:color w:val="auto"/>
              </w:rPr>
            </w:pPr>
          </w:p>
        </w:tc>
      </w:tr>
      <w:tr>
        <w:trPr>
          <w:trHeight w:val="216"/>
        </w:trPr>
        <w:tc>
          <w:tcPr>
            <w:tcW w:w="2020" w:type="dxa"/>
            <w:vAlign w:val="bottom"/>
          </w:tcPr>
          <w:p>
            <w:pPr>
              <w:jc w:val="center"/>
              <w:ind w:right="572"/>
              <w:spacing w:after="0"/>
              <w:rPr>
                <w:sz w:val="20"/>
                <w:szCs w:val="20"/>
                <w:color w:val="auto"/>
              </w:rPr>
            </w:pPr>
            <w:r>
              <w:rPr>
                <w:rFonts w:ascii="Times New Roman" w:cs="Times New Roman" w:eastAsia="Times New Roman" w:hAnsi="Times New Roman"/>
                <w:sz w:val="18"/>
                <w:szCs w:val="18"/>
                <w:i w:val="1"/>
                <w:iCs w:val="1"/>
                <w:color w:val="auto"/>
                <w:w w:val="96"/>
              </w:rPr>
              <w:t>Licensed from the</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572"/>
              <w:spacing w:after="0"/>
              <w:rPr>
                <w:sz w:val="20"/>
                <w:szCs w:val="20"/>
                <w:color w:val="auto"/>
              </w:rPr>
            </w:pPr>
            <w:r>
              <w:rPr>
                <w:rFonts w:ascii="Times New Roman" w:cs="Times New Roman" w:eastAsia="Times New Roman" w:hAnsi="Times New Roman"/>
                <w:sz w:val="18"/>
                <w:szCs w:val="18"/>
                <w:i w:val="1"/>
                <w:iCs w:val="1"/>
                <w:color w:val="auto"/>
                <w:w w:val="98"/>
              </w:rPr>
              <w:t>California Institute</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5"/>
              </w:rPr>
              <w:t>of Technology</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94/02593</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Mammalian neural crest stem cells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00/52143</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Isolation and enrichment of neural stem cells from uncultured tissue based on cell-surface marker expression</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96/27665</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Neuron restrictive silencer factor proteins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96/40877</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Immortalization and disimmortalization of cells</w:t>
            </w:r>
          </w:p>
        </w:tc>
        <w:tc>
          <w:tcPr>
            <w:tcW w:w="0" w:type="dxa"/>
            <w:vAlign w:val="bottom"/>
          </w:tcPr>
          <w:p>
            <w:pPr>
              <w:spacing w:after="0"/>
              <w:rPr>
                <w:sz w:val="1"/>
                <w:szCs w:val="1"/>
                <w:color w:val="auto"/>
              </w:rPr>
            </w:pPr>
          </w:p>
        </w:tc>
      </w:tr>
      <w:tr>
        <w:trPr>
          <w:trHeight w:val="216"/>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98/48001</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Methods for differentiating neural stem cells to neurons or smooth muscle cells using TGF-ß super family</w:t>
            </w:r>
          </w:p>
        </w:tc>
        <w:tc>
          <w:tcPr>
            <w:tcW w:w="0" w:type="dxa"/>
            <w:vAlign w:val="bottom"/>
          </w:tcPr>
          <w:p>
            <w:pPr>
              <w:spacing w:after="0"/>
              <w:rPr>
                <w:sz w:val="1"/>
                <w:szCs w:val="1"/>
                <w:color w:val="auto"/>
              </w:rPr>
            </w:pPr>
          </w:p>
        </w:tc>
      </w:tr>
      <w:tr>
        <w:trPr>
          <w:trHeight w:val="228"/>
        </w:trPr>
        <w:tc>
          <w:tcPr>
            <w:tcW w:w="2020" w:type="dxa"/>
            <w:vAlign w:val="bottom"/>
            <w:vMerge w:val="restart"/>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6"/>
              </w:rPr>
              <w:t>Licensed from The</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growth factors</w:t>
            </w: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7"/>
              </w:rPr>
              <w:t>Scripps Research</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tcPr>
          <w:p>
            <w:pPr>
              <w:jc w:val="center"/>
              <w:ind w:right="592"/>
              <w:spacing w:after="0"/>
              <w:rPr>
                <w:sz w:val="20"/>
                <w:szCs w:val="20"/>
                <w:color w:val="auto"/>
              </w:rPr>
            </w:pPr>
            <w:r>
              <w:rPr>
                <w:rFonts w:ascii="Times New Roman" w:cs="Times New Roman" w:eastAsia="Times New Roman" w:hAnsi="Times New Roman"/>
                <w:sz w:val="18"/>
                <w:szCs w:val="18"/>
                <w:i w:val="1"/>
                <w:iCs w:val="1"/>
                <w:color w:val="auto"/>
                <w:w w:val="98"/>
              </w:rPr>
              <w:t>Institute</w:t>
            </w:r>
          </w:p>
        </w:tc>
        <w:tc>
          <w:tcPr>
            <w:tcW w:w="6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 00/36091</w:t>
            </w:r>
          </w:p>
        </w:tc>
        <w:tc>
          <w:tcPr>
            <w:tcW w:w="8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An animal model for identifying a common stem/progenitor to liver cells and pancreatic cells</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rely upon trade-secret protection for our confidential and proprietary information and take active measures to control access to that information.</w:t>
      </w:r>
    </w:p>
    <w:p>
      <w:pPr>
        <w:spacing w:after="0" w:line="25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2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know-how regarding present and certain future developments in CNS, liver and pancreas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21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the earliest effective filing date),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2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21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One party has recently opposed two of our issued European patents. While we are confident that we will overcome the opposition, there is no guarantee that we will prevail. If we are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although other types of proceedings may be available to third parties to contest our U.S. patents.</w:t>
      </w:r>
    </w:p>
    <w:p>
      <w:pPr>
        <w:spacing w:after="0" w:line="2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22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4" w:lineRule="exact"/>
        <w:rPr>
          <w:sz w:val="20"/>
          <w:szCs w:val="20"/>
          <w:color w:val="auto"/>
        </w:rPr>
      </w:pPr>
    </w:p>
    <w:p>
      <w:pPr>
        <w:ind w:firstLine="324"/>
        <w:spacing w:after="0" w:line="339" w:lineRule="auto"/>
        <w:rPr>
          <w:sz w:val="20"/>
          <w:szCs w:val="20"/>
          <w:color w:val="auto"/>
        </w:rPr>
      </w:pPr>
      <w:r>
        <w:rPr>
          <w:rFonts w:ascii="Times New Roman" w:cs="Times New Roman" w:eastAsia="Times New Roman" w:hAnsi="Times New Roman"/>
          <w:sz w:val="16"/>
          <w:szCs w:val="16"/>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2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Competition for any stem and progenitor cell products that we may develop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217" w:lineRule="exact"/>
        <w:rPr>
          <w:sz w:val="20"/>
          <w:szCs w:val="20"/>
          <w:color w:val="auto"/>
        </w:rPr>
      </w:pPr>
    </w:p>
    <w:p>
      <w:pPr>
        <w:jc w:val="both"/>
        <w:ind w:right="80" w:firstLine="324"/>
        <w:spacing w:after="0" w:line="262" w:lineRule="auto"/>
        <w:rPr>
          <w:sz w:val="20"/>
          <w:szCs w:val="20"/>
          <w:color w:val="auto"/>
        </w:rPr>
      </w:pPr>
      <w:r>
        <w:rPr>
          <w:rFonts w:ascii="Times New Roman" w:cs="Times New Roman" w:eastAsia="Times New Roman" w:hAnsi="Times New Roman"/>
          <w:sz w:val="18"/>
          <w:szCs w:val="18"/>
          <w:color w:val="auto"/>
        </w:rPr>
        <w:t>We may also face competition from companies that have filed patent applications relating to the use of genetically modified cells to treat disease, disorder or injury. In the event our therapies should require the use of such genetically modified cells, we may be required to seek licenses from these competitors in order to commercialize certain of our proposed products, and such licenses may not be granted.</w:t>
      </w:r>
    </w:p>
    <w:p>
      <w:pPr>
        <w:spacing w:after="0" w:line="213" w:lineRule="exact"/>
        <w:rPr>
          <w:sz w:val="20"/>
          <w:szCs w:val="20"/>
          <w:color w:val="auto"/>
        </w:rPr>
      </w:pPr>
    </w:p>
    <w:p>
      <w:pPr>
        <w:ind w:right="360" w:firstLine="324"/>
        <w:spacing w:after="0" w:line="256" w:lineRule="auto"/>
        <w:rPr>
          <w:sz w:val="20"/>
          <w:szCs w:val="20"/>
          <w:color w:val="auto"/>
        </w:rPr>
      </w:pPr>
      <w:r>
        <w:rPr>
          <w:rFonts w:ascii="Times New Roman" w:cs="Times New Roman" w:eastAsia="Times New Roman" w:hAnsi="Times New Roman"/>
          <w:sz w:val="18"/>
          <w:szCs w:val="18"/>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22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4" w:lineRule="exact"/>
        <w:rPr>
          <w:sz w:val="20"/>
          <w:szCs w:val="20"/>
          <w:color w:val="auto"/>
        </w:rPr>
      </w:pPr>
    </w:p>
    <w:p>
      <w:pPr>
        <w:ind w:right="620" w:firstLine="324"/>
        <w:spacing w:after="0" w:line="275" w:lineRule="auto"/>
        <w:rPr>
          <w:sz w:val="20"/>
          <w:szCs w:val="20"/>
          <w:color w:val="auto"/>
        </w:rPr>
      </w:pPr>
      <w:r>
        <w:rPr>
          <w:rFonts w:ascii="Times New Roman" w:cs="Times New Roman" w:eastAsia="Times New Roman" w:hAnsi="Times New Roman"/>
          <w:sz w:val="18"/>
          <w:szCs w:val="18"/>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20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FDA Approval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steps required before our potential products may be marketed in the United States include:</w:t>
      </w:r>
    </w:p>
    <w:p>
      <w:pPr>
        <w:spacing w:after="0" w:line="200" w:lineRule="exact"/>
        <w:rPr>
          <w:sz w:val="20"/>
          <w:szCs w:val="20"/>
          <w:color w:val="auto"/>
        </w:rPr>
      </w:pPr>
    </w:p>
    <w:p>
      <w:pPr>
        <w:spacing w:after="0" w:line="239" w:lineRule="exact"/>
        <w:rPr>
          <w:sz w:val="20"/>
          <w:szCs w:val="20"/>
          <w:color w:val="auto"/>
        </w:rPr>
      </w:pPr>
    </w:p>
    <w:p>
      <w:pPr>
        <w:jc w:val="both"/>
        <w:ind w:left="2660"/>
        <w:spacing w:after="0"/>
        <w:tabs>
          <w:tab w:leader="none" w:pos="8220" w:val="left"/>
        </w:tabs>
        <w:rPr>
          <w:sz w:val="20"/>
          <w:szCs w:val="20"/>
          <w:color w:val="auto"/>
        </w:rPr>
      </w:pPr>
      <w:r>
        <w:rPr>
          <w:rFonts w:ascii="Times New Roman" w:cs="Times New Roman" w:eastAsia="Times New Roman" w:hAnsi="Times New Roman"/>
          <w:sz w:val="14"/>
          <w:szCs w:val="14"/>
          <w:b w:val="1"/>
          <w:bCs w:val="1"/>
          <w:color w:val="auto"/>
        </w:rPr>
        <w:t>Steps</w:t>
      </w:r>
      <w:r>
        <w:rPr>
          <w:sz w:val="20"/>
          <w:szCs w:val="20"/>
          <w:color w:val="auto"/>
        </w:rPr>
        <w:tab/>
      </w:r>
      <w:r>
        <w:rPr>
          <w:rFonts w:ascii="Times New Roman" w:cs="Times New Roman" w:eastAsia="Times New Roman" w:hAnsi="Times New Roman"/>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20"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and animal tests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40" w:right="220" w:hanging="132"/>
        <w:spacing w:after="0" w:line="262"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Exemption, or IND, which must become effective before U.S. human clinical trials may commence</w:t>
      </w:r>
    </w:p>
    <w:p>
      <w:pPr>
        <w:spacing w:after="0" w:line="186" w:lineRule="exact"/>
        <w:rPr>
          <w:rFonts w:ascii="Times New Roman" w:cs="Times New Roman" w:eastAsia="Times New Roman" w:hAnsi="Times New Roman"/>
          <w:sz w:val="18"/>
          <w:szCs w:val="18"/>
          <w:color w:val="auto"/>
        </w:rPr>
      </w:pPr>
    </w:p>
    <w:p>
      <w:pPr>
        <w:ind w:left="140" w:right="200" w:hanging="132"/>
        <w:spacing w:after="0" w:line="275" w:lineRule="auto"/>
        <w:tabs>
          <w:tab w:leader="none" w:pos="1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ind w:right="80"/>
        <w:spacing w:after="0" w:line="250" w:lineRule="auto"/>
        <w:rPr>
          <w:sz w:val="20"/>
          <w:szCs w:val="20"/>
          <w:color w:val="auto"/>
        </w:rPr>
      </w:pPr>
      <w:r>
        <w:rPr>
          <w:rFonts w:ascii="Times New Roman" w:cs="Times New Roman" w:eastAsia="Times New Roman" w:hAnsi="Times New Roman"/>
          <w:sz w:val="18"/>
          <w:szCs w:val="18"/>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Clinical development is traditionally conducted in three sequential phases, which may overlap:</w:t>
      </w:r>
    </w:p>
    <w:p>
      <w:pPr>
        <w:spacing w:after="0" w:line="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Phase I, products are typically introduced into healthy human subjects or into selected patient populations to test for adverse reactions, dosage tolerance, absorption and distribution, metabolism, excretion and clinical pharmacology.</w:t>
      </w:r>
    </w:p>
    <w:p>
      <w:pPr>
        <w:sectPr>
          <w:pgSz w:w="11900" w:h="16838" w:orient="portrait"/>
          <w:cols w:equalWidth="0" w:num="2">
            <w:col w:w="5800" w:space="160"/>
            <w:col w:w="5460"/>
          </w:cols>
          <w:pgMar w:left="240" w:top="415" w:right="23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80"/>
          </w:cols>
          <w:pgMar w:left="240" w:top="415" w:right="27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559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marketing authorization applications</w:t>
      </w:r>
    </w:p>
    <w:p>
      <w:pPr>
        <w:spacing w:after="0" w:line="225" w:lineRule="exact"/>
        <w:rPr>
          <w:rFonts w:ascii="Times New Roman" w:cs="Times New Roman" w:eastAsia="Times New Roman" w:hAnsi="Times New Roman"/>
          <w:sz w:val="18"/>
          <w:szCs w:val="18"/>
          <w:color w:val="auto"/>
        </w:rPr>
      </w:pPr>
    </w:p>
    <w:p>
      <w:pPr>
        <w:jc w:val="both"/>
        <w:ind w:left="140" w:hanging="132"/>
        <w:spacing w:after="0" w:line="310" w:lineRule="auto"/>
        <w:tabs>
          <w:tab w:leader="none" w:pos="18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290"/>
        <w:spacing w:after="0"/>
        <w:rPr>
          <w:sz w:val="20"/>
          <w:szCs w:val="20"/>
          <w:color w:val="auto"/>
        </w:rPr>
      </w:pPr>
      <w:r>
        <w:rPr>
          <w:rFonts w:ascii="Times New Roman" w:cs="Times New Roman" w:eastAsia="Times New Roman" w:hAnsi="Times New Roman"/>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ind w:left="10" w:right="140"/>
        <w:spacing w:after="0" w:line="289" w:lineRule="auto"/>
        <w:rPr>
          <w:sz w:val="20"/>
          <w:szCs w:val="20"/>
          <w:color w:val="auto"/>
        </w:rPr>
      </w:pPr>
      <w:r>
        <w:rPr>
          <w:rFonts w:ascii="Times New Roman" w:cs="Times New Roman" w:eastAsia="Times New Roman" w:hAnsi="Times New Roman"/>
          <w:sz w:val="16"/>
          <w:szCs w:val="16"/>
          <w:color w:val="auto"/>
        </w:rPr>
        <w:t>Phase II involves studies in a limited patient population to (i) determine the efficacy of the product for specific targeted indications and populations,</w:t>
      </w:r>
    </w:p>
    <w:p>
      <w:pPr>
        <w:spacing w:after="0" w:line="1" w:lineRule="exact"/>
        <w:rPr>
          <w:sz w:val="20"/>
          <w:szCs w:val="20"/>
          <w:color w:val="auto"/>
        </w:rPr>
      </w:pPr>
    </w:p>
    <w:p>
      <w:pPr>
        <w:ind w:left="10" w:right="20" w:hanging="10"/>
        <w:spacing w:after="0" w:line="250"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 w:lineRule="exact"/>
        <w:rPr>
          <w:rFonts w:ascii="Times New Roman" w:cs="Times New Roman" w:eastAsia="Times New Roman" w:hAnsi="Times New Roman"/>
          <w:sz w:val="18"/>
          <w:szCs w:val="18"/>
          <w:color w:val="auto"/>
        </w:rPr>
      </w:pPr>
    </w:p>
    <w:p>
      <w:pPr>
        <w:ind w:left="1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trials are undertaken to conclusively demonstrate clinical efficacy and to test further for safety within an expanded patient population, generally at multiple study sites.</w:t>
      </w:r>
    </w:p>
    <w:p>
      <w:pPr>
        <w:spacing w:after="0" w:line="1" w:lineRule="exact"/>
        <w:rPr>
          <w:rFonts w:ascii="Times New Roman" w:cs="Times New Roman" w:eastAsia="Times New Roman" w:hAnsi="Times New Roman"/>
          <w:sz w:val="18"/>
          <w:szCs w:val="18"/>
          <w:color w:val="auto"/>
        </w:rPr>
      </w:pPr>
    </w:p>
    <w:p>
      <w:pPr>
        <w:jc w:val="both"/>
        <w:ind w:left="10" w:right="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continually reviews the clinical trial plans and results and may suggest changes or may require discontinuance of the trials at any time if significant safety issues arise.</w:t>
      </w:r>
    </w:p>
    <w:p>
      <w:pPr>
        <w:spacing w:after="0" w:line="1" w:lineRule="exact"/>
        <w:rPr>
          <w:rFonts w:ascii="Times New Roman" w:cs="Times New Roman" w:eastAsia="Times New Roman" w:hAnsi="Times New Roman"/>
          <w:sz w:val="18"/>
          <w:szCs w:val="18"/>
          <w:color w:val="auto"/>
        </w:rPr>
      </w:pPr>
    </w:p>
    <w:p>
      <w:pPr>
        <w:ind w:left="1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preclinical studies and clinical studies are submitted to the FDA in the form of marketing approval authorization applications.</w:t>
      </w:r>
    </w:p>
    <w:p>
      <w:pPr>
        <w:ind w:left="1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5580" w:space="370"/>
            <w:col w:w="5430"/>
          </w:cols>
          <w:pgMar w:left="240" w:top="415" w:right="279" w:bottom="1440" w:gutter="0" w:footer="0" w:header="0"/>
          <w:type w:val="continuous"/>
        </w:sectPr>
      </w:pPr>
    </w:p>
    <w:p>
      <w:pPr>
        <w:spacing w:after="0" w:line="23"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FDA Manufacturing Requirements</w:t>
      </w:r>
    </w:p>
    <w:p>
      <w:pPr>
        <w:spacing w:after="0" w:line="2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Among the conditions for product licensure is the requirement that the prospective manufacturer’s quality control and manufacturing procedures conform to the FDA’s current good manufacturing practice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Orphan Drug Act</w:t>
      </w:r>
    </w:p>
    <w:p>
      <w:pPr>
        <w:spacing w:after="0" w:line="256"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Proposed FDA Regulations</w:t>
      </w:r>
    </w:p>
    <w:p>
      <w:pPr>
        <w:spacing w:after="0" w:line="256" w:lineRule="exact"/>
        <w:rPr>
          <w:sz w:val="20"/>
          <w:szCs w:val="20"/>
          <w:color w:val="auto"/>
        </w:rPr>
      </w:pPr>
    </w:p>
    <w:p>
      <w:pPr>
        <w:ind w:right="140" w:firstLine="324"/>
        <w:spacing w:after="0" w:line="290" w:lineRule="auto"/>
        <w:rPr>
          <w:sz w:val="20"/>
          <w:szCs w:val="20"/>
          <w:color w:val="auto"/>
        </w:rPr>
      </w:pPr>
      <w:r>
        <w:rPr>
          <w:rFonts w:ascii="Times New Roman" w:cs="Times New Roman" w:eastAsia="Times New Roman" w:hAnsi="Times New Roman"/>
          <w:sz w:val="16"/>
          <w:szCs w:val="16"/>
          <w:color w:val="auto"/>
        </w:rPr>
        <w:t>Our research and development is based on the use of human stem and progenitor cells. The FDA has published a “Proposed Approach to Regulation of Cellular and Tissue-Based Products” which relates to the use of human cells. As part of this approach, the FDA has published final rules for registration of establishments that engage in the recovery, screening, testing, processing, storage or distribution of human cells, tissues, and cellular and tissue-based products, and for the listing of such products. These products specifically include hematopoietic stem cells (stem cells that are progenitors of blood cells); however, the FDA makes no explicit statement regarding the inclusion of other types of stem cells. In addition, the FDA has published proposed rules for making suitability determinations for donors of cells and tissue and for current good tissue practice for manufacturers using them. We cannot now determine the full effects of this regulatory initiative, including precisely how it may affect the clarity of regulatory obligations and the extent of regulatory burdens associated with pluripotent stem cell research (for stem cells that give rise to various tissue types, including blood), and the manufacture and marketing of stem cell products.</w:t>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56"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20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and Health Care Cost Control</w:t>
      </w:r>
    </w:p>
    <w:p>
      <w:pPr>
        <w:spacing w:after="0" w:line="254"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21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4"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8"/>
          <w:szCs w:val="18"/>
          <w:color w:val="auto"/>
        </w:rPr>
        <w:t>As of December 31, 2003, we had twenty-seven full-time employees, of whom nine have Ph.D. degrees. Twenty-one full-time employees work in research and development and laboratory support services. No employees are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254"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6"/>
          <w:szCs w:val="16"/>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94" w:lineRule="exact"/>
        <w:rPr>
          <w:sz w:val="20"/>
          <w:szCs w:val="20"/>
          <w:color w:val="auto"/>
        </w:rPr>
      </w:pPr>
    </w:p>
    <w:p>
      <w:pPr>
        <w:ind w:left="360" w:right="260" w:firstLine="324"/>
        <w:spacing w:after="0" w:line="289" w:lineRule="auto"/>
        <w:rPr>
          <w:sz w:val="20"/>
          <w:szCs w:val="20"/>
          <w:color w:val="auto"/>
        </w:rPr>
      </w:pPr>
      <w:r>
        <w:rPr>
          <w:rFonts w:ascii="Times New Roman" w:cs="Times New Roman" w:eastAsia="Times New Roman" w:hAnsi="Times New Roman"/>
          <w:sz w:val="16"/>
          <w:szCs w:val="16"/>
          <w:color w:val="auto"/>
        </w:rPr>
        <w:t>— Irving L. Weissman, M.D., is the Karel and Avice Beekhuis Professor of Cancer Biology, Professor of Pathology and Professor of Developmental Biology at Stanford University, Stanford California, and Director of the Stanford University Institute for Cancer/Stem Cell Biology and Medicine.</w:t>
      </w:r>
    </w:p>
    <w:p>
      <w:pPr>
        <w:spacing w:after="0" w:line="1" w:lineRule="exact"/>
        <w:rPr>
          <w:sz w:val="20"/>
          <w:szCs w:val="20"/>
          <w:color w:val="auto"/>
        </w:rPr>
      </w:pPr>
    </w:p>
    <w:p>
      <w:pPr>
        <w:ind w:left="360" w:right="20"/>
        <w:spacing w:after="0" w:line="252" w:lineRule="auto"/>
        <w:rPr>
          <w:sz w:val="20"/>
          <w:szCs w:val="20"/>
          <w:color w:val="auto"/>
        </w:rPr>
      </w:pPr>
      <w:r>
        <w:rPr>
          <w:rFonts w:ascii="Times New Roman" w:cs="Times New Roman" w:eastAsia="Times New Roman" w:hAnsi="Times New Roman"/>
          <w:sz w:val="18"/>
          <w:szCs w:val="18"/>
          <w:color w:val="auto"/>
        </w:rPr>
        <w:t>Dr. Weissman’s lab was responsible for the discovery of the first ever mammalian stem cell, the hematopoietic (blood-forming) stem cell. Dr. Weissman was responsible for the formation of three stem cell companies, SyStemix, Inc., StemCells, Inc., and Cellerant, Inc. He is a member of the Board of Directors and Chairman of the Scientific Advisory Boards of StemCells and Cellerant. Dr. Weissman co-discovered the mammalian and human hematopoietic stem cells and the human neural stem cell. Past achievements of Dr. Weissman’s laboratory include identification of the states of development between stem cells and mature blood cells and identification of the states of thymic lymphocyte development. More recently, his laboratory at Stanford has developed accurate mouse models of human leukemias, and has shown the central role of inhibition of programmed cell death in that process. Dr. Weissman has been elected to the National Academy of Science. He has received the Kaiser Award for Excellence in Preclinical Teaching, the Pasarow Foundation Award, and the Outstanding Investigator Award from the National Institutes of Health.</w:t>
      </w:r>
    </w:p>
    <w:p>
      <w:pPr>
        <w:spacing w:after="0" w:line="247" w:lineRule="exact"/>
        <w:rPr>
          <w:sz w:val="20"/>
          <w:szCs w:val="20"/>
          <w:color w:val="auto"/>
        </w:rPr>
      </w:pPr>
    </w:p>
    <w:p>
      <w:pPr>
        <w:ind w:left="360" w:firstLine="324"/>
        <w:spacing w:after="0" w:line="253" w:lineRule="auto"/>
        <w:rPr>
          <w:sz w:val="20"/>
          <w:szCs w:val="20"/>
          <w:color w:val="auto"/>
        </w:rPr>
      </w:pPr>
      <w:r>
        <w:rPr>
          <w:rFonts w:ascii="Times New Roman" w:cs="Times New Roman" w:eastAsia="Times New Roman" w:hAnsi="Times New Roman"/>
          <w:sz w:val="18"/>
          <w:szCs w:val="18"/>
          <w:color w:val="auto"/>
        </w:rPr>
        <w:t>— David J. Anderson, Ph.D., is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 laboratory also was the first to isolate transcription factors that act as master regulators of neuronal fate. More recently, he has identified signals that tell a neural stem cell to differentiate to a glial cell rather than a neuron. Dr. Anderson is a co-founder of StemCells and a member of its SAB. Dr. Anderson also serves on the SAB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and the 1999 W. Alden Spencer Award in Neurobiology from Columbia University.</w:t>
      </w:r>
    </w:p>
    <w:p>
      <w:pPr>
        <w:spacing w:after="0" w:line="251" w:lineRule="exact"/>
        <w:rPr>
          <w:sz w:val="20"/>
          <w:szCs w:val="20"/>
          <w:color w:val="auto"/>
        </w:rPr>
      </w:pPr>
    </w:p>
    <w:p>
      <w:pPr>
        <w:ind w:left="360" w:right="420" w:firstLine="324"/>
        <w:spacing w:after="0" w:line="339" w:lineRule="auto"/>
        <w:rPr>
          <w:sz w:val="20"/>
          <w:szCs w:val="20"/>
          <w:color w:val="auto"/>
        </w:rPr>
      </w:pPr>
      <w:r>
        <w:rPr>
          <w:rFonts w:ascii="Times New Roman" w:cs="Times New Roman" w:eastAsia="Times New Roman" w:hAnsi="Times New Roman"/>
          <w:sz w:val="16"/>
          <w:szCs w:val="16"/>
          <w:color w:val="auto"/>
        </w:rPr>
        <w:t>— Fred H. Gage, Ph.D., is Professor, Laboratory of Genetics, The Salk Institute for Biological Studies, La Jolla, California and Adjunct Professor, Department of Neurosciences, University of California, San Diego, California. Dr. Gage’s lab was the first to discover the mammalian central nervous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line="256" w:lineRule="auto"/>
        <w:rPr>
          <w:sz w:val="20"/>
          <w:szCs w:val="20"/>
          <w:color w:val="auto"/>
        </w:rPr>
      </w:pPr>
      <w:r>
        <w:rPr>
          <w:rFonts w:ascii="Times New Roman" w:cs="Times New Roman" w:eastAsia="Times New Roman" w:hAnsi="Times New Roman"/>
          <w:sz w:val="18"/>
          <w:szCs w:val="18"/>
          <w:color w:val="auto"/>
        </w:rPr>
        <w:t>system stem cell. His research focus is on the development of strategies to induce recovery of function following central nervous system (CNS) damage. Dr. Gage is a co-founder of StemCells and a member of its SAB. Dr. Gage also serves on the Scientific Advisory Board of Ceregene, Inc. Dr. Gage has been the recipient of numerous awards, including the 1993 Charles A. Dana Award for Pioneering Achievements in Health and Education, the Christopher Reeves Medal, the Decade of the Brain Medal, the Max-Planck research Prize, and the Pasarow Foundation Award. In 2003, Professor Gage was elected to the National Academy of Science.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Consultants to our SAB include William C. Mobley, M.D., Ph.D., Ben Barres, Ph.D., and Seung Kim, M.D., Ph.D., all of Stanford University.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3155 Porter Drive, Palo Alto, CA 94304, and our main telephone number is (650) 475-3100. Investors can obtain access to this annual report on Form 10-K, our quarterly reports on Form 10-Q, our current reports on Form 8-K and all amendments to these reports, free of charge, on our website at http://www.stemcellsinc.com as soon as reasonably practicable after such filings are electronically filed with the SEC. The public may read and copy any material we file with the SEC at the SEC’s Public Reference Room at 450 Fifth Street, N.W.,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200" w:lineRule="exact"/>
        <w:rPr>
          <w:sz w:val="20"/>
          <w:szCs w:val="20"/>
          <w:color w:val="auto"/>
        </w:rPr>
      </w:pP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25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entered into a 5-year lease, as of February 1, 2001, for a 40,000 square foot facility, located in the Stanford Research Park in Palo Alto, California. This facility includes space for animals as well as laboratories, offices, and a Good Manufacturing Practices suite, signifying that the facility can be used to manufacture materials for clinical trials. The facility will better enable us to achieve our goal of utilizing genetically unmodified human stem cells for the treatment of disorders of the nervous system, liver, and pancreas. We have space-sharing agreements for part of the animal facility not needed for our own use, including one with Stanford University.</w:t>
      </w:r>
    </w:p>
    <w:p>
      <w:pPr>
        <w:spacing w:after="0" w:line="220" w:lineRule="exact"/>
        <w:rPr>
          <w:sz w:val="20"/>
          <w:szCs w:val="20"/>
          <w:color w:val="auto"/>
        </w:rPr>
      </w:pPr>
    </w:p>
    <w:p>
      <w:pPr>
        <w:ind w:right="40" w:firstLine="324"/>
        <w:spacing w:after="0" w:line="296" w:lineRule="auto"/>
        <w:rPr>
          <w:sz w:val="20"/>
          <w:szCs w:val="20"/>
          <w:color w:val="auto"/>
        </w:rPr>
      </w:pPr>
      <w:r>
        <w:rPr>
          <w:rFonts w:ascii="Times New Roman" w:cs="Times New Roman" w:eastAsia="Times New Roman" w:hAnsi="Times New Roman"/>
          <w:sz w:val="16"/>
          <w:szCs w:val="16"/>
          <w:color w:val="auto"/>
        </w:rPr>
        <w:t>We continue to lease the following facilities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the 21,000 square-foot facility. We have also subleased approximately one-fourth of the 62,500 square foot facility. We are actively seeking to sublease, assign or sell our remaining interests in these properties.</w:t>
      </w:r>
    </w:p>
    <w:p>
      <w:pPr>
        <w:spacing w:after="0" w:line="200" w:lineRule="exact"/>
        <w:rPr>
          <w:sz w:val="20"/>
          <w:szCs w:val="20"/>
          <w:color w:val="auto"/>
        </w:rPr>
      </w:pPr>
    </w:p>
    <w:p>
      <w:pPr>
        <w:spacing w:after="0" w:line="20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Submission of Matters to a Vote of Security Holders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and Related Stockholders Matters</w:t>
      </w:r>
    </w:p>
    <w:p>
      <w:pPr>
        <w:spacing w:after="0" w:line="256"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The common stock of StemCells is traded on the SmallCap Market System of NASDAQ under the Symbol STEM. Prior to December 23, 2002 our common stock was traded on the NASDAQ National</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The quarterly ranges of high and low bid prices for the last two fiscal years as reported by NASDAQ are shown below:</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$1.48</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$2.85</w:t>
            </w:r>
          </w:p>
        </w:tc>
        <w:tc>
          <w:tcPr>
            <w:tcW w:w="920" w:type="dxa"/>
            <w:vAlign w:val="bottom"/>
            <w:gridSpan w:val="2"/>
            <w:shd w:val="clear" w:color="auto" w:fill="EEEEEE"/>
          </w:tcPr>
          <w:p>
            <w:pPr>
              <w:jc w:val="center"/>
              <w:ind w:left="152"/>
              <w:spacing w:after="0"/>
              <w:rPr>
                <w:sz w:val="20"/>
                <w:szCs w:val="20"/>
                <w:color w:val="auto"/>
              </w:rPr>
            </w:pPr>
            <w:r>
              <w:rPr>
                <w:rFonts w:ascii="Times New Roman" w:cs="Times New Roman" w:eastAsia="Times New Roman" w:hAnsi="Times New Roman"/>
                <w:sz w:val="18"/>
                <w:szCs w:val="18"/>
                <w:color w:val="auto"/>
                <w:w w:val="98"/>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$2.60</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gridSpan w:val="2"/>
            <w:shd w:val="clear" w:color="auto" w:fill="EEEEEE"/>
          </w:tcPr>
          <w:p>
            <w:pPr>
              <w:jc w:val="center"/>
              <w:ind w:left="152"/>
              <w:spacing w:after="0"/>
              <w:rPr>
                <w:sz w:val="20"/>
                <w:szCs w:val="20"/>
                <w:color w:val="auto"/>
              </w:rPr>
            </w:pPr>
            <w:r>
              <w:rPr>
                <w:rFonts w:ascii="Times New Roman" w:cs="Times New Roman" w:eastAsia="Times New Roman" w:hAnsi="Times New Roman"/>
                <w:sz w:val="18"/>
                <w:szCs w:val="18"/>
                <w:color w:val="auto"/>
                <w:w w:val="98"/>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6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$3.84</w:t>
            </w:r>
          </w:p>
        </w:tc>
        <w:tc>
          <w:tcPr>
            <w:tcW w:w="920" w:type="dxa"/>
            <w:vAlign w:val="bottom"/>
            <w:gridSpan w:val="2"/>
            <w:shd w:val="clear" w:color="auto" w:fill="EEEEEE"/>
          </w:tcPr>
          <w:p>
            <w:pPr>
              <w:jc w:val="center"/>
              <w:ind w:left="152"/>
              <w:spacing w:after="0"/>
              <w:rPr>
                <w:sz w:val="20"/>
                <w:szCs w:val="20"/>
                <w:color w:val="auto"/>
              </w:rPr>
            </w:pPr>
            <w:r>
              <w:rPr>
                <w:rFonts w:ascii="Times New Roman" w:cs="Times New Roman" w:eastAsia="Times New Roman" w:hAnsi="Times New Roman"/>
                <w:sz w:val="18"/>
                <w:szCs w:val="18"/>
                <w:color w:val="auto"/>
                <w:w w:val="98"/>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$2.34</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$2.07</w:t>
            </w:r>
          </w:p>
        </w:tc>
        <w:tc>
          <w:tcPr>
            <w:tcW w:w="920" w:type="dxa"/>
            <w:vAlign w:val="bottom"/>
            <w:gridSpan w:val="2"/>
            <w:shd w:val="clear" w:color="auto" w:fill="EEEEEE"/>
          </w:tcPr>
          <w:p>
            <w:pPr>
              <w:jc w:val="center"/>
              <w:ind w:left="152"/>
              <w:spacing w:after="0"/>
              <w:rPr>
                <w:sz w:val="20"/>
                <w:szCs w:val="20"/>
                <w:color w:val="auto"/>
              </w:rPr>
            </w:pPr>
            <w:r>
              <w:rPr>
                <w:rFonts w:ascii="Times New Roman" w:cs="Times New Roman" w:eastAsia="Times New Roman" w:hAnsi="Times New Roman"/>
                <w:sz w:val="18"/>
                <w:szCs w:val="18"/>
                <w:color w:val="auto"/>
                <w:w w:val="98"/>
              </w:rPr>
              <w:t>$0.65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$1.24</w:t>
            </w:r>
          </w:p>
        </w:tc>
        <w:tc>
          <w:tcPr>
            <w:tcW w:w="92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8"/>
              </w:rPr>
              <w:t>$0.51</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cash dividends have been declared on the Company common stock since the Company’s inception.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17, 2004, there were approximately 451 holders of record of the common stock.</w:t>
      </w:r>
    </w:p>
    <w:p>
      <w:pPr>
        <w:spacing w:after="0" w:line="252" w:lineRule="exact"/>
        <w:rPr>
          <w:sz w:val="20"/>
          <w:szCs w:val="20"/>
          <w:color w:val="auto"/>
        </w:rPr>
      </w:pPr>
    </w:p>
    <w:p>
      <w:pPr>
        <w:ind w:right="320" w:firstLine="324"/>
        <w:spacing w:after="0" w:line="289" w:lineRule="auto"/>
        <w:rPr>
          <w:sz w:val="20"/>
          <w:szCs w:val="20"/>
          <w:color w:val="auto"/>
        </w:rPr>
      </w:pPr>
      <w:r>
        <w:rPr>
          <w:rFonts w:ascii="Times New Roman" w:cs="Times New Roman" w:eastAsia="Times New Roman" w:hAnsi="Times New Roman"/>
          <w:sz w:val="16"/>
          <w:szCs w:val="16"/>
          <w:color w:val="auto"/>
        </w:rPr>
        <w:t>By agreement with one of the Company’s outside providers of legal services, a part of the fees incurred were paid in authorized, unregistered stock of the Company, issued pursuant to the exemption from registration provided by Section 4(2) of the Securities Act of 1933, as amended. In 2003 we issued</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80,940 shares with a fair market value of $125,499 under that agreement. The agreement has been changed to provide that the payments be made in registered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4" w:lineRule="exact"/>
        <w:rPr>
          <w:sz w:val="20"/>
          <w:szCs w:val="20"/>
          <w:color w:val="auto"/>
        </w:rPr>
      </w:pPr>
    </w:p>
    <w:p>
      <w:pPr>
        <w:ind w:right="38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the end of December 31, 2003.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8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300" w:type="dxa"/>
            <w:vAlign w:val="bottom"/>
          </w:tcPr>
          <w:p>
            <w:pPr>
              <w:spacing w:after="0"/>
              <w:rPr>
                <w:sz w:val="12"/>
                <w:szCs w:val="12"/>
                <w:color w:val="auto"/>
              </w:rPr>
            </w:pPr>
          </w:p>
        </w:tc>
        <w:tc>
          <w:tcPr>
            <w:tcW w:w="2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 Issued Upon</w:t>
            </w:r>
          </w:p>
        </w:tc>
        <w:tc>
          <w:tcPr>
            <w:tcW w:w="28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300" w:type="dxa"/>
            <w:vAlign w:val="bottom"/>
          </w:tcPr>
          <w:p>
            <w:pPr>
              <w:spacing w:after="0"/>
              <w:rPr>
                <w:sz w:val="12"/>
                <w:szCs w:val="12"/>
                <w:color w:val="auto"/>
              </w:rPr>
            </w:pPr>
          </w:p>
        </w:tc>
        <w:tc>
          <w:tcPr>
            <w:tcW w:w="2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 of</w:t>
            </w:r>
          </w:p>
        </w:tc>
        <w:tc>
          <w:tcPr>
            <w:tcW w:w="28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300" w:type="dxa"/>
            <w:vAlign w:val="bottom"/>
          </w:tcPr>
          <w:p>
            <w:pPr>
              <w:spacing w:after="0"/>
              <w:rPr>
                <w:sz w:val="12"/>
                <w:szCs w:val="12"/>
                <w:color w:val="auto"/>
              </w:rPr>
            </w:pPr>
          </w:p>
        </w:tc>
        <w:tc>
          <w:tcPr>
            <w:tcW w:w="26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8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Warrants</w:t>
            </w:r>
          </w:p>
        </w:tc>
        <w:tc>
          <w:tcPr>
            <w:tcW w:w="300" w:type="dxa"/>
            <w:vAlign w:val="bottom"/>
          </w:tcPr>
          <w:p>
            <w:pPr>
              <w:spacing w:after="0"/>
              <w:rPr>
                <w:sz w:val="12"/>
                <w:szCs w:val="12"/>
                <w:color w:val="auto"/>
              </w:rPr>
            </w:pPr>
          </w:p>
        </w:tc>
        <w:tc>
          <w:tcPr>
            <w:tcW w:w="26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 Securities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80" w:type="dxa"/>
            <w:vAlign w:val="bottom"/>
          </w:tcPr>
          <w:p>
            <w:pPr>
              <w:spacing w:after="0"/>
              <w:rPr>
                <w:sz w:val="15"/>
                <w:szCs w:val="15"/>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and Rights</w:t>
            </w:r>
          </w:p>
        </w:tc>
        <w:tc>
          <w:tcPr>
            <w:tcW w:w="300" w:type="dxa"/>
            <w:vAlign w:val="bottom"/>
          </w:tcPr>
          <w:p>
            <w:pPr>
              <w:spacing w:after="0"/>
              <w:rPr>
                <w:sz w:val="15"/>
                <w:szCs w:val="15"/>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3"/>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9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25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5,025,374(1)</w:t>
            </w:r>
          </w:p>
        </w:tc>
        <w:tc>
          <w:tcPr>
            <w:tcW w:w="1420" w:type="dxa"/>
            <w:vAlign w:val="bottom"/>
            <w:gridSpan w:val="3"/>
            <w:shd w:val="clear" w:color="auto" w:fill="EEEEEE"/>
          </w:tcPr>
          <w:p>
            <w:pPr>
              <w:jc w:val="center"/>
              <w:ind w:left="932"/>
              <w:spacing w:after="0"/>
              <w:rPr>
                <w:sz w:val="20"/>
                <w:szCs w:val="20"/>
                <w:color w:val="auto"/>
              </w:rPr>
            </w:pPr>
            <w:r>
              <w:rPr>
                <w:rFonts w:ascii="Times New Roman" w:cs="Times New Roman" w:eastAsia="Times New Roman" w:hAnsi="Times New Roman"/>
                <w:sz w:val="18"/>
                <w:szCs w:val="18"/>
                <w:color w:val="auto"/>
                <w:w w:val="98"/>
              </w:rPr>
              <w:t>$2.91</w:t>
            </w:r>
          </w:p>
        </w:tc>
        <w:tc>
          <w:tcPr>
            <w:tcW w:w="740" w:type="dxa"/>
            <w:vAlign w:val="bottom"/>
            <w:shd w:val="clear" w:color="auto" w:fill="EEEEEE"/>
          </w:tcPr>
          <w:p>
            <w:pPr>
              <w:spacing w:after="0"/>
              <w:rPr>
                <w:sz w:val="20"/>
                <w:szCs w:val="20"/>
                <w:color w:val="auto"/>
              </w:rPr>
            </w:pPr>
          </w:p>
        </w:tc>
        <w:tc>
          <w:tcPr>
            <w:tcW w:w="2980" w:type="dxa"/>
            <w:vAlign w:val="bottom"/>
            <w:gridSpan w:val="4"/>
            <w:shd w:val="clear" w:color="auto" w:fill="EEEEEE"/>
          </w:tcPr>
          <w:p>
            <w:pPr>
              <w:jc w:val="center"/>
              <w:ind w:left="212"/>
              <w:spacing w:after="0"/>
              <w:rPr>
                <w:sz w:val="20"/>
                <w:szCs w:val="20"/>
                <w:color w:val="auto"/>
              </w:rPr>
            </w:pPr>
            <w:r>
              <w:rPr>
                <w:rFonts w:ascii="Times New Roman" w:cs="Times New Roman" w:eastAsia="Times New Roman" w:hAnsi="Times New Roman"/>
                <w:sz w:val="18"/>
                <w:szCs w:val="18"/>
                <w:color w:val="auto"/>
                <w:w w:val="95"/>
              </w:rPr>
              <w:t>958,631</w:t>
            </w:r>
          </w:p>
        </w:tc>
        <w:tc>
          <w:tcPr>
            <w:tcW w:w="0" w:type="dxa"/>
            <w:vAlign w:val="bottom"/>
          </w:tcPr>
          <w:p>
            <w:pPr>
              <w:spacing w:after="0"/>
              <w:rPr>
                <w:sz w:val="1"/>
                <w:szCs w:val="1"/>
                <w:color w:val="auto"/>
              </w:rPr>
            </w:pPr>
          </w:p>
        </w:tc>
      </w:tr>
      <w:tr>
        <w:trPr>
          <w:trHeight w:val="108"/>
        </w:trPr>
        <w:tc>
          <w:tcPr>
            <w:tcW w:w="3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Equity compensation arrangements not approved</w:t>
            </w:r>
          </w:p>
        </w:tc>
        <w:tc>
          <w:tcPr>
            <w:tcW w:w="9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780" w:type="dxa"/>
            <w:vAlign w:val="bottom"/>
            <w:gridSpan w:val="4"/>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security holders</w:t>
            </w:r>
          </w:p>
        </w:tc>
        <w:tc>
          <w:tcPr>
            <w:tcW w:w="2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396,699(2)</w:t>
            </w:r>
          </w:p>
        </w:tc>
        <w:tc>
          <w:tcPr>
            <w:tcW w:w="1420" w:type="dxa"/>
            <w:vAlign w:val="bottom"/>
            <w:gridSpan w:val="3"/>
          </w:tcPr>
          <w:p>
            <w:pPr>
              <w:jc w:val="center"/>
              <w:ind w:left="932"/>
              <w:spacing w:after="0"/>
              <w:rPr>
                <w:sz w:val="20"/>
                <w:szCs w:val="20"/>
                <w:color w:val="auto"/>
              </w:rPr>
            </w:pPr>
            <w:r>
              <w:rPr>
                <w:rFonts w:ascii="Times New Roman" w:cs="Times New Roman" w:eastAsia="Times New Roman" w:hAnsi="Times New Roman"/>
                <w:sz w:val="18"/>
                <w:szCs w:val="18"/>
                <w:color w:val="auto"/>
                <w:w w:val="98"/>
              </w:rPr>
              <w:t>$2.51</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Totals</w:t>
            </w:r>
          </w:p>
        </w:tc>
        <w:tc>
          <w:tcPr>
            <w:tcW w:w="2500" w:type="dxa"/>
            <w:vAlign w:val="bottom"/>
            <w:gridSpan w:val="3"/>
            <w:shd w:val="clear" w:color="auto" w:fill="EEEEEE"/>
          </w:tcPr>
          <w:p>
            <w:pPr>
              <w:jc w:val="right"/>
              <w:ind w:right="840"/>
              <w:spacing w:after="0"/>
              <w:rPr>
                <w:sz w:val="20"/>
                <w:szCs w:val="20"/>
                <w:color w:val="auto"/>
              </w:rPr>
            </w:pPr>
            <w:r>
              <w:rPr>
                <w:rFonts w:ascii="Times New Roman" w:cs="Times New Roman" w:eastAsia="Times New Roman" w:hAnsi="Times New Roman"/>
                <w:sz w:val="18"/>
                <w:szCs w:val="18"/>
                <w:color w:val="auto"/>
              </w:rPr>
              <w:t>5,422,073</w:t>
            </w:r>
          </w:p>
        </w:tc>
        <w:tc>
          <w:tcPr>
            <w:tcW w:w="1420" w:type="dxa"/>
            <w:vAlign w:val="bottom"/>
            <w:gridSpan w:val="3"/>
            <w:shd w:val="clear" w:color="auto" w:fill="EEEEEE"/>
          </w:tcPr>
          <w:p>
            <w:pPr>
              <w:jc w:val="center"/>
              <w:ind w:left="932"/>
              <w:spacing w:after="0"/>
              <w:rPr>
                <w:sz w:val="20"/>
                <w:szCs w:val="20"/>
                <w:color w:val="auto"/>
              </w:rPr>
            </w:pPr>
            <w:r>
              <w:rPr>
                <w:rFonts w:ascii="Times New Roman" w:cs="Times New Roman" w:eastAsia="Times New Roman" w:hAnsi="Times New Roman"/>
                <w:sz w:val="18"/>
                <w:szCs w:val="18"/>
                <w:color w:val="auto"/>
                <w:w w:val="98"/>
              </w:rPr>
              <w:t>$2.88</w:t>
            </w:r>
          </w:p>
        </w:tc>
        <w:tc>
          <w:tcPr>
            <w:tcW w:w="740" w:type="dxa"/>
            <w:vAlign w:val="bottom"/>
            <w:shd w:val="clear" w:color="auto" w:fill="EEEEEE"/>
          </w:tcPr>
          <w:p>
            <w:pPr>
              <w:spacing w:after="0"/>
              <w:rPr>
                <w:sz w:val="18"/>
                <w:szCs w:val="18"/>
                <w:color w:val="auto"/>
              </w:rPr>
            </w:pPr>
          </w:p>
        </w:tc>
        <w:tc>
          <w:tcPr>
            <w:tcW w:w="2980" w:type="dxa"/>
            <w:vAlign w:val="bottom"/>
            <w:gridSpan w:val="4"/>
            <w:shd w:val="clear" w:color="auto" w:fill="EEEEEE"/>
          </w:tcPr>
          <w:p>
            <w:pPr>
              <w:jc w:val="center"/>
              <w:ind w:left="212"/>
              <w:spacing w:after="0"/>
              <w:rPr>
                <w:sz w:val="20"/>
                <w:szCs w:val="20"/>
                <w:color w:val="auto"/>
              </w:rPr>
            </w:pPr>
            <w:r>
              <w:rPr>
                <w:rFonts w:ascii="Times New Roman" w:cs="Times New Roman" w:eastAsia="Times New Roman" w:hAnsi="Times New Roman"/>
                <w:sz w:val="18"/>
                <w:szCs w:val="18"/>
                <w:color w:val="auto"/>
                <w:w w:val="95"/>
              </w:rPr>
              <w:t>958,631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0" w:hanging="452"/>
        <w:spacing w:after="0" w:line="26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2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outstanding that are fully vested to purchase:</w:t>
      </w:r>
    </w:p>
    <w:p>
      <w:pPr>
        <w:spacing w:after="0" w:line="225" w:lineRule="exact"/>
        <w:rPr>
          <w:rFonts w:ascii="Times New Roman" w:cs="Times New Roman" w:eastAsia="Times New Roman" w:hAnsi="Times New Roman"/>
          <w:sz w:val="18"/>
          <w:szCs w:val="18"/>
          <w:color w:val="auto"/>
        </w:rPr>
      </w:pPr>
    </w:p>
    <w:p>
      <w:pPr>
        <w:ind w:left="700" w:right="440" w:hanging="338"/>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50,500 shares of our common stock for $5.04 per share, issued in August 2000, and exercisable, in whole or in part, for five years from the date of issuance.</w:t>
      </w:r>
    </w:p>
    <w:p>
      <w:pPr>
        <w:spacing w:after="0" w:line="200" w:lineRule="exact"/>
        <w:rPr>
          <w:rFonts w:ascii="Times New Roman" w:cs="Times New Roman" w:eastAsia="Times New Roman" w:hAnsi="Times New Roman"/>
          <w:sz w:val="18"/>
          <w:szCs w:val="18"/>
          <w:color w:val="auto"/>
        </w:rPr>
      </w:pPr>
    </w:p>
    <w:p>
      <w:pPr>
        <w:ind w:left="700" w:right="100" w:hanging="338"/>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146,199 shares of our common stock that was issued in December 2001 fully vested with an exercise price of $3.42 per share and exercisable, in whole or in part, for four years from the date of issuance.</w:t>
      </w:r>
    </w:p>
    <w:p>
      <w:pPr>
        <w:sectPr>
          <w:pgSz w:w="11900" w:h="16838" w:orient="portrait"/>
          <w:cols w:equalWidth="0" w:num="1">
            <w:col w:w="11420"/>
          </w:cols>
          <w:pgMar w:left="240" w:top="41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right="80" w:hanging="338"/>
        <w:spacing w:after="0" w:line="275" w:lineRule="auto"/>
        <w:rPr>
          <w:sz w:val="20"/>
          <w:szCs w:val="20"/>
          <w:color w:val="auto"/>
        </w:rPr>
      </w:pPr>
      <w:r>
        <w:rPr>
          <w:rFonts w:ascii="Times New Roman" w:cs="Times New Roman" w:eastAsia="Times New Roman" w:hAnsi="Times New Roman"/>
          <w:sz w:val="18"/>
          <w:szCs w:val="18"/>
          <w:color w:val="auto"/>
        </w:rPr>
        <w:t>— 200,000 shares of our common stock that was issued in January 2003 fully vested with an exercise price of $1.20 per share and exercisable, in whole or in part, for five years from the date of issuance.</w:t>
      </w:r>
    </w:p>
    <w:p>
      <w:pPr>
        <w:spacing w:after="0" w:line="201"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These warrants, which constitute the equity compensation arrangements not approved by security holders, were all issued in exchange for placement agent or advisory services by non-employees.</w:t>
      </w:r>
    </w:p>
    <w:p>
      <w:pPr>
        <w:spacing w:after="0" w:line="200" w:lineRule="exact"/>
        <w:rPr>
          <w:sz w:val="20"/>
          <w:szCs w:val="20"/>
          <w:color w:val="auto"/>
        </w:rPr>
      </w:pPr>
    </w:p>
    <w:p>
      <w:pPr>
        <w:spacing w:after="0" w:line="2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2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following selected historical information has been derived from the audited financial statements of the Company. The financial information as of December 2003 and 2002 and for each of the three years in the period ended December 31, 2003 are derived from audited financial statements included elsewhere in this Form 10-K.</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2002</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260" w:type="dxa"/>
            <w:vAlign w:val="bottom"/>
          </w:tcPr>
          <w:p>
            <w:pPr>
              <w:spacing w:after="0"/>
              <w:rPr>
                <w:sz w:val="22"/>
                <w:szCs w:val="22"/>
                <w:color w:val="auto"/>
              </w:rPr>
            </w:pPr>
          </w:p>
        </w:tc>
        <w:tc>
          <w:tcPr>
            <w:tcW w:w="1100" w:type="dxa"/>
            <w:vAlign w:val="bottom"/>
            <w:gridSpan w:val="6"/>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1999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6"/>
              </w:rPr>
              <w:t>Restated(3)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Restated(3)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60" w:type="dxa"/>
            <w:vAlign w:val="bottom"/>
            <w:gridSpan w:val="8"/>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Revenue from collaborative and licensing</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7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Revenue from grants</w:t>
            </w:r>
          </w:p>
        </w:tc>
        <w:tc>
          <w:tcPr>
            <w:tcW w:w="3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from assignment of rights to technology</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5,022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8"/>
                <w:szCs w:val="18"/>
                <w:color w:val="auto"/>
              </w:rPr>
            </w:pPr>
          </w:p>
        </w:tc>
        <w:tc>
          <w:tcPr>
            <w:tcW w:w="82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6,144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8,603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5,979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9,984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Encapsulated Cell Technology (ECT) wind-down and</w:t>
            </w: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corporate relocation(1)</w:t>
            </w:r>
          </w:p>
        </w:tc>
        <w:tc>
          <w:tcPr>
            <w:tcW w:w="300" w:type="dxa"/>
            <w:vAlign w:val="bottom"/>
            <w:shd w:val="clear" w:color="auto" w:fill="EEEEEE"/>
          </w:tcPr>
          <w:p>
            <w:pPr>
              <w:spacing w:after="0"/>
              <w:rPr>
                <w:sz w:val="20"/>
                <w:szCs w:val="20"/>
                <w:color w:val="auto"/>
              </w:rPr>
            </w:pPr>
          </w:p>
        </w:tc>
        <w:tc>
          <w:tcPr>
            <w:tcW w:w="820" w:type="dxa"/>
            <w:vAlign w:val="bottom"/>
            <w:gridSpan w:val="3"/>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2,885</w:t>
            </w: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4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6,048</w:t>
            </w:r>
          </w:p>
        </w:tc>
        <w:tc>
          <w:tcPr>
            <w:tcW w:w="2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Loss before preferred dividends and cumulative effect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change in accounting principle</w:t>
            </w:r>
          </w:p>
        </w:tc>
        <w:tc>
          <w:tcPr>
            <w:tcW w:w="300" w:type="dxa"/>
            <w:vAlign w:val="bottom"/>
          </w:tcPr>
          <w:p>
            <w:pPr>
              <w:spacing w:after="0"/>
              <w:rPr>
                <w:sz w:val="19"/>
                <w:szCs w:val="19"/>
                <w:color w:val="auto"/>
              </w:rPr>
            </w:pPr>
          </w:p>
        </w:tc>
        <w:tc>
          <w:tcPr>
            <w:tcW w:w="8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w w:val="94"/>
              </w:rPr>
              <w:t>(12,291)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w w:val="97"/>
              </w:rPr>
              <w:t>(11,644)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w w:val="98"/>
              </w:rPr>
              <w:t>(4,021)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94"/>
              </w:rPr>
              <w:t>(11,125)</w:t>
            </w:r>
          </w:p>
        </w:tc>
        <w:tc>
          <w:tcPr>
            <w:tcW w:w="13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3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32"/>
              <w:spacing w:after="0"/>
              <w:rPr>
                <w:sz w:val="20"/>
                <w:szCs w:val="20"/>
                <w:color w:val="auto"/>
              </w:rPr>
            </w:pPr>
            <w:r>
              <w:rPr>
                <w:rFonts w:ascii="Times New Roman" w:cs="Times New Roman" w:eastAsia="Times New Roman" w:hAnsi="Times New Roman"/>
                <w:sz w:val="18"/>
                <w:szCs w:val="18"/>
                <w:color w:val="auto"/>
                <w:w w:val="94"/>
              </w:rPr>
              <w:t>(14,425)</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w w:val="97"/>
              </w:rPr>
              <w:t>(13,276)</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w w:val="98"/>
              </w:rPr>
              <w:t>(5,567)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12"/>
              <w:spacing w:after="0"/>
              <w:rPr>
                <w:sz w:val="20"/>
                <w:szCs w:val="20"/>
                <w:color w:val="auto"/>
              </w:rPr>
            </w:pPr>
            <w:r>
              <w:rPr>
                <w:rFonts w:ascii="Times New Roman" w:cs="Times New Roman" w:eastAsia="Times New Roman" w:hAnsi="Times New Roman"/>
                <w:sz w:val="18"/>
                <w:szCs w:val="18"/>
                <w:color w:val="auto"/>
                <w:w w:val="94"/>
              </w:rPr>
              <w:t>(11,606)</w:t>
            </w:r>
          </w:p>
        </w:tc>
        <w:tc>
          <w:tcPr>
            <w:tcW w:w="1380" w:type="dxa"/>
            <w:vAlign w:val="bottom"/>
            <w:gridSpan w:val="7"/>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 available to common</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 before cumulative effect of an</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change per share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(0.45)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(0.53)</w:t>
            </w:r>
          </w:p>
        </w:tc>
        <w:tc>
          <w:tcPr>
            <w:tcW w:w="7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(0.57)</w:t>
            </w:r>
          </w:p>
        </w:tc>
        <w:tc>
          <w:tcPr>
            <w:tcW w:w="7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12"/>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0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(0.45)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(0.53)</w:t>
            </w:r>
          </w:p>
        </w:tc>
        <w:tc>
          <w:tcPr>
            <w:tcW w:w="7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(0.58)</w:t>
            </w:r>
          </w:p>
        </w:tc>
        <w:tc>
          <w:tcPr>
            <w:tcW w:w="7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6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Shares used in computing basic and diluted per share</w:t>
            </w: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amounts</w:t>
            </w:r>
          </w:p>
        </w:tc>
        <w:tc>
          <w:tcPr>
            <w:tcW w:w="300" w:type="dxa"/>
            <w:vAlign w:val="bottom"/>
            <w:shd w:val="clear" w:color="auto" w:fill="EEEEEE"/>
          </w:tcPr>
          <w:p>
            <w:pPr>
              <w:spacing w:after="0"/>
              <w:rPr>
                <w:sz w:val="20"/>
                <w:szCs w:val="20"/>
                <w:color w:val="auto"/>
              </w:rPr>
            </w:pPr>
          </w:p>
        </w:tc>
        <w:tc>
          <w:tcPr>
            <w:tcW w:w="820" w:type="dxa"/>
            <w:vAlign w:val="bottom"/>
            <w:gridSpan w:val="3"/>
            <w:shd w:val="clear" w:color="auto" w:fill="EEEEEE"/>
          </w:tcPr>
          <w:p>
            <w:pPr>
              <w:jc w:val="right"/>
              <w:ind w:right="192"/>
              <w:spacing w:after="0"/>
              <w:rPr>
                <w:sz w:val="20"/>
                <w:szCs w:val="20"/>
                <w:color w:val="auto"/>
              </w:rPr>
            </w:pPr>
            <w:r>
              <w:rPr>
                <w:rFonts w:ascii="Times New Roman" w:cs="Times New Roman" w:eastAsia="Times New Roman" w:hAnsi="Times New Roman"/>
                <w:sz w:val="18"/>
                <w:szCs w:val="18"/>
                <w:color w:val="auto"/>
              </w:rPr>
              <w:t>32,080</w:t>
            </w: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4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412"/>
              <w:spacing w:after="0"/>
              <w:rPr>
                <w:sz w:val="20"/>
                <w:szCs w:val="20"/>
                <w:color w:val="auto"/>
              </w:rPr>
            </w:pPr>
            <w:r>
              <w:rPr>
                <w:rFonts w:ascii="Times New Roman" w:cs="Times New Roman" w:eastAsia="Times New Roman" w:hAnsi="Times New Roman"/>
                <w:sz w:val="18"/>
                <w:szCs w:val="18"/>
                <w:color w:val="auto"/>
                <w:w w:val="92"/>
              </w:rPr>
              <w:t>22,242</w:t>
            </w:r>
          </w:p>
        </w:tc>
        <w:tc>
          <w:tcPr>
            <w:tcW w:w="2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20,068</w:t>
            </w:r>
          </w:p>
        </w:tc>
        <w:tc>
          <w:tcPr>
            <w:tcW w:w="110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2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gridSpan w:val="3"/>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Restated(3)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Restated(3)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Consolidated Balance Sheet</w:t>
            </w: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$ 4,236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$13,697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$ 6,069</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Restricted investments</w:t>
            </w: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11,329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20,803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Long-term debt, including capital leases</w:t>
            </w:r>
          </w:p>
        </w:tc>
        <w:tc>
          <w:tcPr>
            <w:tcW w:w="30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12"/>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2,316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common stock</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Redeemable preferred stock(2)</w:t>
            </w:r>
          </w:p>
        </w:tc>
        <w:tc>
          <w:tcPr>
            <w:tcW w:w="3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12"/>
              <w:spacing w:after="0"/>
              <w:rPr>
                <w:sz w:val="20"/>
                <w:szCs w:val="20"/>
                <w:color w:val="auto"/>
              </w:rPr>
            </w:pPr>
            <w:r>
              <w:rPr>
                <w:rFonts w:ascii="Times New Roman" w:cs="Times New Roman" w:eastAsia="Times New Roman" w:hAnsi="Times New Roman"/>
                <w:sz w:val="18"/>
                <w:szCs w:val="18"/>
                <w:color w:val="auto"/>
              </w:rPr>
              <w:t>2,660</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2,663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12,633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320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9 in the consolidated financial statements</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11 in the consolidated financial statements</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in the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accompanying financial statements and the related footnotes thereto.</w:t>
      </w:r>
    </w:p>
    <w:p>
      <w:pPr>
        <w:spacing w:after="0" w:line="20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4"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Since our inception in 1988, we have been primarily engaged in research and development of human therapeutic products. Since the second half of 1999, our sole focus has been on our stem cell technology.</w:t>
      </w:r>
    </w:p>
    <w:p>
      <w:pPr>
        <w:spacing w:after="0" w:line="20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anticipate filing our first IND, to evaluate the safety and efficacy of our human neural stem cells as a treatment for Batten’s disease, in the first quarter of 2005. This will require substantial expenditures for toxicology and other studies in preparation for submitting the IND to the FDA.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24"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6"/>
          <w:szCs w:val="16"/>
          <w:color w:val="auto"/>
        </w:rPr>
        <w:t>In 2001, we entered into two significant financing arrangements: In May, we entered into an equity line enabling us to draw up to $30,000,000 subject to various restrictions, and we did draw down $4,000,000 in July of 2001, $118,000 in December of 2002, $66,000 in January of 2003 and $375,000 in May of 2003. This agreement expired in January 2004. In December of 2001, we issued 3% convertible preferred stock to Riverview Group, L.L.C., (Riverview) a wholly-owned subsidiary of Millennium Partners, for $5,000,000 gross. The preferred stock was convertible into shares of the Company’s stock and a mandatory feature required the Company to redeem unconverted preferred stock on December 4, 2003. By November 11, 2003, all of the 3% convertible preferred stock was converted into the Company’s common stock. (See “Liquidity and Capital Resources” below for further detail on each of these transactions.)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September 2002, in order to conserve cash and to concentrate all our resources on our primary goal of evaluating the potential of using our stem and progenitor cells to treat or even cure some of the world’s most debilitating diseases, we announced that we had initiated a cost reduction program that curtailed expenditures on our discovery research activities in favor of channeling resources into accelerating preclinical development of our proprietary cells for the treatment of neural and liver disease. The initiative, which was implemented during the third quarter of 2002, reduced our workforce and annualized expenses by approximately 25% relative to 2001.</w:t>
      </w:r>
    </w:p>
    <w:p>
      <w:pPr>
        <w:spacing w:after="0" w:line="220"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6"/>
          <w:szCs w:val="16"/>
          <w:color w:val="auto"/>
        </w:rPr>
        <w:t>In May and again in December of 2003, the Company entered significant financing agreements with Riverview. In May, we entered into a stock purchase agreement with Riverview under which Riverview agreed to purchase 4 million shares of the Company’s common stock for $6.5 million, or $1.625 per share. On the date of the agreement, the price was above the trading price of the Company’s common stock, which closed at $1.43 per share on that date. The Company also agreed to issue a 2-year warrant to Riverview to purchase 1,898,000 shares of common stock at $1.50 per share. Riverview exercised its right to purchase 1,098,000 of those shares in November of 2003. In December, the Company completed a $9.5 million financing transaction with Riverview through the sale of 5 million shares of common stock at a price of $1.90 per share. (See “Liquidity and Capital Resources” below for further detail on these transactions.)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September of 2003 the Company was awarded a one year, $342,000, Small Business Innovation Research grant from the National Institute of Neurological Disease and Stroke (NINDS), to further its work in the treatment of spinal cord injuries. The grant is to fund a continuing collaborative endeavor between the Company and Drs. Aileen J. Anderson and Brian J. Cummings of the Reeve-Irvine Center at the University of California-Irvine, who earlier this year reported preclinical results using the Company’s human neural stem cell (hCNS-SC). In the same month, the Company also entered a long-term license agreement with StemCell Technologies, Inc., a Canadian corporation, authorizing it to manufacture, use and sell certain proprietary mouse and rat neural stem cells, as well as culture media for all mammalian neural stem cells, for educational and research purposes worldwide.</w:t>
      </w:r>
    </w:p>
    <w:p>
      <w:pPr>
        <w:spacing w:after="0" w:line="22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we will need to hire more personnel, which will lead to higher operating expenses. We have already hired a Vice President of Development and contracted with an Acting Chief Medical Officer in preparation for our first clinical trial.</w:t>
      </w:r>
    </w:p>
    <w:p>
      <w:pPr>
        <w:spacing w:after="0" w:line="22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program in neural stem and progenitor cells ranges from the preclinical stage, as we focus increasingly on testing human neural stem cells in small animal models of human diseases, both in-house and through external academic collaborators, through the development phase with respect to the planned clinical trial in Batten’s disease mentioned above. In our liver stem cell program, we are engaged in evaluating our proprietary liver engrafting cell in various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assays. Our pancreas program research is being carried on for the present primarily through a collaborator. It is our intention to pursue the discovery and development of cell therapies useful in the treatment of Diabetes once we have secured a corporate partner.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4" w:lineRule="exact"/>
        <w:rPr>
          <w:sz w:val="20"/>
          <w:szCs w:val="20"/>
          <w:color w:val="auto"/>
        </w:rPr>
      </w:pPr>
    </w:p>
    <w:p>
      <w:pPr>
        <w:ind w:right="900" w:firstLine="324"/>
        <w:spacing w:after="0" w:line="275" w:lineRule="auto"/>
        <w:rPr>
          <w:sz w:val="20"/>
          <w:szCs w:val="20"/>
          <w:color w:val="auto"/>
        </w:rPr>
      </w:pPr>
      <w:r>
        <w:rPr>
          <w:rFonts w:ascii="Times New Roman" w:cs="Times New Roman" w:eastAsia="Times New Roman" w:hAnsi="Times New Roman"/>
          <w:sz w:val="18"/>
          <w:szCs w:val="18"/>
          <w:color w:val="auto"/>
        </w:rPr>
        <w:t>The Company believes the following critical accounting policies affect its more significant judgments and estimates used in the preparation of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that requires management to make estimates and assumptions that affect the amounts reported in the consolidated financial statements. Actual results could differ from these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The significant estimates include the accrued wind-down expenses and valuation allowance against deferred tax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permitted by the provisions of Statement of Financial Accounting Standards (“FAS”) No. 148, “Accounting for Stock-Based Compensation — Transition and Disclosure,” and Statement of Financial Accounting Standards No. 123, “Accounting for Stock-Based Compensation,” 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 Note 11 of the Notes to the Consolidated Financial Statements describes our equity compensation plans, and Note 1 of the Notes to the Consolidated Financial Statements contains a summary of the pro forma effects to reported net (loss) and (loss) per share for 2003, 2002, and 2001 as if we had elected to recognize compensation cost based on the fair value of the options granted at grant date, as prescribed by FAS No. 123.</w:t>
      </w:r>
    </w:p>
    <w:p>
      <w:pPr>
        <w:spacing w:after="0" w:line="2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certain stock options granted to non-employees, the Company accounts for these grants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5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were reclassified as held and used on the balance sheet.</w:t>
      </w:r>
    </w:p>
    <w:p>
      <w:pPr>
        <w:spacing w:after="0" w:line="2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54" w:lineRule="exact"/>
        <w:rPr>
          <w:sz w:val="20"/>
          <w:szCs w:val="20"/>
          <w:color w:val="auto"/>
        </w:rPr>
      </w:pPr>
    </w:p>
    <w:p>
      <w:pPr>
        <w:ind w:right="480" w:firstLine="324"/>
        <w:spacing w:after="0" w:line="275"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and Exit Costs</w:t>
      </w:r>
    </w:p>
    <w:p>
      <w:pPr>
        <w:spacing w:after="0" w:line="254" w:lineRule="exact"/>
        <w:rPr>
          <w:sz w:val="20"/>
          <w:szCs w:val="20"/>
          <w:color w:val="auto"/>
        </w:rPr>
      </w:pPr>
    </w:p>
    <w:p>
      <w:pPr>
        <w:ind w:right="100" w:firstLine="324"/>
        <w:spacing w:after="0" w:line="339" w:lineRule="auto"/>
        <w:rPr>
          <w:sz w:val="20"/>
          <w:szCs w:val="20"/>
          <w:color w:val="auto"/>
        </w:rPr>
      </w:pPr>
      <w:r>
        <w:rPr>
          <w:rFonts w:ascii="Times New Roman" w:cs="Times New Roman" w:eastAsia="Times New Roman" w:hAnsi="Times New Roman"/>
          <w:sz w:val="16"/>
          <w:szCs w:val="16"/>
          <w:color w:val="auto"/>
        </w:rPr>
        <w:t>In connection with the Company’s wind-down of its ECT operations, its research and manufacturing operations in Lincoln, Rhode Island, and the relocation of its remaining research and development activities and corporate headquarters, to California, in October 1999, the Company has provided a reserve for its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estimate of the exit cost obligation in accordance with EITF 94-3, “Liability Recognition for Certain Employee Termination Benefits and Other Cost to Exit an Activity.” On an ongoing basis the Company will re-evaluate such reserve based on assumptions and experience relevant to the real estate market conditions for the facility. Such re-evaluation will include lease payments over the lease term, occupancy and sublease rental rates, and facility operating expenses. It is the intent of the Company to sublease, assign or sell its interest in the facility at the earliest possible time.</w:t>
      </w:r>
    </w:p>
    <w:p>
      <w:pPr>
        <w:spacing w:after="0" w:line="217"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Effective with the adoption in 2003 of FAS NO. 146, “Accounting for Costs Associated with Exit or Disposal Activities,” issued in June 2002, the Company will account for future restructuring and exit costs in accordance with FAS No. 146.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2003, 2002 and 2001</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totaled $273,000, $415,000, and $805,000 for the years ending December 31, 2003, 2002 and 2001, respectively. Revenues for 2003 include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$143,000, which is part of the $342,000 Small Business Innovation Research Grant from the National Institute of Neurological Disease and Stroke, and $112,000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the grant awarded by the National Institute of Diabetes &amp; Digestive &amp; Kidney Disorders (NIDDKD) of the National Institutes of Health. The Company does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intend to draw further funds from the NIDDKD grant since it will no longer pursue the particular research that the grant covered. addition, revenues for 2003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 $18,000 in licensing revenue. 2002 include $150,000 that is a part of the grant awarded by the National Institutes of Health’s Small Business Innovation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(SBIR) office, $225,000 from the NIDDKD grant, and $40,000 in licensing revenue. Revenues for Revenues for In 2001 include $505,000 for grants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received from the National Institute of Health’s Small Business Innovation Research (SBIR) office for research relating to our Neural &amp; Liver stem cell programs,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$300,000 from the assignment to Modex Therapeutics, Ltd., of our retained rights to a portion of certain possible future revenues arising out of our sale of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Encapsulated Cell Technology (ECT) to Neurotech, S.A. The decrease in revenue from 2001 to 2002 was primarily due to the one time receipt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$300,000 from the assignment of rights to Modex Therapeutics, Ltd., and a decrease in grant revenue from $505,000 in 2001 to $375,000 in 2002. The decrease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revenue from 2002 to 2003 was primarily due to the completion of the $150,000 SBIR grant in 2002, and to the only partial draw down in 2003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$225,000 NIDDKD grant.</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totaled $6,144,000 in 2003, as compared to $7,382,000 in 2002 and $8,603,000 in 2001. The decrease of 17%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$1,238,000 in 2003, was primarily attributable to the cost reduction program initiated in the last quarter of 2002 which resulted in a reduction in personnel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expenses, reduction in expenditure on supplies and outside services, and a reduction in rent expense as a result of an amendment to the lease 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facilities in California. This decrease in expenses in 2003 relative to 2002 was offset by the effect of a lower valuation in 2002 of stock options granted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to non-employees as compared to the valuation in 2003. The valuation — computed by the Black Scholes Method — is dependant on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at the time of valuation such as stock price, stock price volatility, interest rate and remaining life of the option. The decrease of $1,221,000, or 14%,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to 2002 was primarily attributable to the effect of the lower valuation of stock options on non-employee compensation in 2002 as compared to 2001.</w:t>
      </w:r>
    </w:p>
    <w:p>
      <w:pPr>
        <w:spacing w:after="0" w:line="24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were $3,391,000 in 2003, compared with $3,359,000 in 2002 and $3,788,000 in 2001. The increase of $32,000 or 1%, from 2002 to 2003 was primarily attributable to the depreciation expense of our Rhode Island facility (Pilot plant building related to our former ECT research). No depreciation expense was recorded in 2002, as the assets were classified as held for sale. At December 31, 2002, the criteria under FAS No. 144 for classifying the Company’s long-lived assets held for sale were not met and accordingly, such assets with a fair value of $3,203,491 at December 31, 2002 were reclassified as held and used on the balance sheet for all periods presented and are included in building and improvements. We resumed depreciating these assets effective January 2003. This increase in expense relative to 2002 was offset by a decrease in other expenses such as external services, facilities, information technology related expenses, all of which resulted from a cost reduction program initiated in the last quarter of 2002. The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$429,000, or 11%, from 2001 to 2002 was primarily attributable to a decrease in external services expenses in 2002.</w:t>
      </w:r>
    </w:p>
    <w:p>
      <w:pPr>
        <w:spacing w:after="0" w:line="25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1999 in connection with exiting our former corporate headquarters and ECT facilities we created a reserve for the estimated lease payments and operating expenses of the Rhode Island facilities through June 30, 2000, when we expected to fully sublease, assign or sell our remaining interests in the property. We did not fully sublet the Rhode Island facilities as expected and therefore made a change in estimate in June 2000 to accrue additional expenses of $3,327,000 to cover operating lease payments, utilities, taxes, insurance, maintenance, interest and other non-employee expenses through 2001. At December 31, 2001 the $3,327,000 reserve was exhausted and we recorded an additional reserve of $575,000. This reserve was based on information provided by our broker/realtor that estimated, based on assumptions relevant to the real estate market conditions as of the end of 2001, the time it would be likely to take until the facility would be fully sub-leased. In 2002, we incurred $964,000 in lease payments and operating expenses, net of subtenant income for this facility, of which $575,000 was booked against the reserve created at the end of 2001 and the remainder recorded as wind-down expenses. At the end of December 2002, based on an analysis of the real estate market conditions at that time, we revised the reserve to $775,000. In 2003 we incurred $984,000 in lease payments and operating expenses, net of subtenant income for this facility of which $775,000 was recorded against the reserve and the remainder recorded as wind-down expenses. After considering various factors such as the Company’s experience in subleasing the facility since exiting the facility in 1999, our lease payments through to the end of the lease, facility operating expenses, the current real estate market in Rhode Island, and estimated subtenant income based on occupancy both actual and projected occupancy the Company revised the reserve at December 31, 2003 to $2,676,000. Even though it is the intent of the Company to sublease, assign or sell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224" w:lineRule="exact"/>
        <w:rPr>
          <w:sz w:val="20"/>
          <w:szCs w:val="20"/>
          <w:color w:val="auto"/>
        </w:rPr>
      </w:pPr>
    </w:p>
    <w:p>
      <w:pPr>
        <w:ind w:right="480" w:firstLine="324"/>
        <w:spacing w:after="0" w:line="275" w:lineRule="auto"/>
        <w:rPr>
          <w:sz w:val="20"/>
          <w:szCs w:val="20"/>
          <w:color w:val="auto"/>
        </w:rPr>
      </w:pPr>
      <w:r>
        <w:rPr>
          <w:rFonts w:ascii="Times New Roman" w:cs="Times New Roman" w:eastAsia="Times New Roman" w:hAnsi="Times New Roman"/>
          <w:sz w:val="18"/>
          <w:szCs w:val="18"/>
          <w:color w:val="auto"/>
        </w:rPr>
        <w:t>Interest income for the years ended December 31, 2003, 2002 and 2001 totaled $39,000, $109,000 and $201,000, respectively. The decrease in interest income from 2001 to 2003 was attributable to the lower interest rate on overnight and money market funds and a lower average bank balance.</w:t>
      </w:r>
    </w:p>
    <w:p>
      <w:pPr>
        <w:spacing w:after="0" w:line="201"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 2003, interest expense was $207,000, compared to $227,000 in 2002 and $246,000 in 2001. Interest expense for year 2001 was charged against the wind-down reserve, as the expense was part of the bond payments related to the Rhode Island facilities. The decrease from 2001 to 2003 was attributable to lower outstanding debt and capital lease balances.</w:t>
      </w:r>
    </w:p>
    <w:p>
      <w:pPr>
        <w:spacing w:after="0" w:line="21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Gain on sale of short-term investments in 2001 relates to the sale of Modex Therapeutics Ltd. (“Modex”) shares. On January 9, 2001, we sold 22,616 Modex shares for a net price of 182.00 Swiss francs per share, which converted to $112.76 per share, for total proceeds and a realized gain of $2,550,000. On April 30, 2001, we sold our remaining shares in Modex for a net price of 87.30 Swiss Francs per share, which converted to approximately $50.51, for total proceeds and a realized gain of $5,232,000, net of commissions and fees. After the April 2001 sale, we no longer hold any shares of Modex.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Dividends Related to Convertible Preferred Stock</w:t>
      </w:r>
    </w:p>
    <w:p>
      <w:pPr>
        <w:spacing w:after="0" w:line="254"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recorded deemed dividends of $2,066,000, $1,280,000 and $1,546,000 for 2003, 2002 and 2001 respectively. The dividends are related to the 3% Cumulative Convertible Preferred Stock (see note 11 to the consolidated financial statements)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217" w:lineRule="exact"/>
        <w:rPr>
          <w:sz w:val="20"/>
          <w:szCs w:val="20"/>
          <w:color w:val="auto"/>
        </w:rPr>
      </w:pPr>
    </w:p>
    <w:p>
      <w:pPr>
        <w:ind w:right="700" w:firstLine="324"/>
        <w:spacing w:after="0" w:line="275" w:lineRule="auto"/>
        <w:rPr>
          <w:sz w:val="20"/>
          <w:szCs w:val="20"/>
          <w:color w:val="auto"/>
        </w:rPr>
      </w:pPr>
      <w:r>
        <w:rPr>
          <w:rFonts w:ascii="Times New Roman" w:cs="Times New Roman" w:eastAsia="Times New Roman" w:hAnsi="Times New Roman"/>
          <w:sz w:val="18"/>
          <w:szCs w:val="18"/>
          <w:color w:val="auto"/>
        </w:rPr>
        <w:t>In 2000 we recorded an initial deemed dividend aggregating $481,000 related to the 6% Cumulative Convertible Preferred Stock (see note 11 to the consolidated financial statements). The dividend reflects the value of warrants issued and the beneficial conversion feature.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In 2001, we recorded an additional deemed dividend of $802,000 for the beneficial conversion feature of the 6% Cumulative Convertible Preferred Stock which resulted from the subsequent change to the effective conversion price of those shares due to the issuance in 2001 of adjustable warrants in connection with the common stock financing transaction with Millennium Partners, LP. (See Note 11 to the consolidated financial statements).</w:t>
      </w:r>
    </w:p>
    <w:p>
      <w:pPr>
        <w:spacing w:after="0" w:line="213" w:lineRule="exact"/>
        <w:rPr>
          <w:sz w:val="20"/>
          <w:szCs w:val="20"/>
          <w:color w:val="auto"/>
        </w:rPr>
      </w:pPr>
    </w:p>
    <w:p>
      <w:pPr>
        <w:ind w:right="700" w:firstLine="324"/>
        <w:spacing w:after="0" w:line="275" w:lineRule="auto"/>
        <w:rPr>
          <w:sz w:val="20"/>
          <w:szCs w:val="20"/>
          <w:color w:val="auto"/>
        </w:rPr>
      </w:pPr>
      <w:r>
        <w:rPr>
          <w:rFonts w:ascii="Times New Roman" w:cs="Times New Roman" w:eastAsia="Times New Roman" w:hAnsi="Times New Roman"/>
          <w:sz w:val="18"/>
          <w:szCs w:val="18"/>
          <w:color w:val="auto"/>
        </w:rPr>
        <w:t>There is no longer any preferred stock outstanding as of December 31, 2003 as all of the Company’s previously outstanding 3% and 6% cumulative convertible preferred stock was converted to the Company’s common stock prior to the end of 2003.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jc w:val="both"/>
        <w:ind w:right="200" w:firstLine="324"/>
        <w:spacing w:after="0" w:line="275"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1" w:lineRule="exact"/>
        <w:rPr>
          <w:sz w:val="20"/>
          <w:szCs w:val="20"/>
          <w:color w:val="auto"/>
        </w:rPr>
      </w:pPr>
    </w:p>
    <w:p>
      <w:pPr>
        <w:jc w:val="both"/>
        <w:ind w:right="220" w:firstLine="324"/>
        <w:spacing w:after="0" w:line="256" w:lineRule="auto"/>
        <w:rPr>
          <w:sz w:val="20"/>
          <w:szCs w:val="20"/>
          <w:color w:val="auto"/>
        </w:rPr>
      </w:pPr>
      <w:r>
        <w:rPr>
          <w:rFonts w:ascii="Times New Roman" w:cs="Times New Roman" w:eastAsia="Times New Roman" w:hAnsi="Times New Roman"/>
          <w:sz w:val="18"/>
          <w:szCs w:val="18"/>
          <w:color w:val="auto"/>
        </w:rPr>
        <w:t>We had cash and cash equivalents totaling $13,082,000 at December 31, 2003. Cash equivalents are invested in US Treasuries with maturities of less than 90 days. We used $8.6 million, $10.1 million, and $10.5 million of cash, in 2003, 2002 and 2001 respectively, in our operating activities. The decrease in cash used in operating activities from 2001 to 2003 was primarily due to a cost reduction program initiated in the last quarter of 2002 which included a reduction in head count and other operating expenses. In addition, we negotiated an amendment in our rent obligations under the lease on our current facilities in California which reduced our average annual rent over the remaining term of the lease from approximately $3.7 million to $2.0 million.</w:t>
      </w:r>
    </w:p>
    <w:p>
      <w:pPr>
        <w:spacing w:after="0" w:line="22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 Our liquidity and capital resources have, in the past, also been affected by our holdings of Modex, all of which holdings have now been sold, resulting in proceeds to us of $7,782,000 in 2001.</w:t>
      </w:r>
    </w:p>
    <w:p>
      <w:pPr>
        <w:spacing w:after="0" w:line="21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On December 10, 2003 the Company completed a $9.5 million financing transaction with Riverview Group L.L.C. (Riverview), through the sale of 5 million shares of common stock at a price of $1.90 per share. The closing price of the Company’s common stock on that date was $2.00 per share.</w:t>
      </w:r>
    </w:p>
    <w:p>
      <w:pPr>
        <w:spacing w:after="0" w:line="201"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6"/>
          <w:szCs w:val="16"/>
          <w:color w:val="auto"/>
        </w:rPr>
        <w:t>On May 7, 2003, the Company entered into a stock purchase agreement with Riverview under which it agreed to purchase 4 million shares of the Company’s common stock for $6.5 million, or $1.625 per share. On the date of the agreement, the sale price was above the trading price of the Company’s common stock, which closed at $1.43 per share on that date. The Company also agreed to issue a 2-year warrant to Riverview to purchase 1,898,000 shares of common stock at $1.50 per share. The exercise price is subject to adjustment for stock splits, dividends, distributions, reclassifications and similar events. In the event that certain conditions are met, including the closing sale price of the Common Stock remaining at or above $2.50 per share for 10 consecutive trading days, the Company may require Riverview to exercise the warrant for any remaining shares or to relinquish any unexercised portion. On November 11, 2003, Riverview exercised part of the warrant acquiring 1,098,000 shares at $1.50 per share. The proceeds to the Company from this warrant exercise totaled $1,647,000. The warrant is exercisable for the remaining 800,000 shares until April 8, 2005, subject to our right to require exercise or forfeiture as described above.</w:t>
      </w:r>
    </w:p>
    <w:p>
      <w:pPr>
        <w:spacing w:after="0" w:line="193"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8"/>
          <w:szCs w:val="18"/>
          <w:color w:val="auto"/>
        </w:rPr>
        <w:t>On August 23, 2002, we entered into an agreement with Triton West Group, Inc. (Triton) pursuant to which we sold 1,028,038 shares of common stock to Triton for aggregate proceeds of $1,100,000, or approximately $1.07 per share.</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On December 4, 2001, we issued 5,000 shares of 3% cumulative convertible preferred stock to Riverview. We received total proceeds of $4,728,000 net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 to Cantor Fitzgerald and other associated costs. This preferred stock is convertible into shares of our common stock at a current conversion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per share of common stock. There was a mandatory redemption provision in the preferred stock under which any preferred stock remaining on December 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 was to be redeemed on that date. In connection with the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color w:val="auto"/>
        </w:rPr>
        <w:t>preferred stock agreement, we issued to Riverview Group a warrant to purchase 350,877 shares of our common stock at a price of $3.42 per share. We paid Cantor Fitzgerald &amp; Co., our financial advisor in connection with the transaction, a fee of $200,000 and issued them a warrant for 146,199 shares exercisable at $3.42 per share. Both warrants expire on December 4, 2005. On December 7, 2001, Riverview converted 1,000 shares of its 3% cumulative convertible preferred stock for 500,125 shares of the Company’s common stock. On April 9, 2003, the Company agreed with Riverview to reduce the conversion price to $0.80 per share for a period of 20 trading days. The inducement resulted in a deemed dividend of approximately $1,000,000. Riverview immediately agreed to convert 2,000 shares with a face value of $2 million, at the reduced price. Riverview received 2,521,041 shares of common stock upon conversion, which includes</w:t>
      </w:r>
    </w:p>
    <w:p>
      <w:pPr>
        <w:spacing w:after="0" w:line="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21,041 shares valued at $16,833 as accrued dividends. On November 11, 2003, Riverview converted the remaining 2,000 shares of its 3% cumulative convertible preferred stock for 1,010,833 shares of the Company’s common stock, which includes 10,833 shares valued at $21,666 as accrued dividends. As a result of the above transactions all of the 3% cumulative convertible preferred stock were fully converted into our common stock before the mandatory redemption date of December 4, 2003.</w:t>
      </w:r>
    </w:p>
    <w:p>
      <w:pPr>
        <w:spacing w:after="0" w:line="219" w:lineRule="exact"/>
        <w:rPr>
          <w:sz w:val="20"/>
          <w:szCs w:val="20"/>
          <w:color w:val="auto"/>
        </w:rPr>
      </w:pPr>
    </w:p>
    <w:p>
      <w:pPr>
        <w:ind w:right="80" w:firstLine="324"/>
        <w:spacing w:after="0" w:line="283" w:lineRule="auto"/>
        <w:rPr>
          <w:sz w:val="20"/>
          <w:szCs w:val="20"/>
          <w:color w:val="auto"/>
        </w:rPr>
      </w:pPr>
      <w:r>
        <w:rPr>
          <w:rFonts w:ascii="Times New Roman" w:cs="Times New Roman" w:eastAsia="Times New Roman" w:hAnsi="Times New Roman"/>
          <w:sz w:val="16"/>
          <w:szCs w:val="16"/>
          <w:color w:val="auto"/>
        </w:rPr>
        <w:t>On May 10, 2001, we entered into a common stock purchase agreement with Sativum Investments Limited for the potential future issuance and sale of up to $30,000,000 of our common stock, subject to restrictions and other obligations. The agreement expired in January 2004. We had the right to draw down on this facility, sometimes termed an equity line, from time to time, and Sativum was obligated to purchase shares of our common stock at a 6% discount to a volume weighted average market price over the 20 trading days following the draw-down notice. We were limited with respect to how often we could exercise a draw down and the amount of each draw down. The Company did draw down $4,000,000 by issuance of 707,947 shares in July of 2001, $118,000 by issuance of 107,812 shares in December of 2002, $66,000 by issuance of 58,516 shares in January of 2003, and $375,000 by issuance of 245,472 shares in May of 2003, before applicable fees. In connection with our execution of the common stock purchase agreement with Sativum, we issued three-year warrants to purchase an aggregate of 350,000 shares of our common stock at $2.38 per share to Sativum (250,000 shares) and our placement agents (Pacific Crest Securities Inc.,</w:t>
      </w:r>
    </w:p>
    <w:p>
      <w:pPr>
        <w:spacing w:after="0" w:line="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75,000 shares and Granite Financial Group, Inc., 25,000 shares). Our placement agents exercised their warrants in full in July 2001, and we received payment of $238,050 for the shares issued to them.</w:t>
      </w:r>
    </w:p>
    <w:p>
      <w:pPr>
        <w:spacing w:after="0" w:line="213" w:lineRule="exact"/>
        <w:rPr>
          <w:sz w:val="20"/>
          <w:szCs w:val="20"/>
          <w:color w:val="auto"/>
        </w:rPr>
      </w:pPr>
    </w:p>
    <w:p>
      <w:pPr>
        <w:ind w:right="540" w:firstLine="324"/>
        <w:spacing w:after="0" w:line="289" w:lineRule="auto"/>
        <w:rPr>
          <w:sz w:val="20"/>
          <w:szCs w:val="20"/>
          <w:color w:val="auto"/>
        </w:rPr>
      </w:pPr>
      <w:r>
        <w:rPr>
          <w:rFonts w:ascii="Times New Roman" w:cs="Times New Roman" w:eastAsia="Times New Roman" w:hAnsi="Times New Roman"/>
          <w:sz w:val="16"/>
          <w:szCs w:val="16"/>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 million of our common stock on August 23, 2000 at $5.53 per share. On June 8, 2001, Millennium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afore-mentioned warrants, Millennium was issued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shares on March 30, 2001, 622,469 shares on July 26, 2001 and 25,804 shares on August 15, 2001, at $0.01 per share. On December 4, 2001, simultaneously with the issuance of 3% cumulative convertible preferred stock to Riverview,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 Riverview is an affiliate of Millennium.</w:t>
      </w:r>
    </w:p>
    <w:p>
      <w:pPr>
        <w:spacing w:after="0" w:line="22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2004, we expect to pay $938,000 as an operating lease payment and in addition, based on our 2003 expenses, approximately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$500,000 as operating expenses. In 1992 and 1994 we had undertaken direct financing transactions with the State of Rhode Island and received proceeds from the issuance of industrial revenue bonds totaling $5,000,000 to finance the construction of a pilot manufacturing facility and a related cell processing facility. The related leases are structured such that lease payments will fully fund all semiannual interest payments and annual principal payments through maturity in August 2014. For these related facilities we expect to pay approximately $480,000 in principal, interest and related expenses in 2004. In addition we expect to incur approximately $52,000 in expenses common to both facilities such as property management and legal fees. We have subleased the pilot manufacturing facility and the cell processing facility, as well as a portion (approximately one-fourth) of the SAF. We expect to receive, in aggregate, approximately $735,000 in sub-tenant rent for all of the Rhode Island facilities. As a result of the above transactions, our estimated costs net of sub-tenant rent for the Rhode Island facilities will be approximately $1,235,000 for 2004. We are actively seeking to sublease, assign or sell our remaining interests in these facilities. Failure to do so within a reasonable period of time will have a material adverse effect on our liquidity and capital resources.</w:t>
      </w:r>
    </w:p>
    <w:p>
      <w:pPr>
        <w:spacing w:after="0" w:line="224"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future contractual cash obligations (including both Rhode Island and California leases, but excluding interest income and sub-lease income with respect to the Rhode Island properties):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Payable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Obligations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Payable in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Payable in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Payable in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Payable in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Payable in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2009 and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at 12/31/03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Beyond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lease payments</w:t>
            </w:r>
          </w:p>
        </w:tc>
        <w:tc>
          <w:tcPr>
            <w:tcW w:w="280" w:type="dxa"/>
            <w:vAlign w:val="bottom"/>
            <w:tcBorders>
              <w:right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3,149,876</w:t>
            </w:r>
          </w:p>
        </w:tc>
        <w:tc>
          <w:tcPr>
            <w:tcW w:w="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425,713</w:t>
            </w: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412,587</w:t>
            </w:r>
          </w:p>
        </w:tc>
        <w:tc>
          <w:tcPr>
            <w:tcW w:w="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401,289</w:t>
            </w:r>
          </w:p>
        </w:tc>
        <w:tc>
          <w:tcPr>
            <w:tcW w:w="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330,644</w:t>
            </w:r>
          </w:p>
        </w:tc>
        <w:tc>
          <w:tcPr>
            <w:tcW w:w="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243,507</w:t>
            </w:r>
          </w:p>
        </w:tc>
        <w:tc>
          <w:tcPr>
            <w:tcW w:w="20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$1,336,136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Operating lease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14,599,448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2,947,335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3,007,630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1,115,186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1,171,875</w:t>
            </w: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5,419,922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Total contractual cash</w:t>
            </w:r>
          </w:p>
        </w:tc>
        <w:tc>
          <w:tcPr>
            <w:tcW w:w="280" w:type="dxa"/>
            <w:vAlign w:val="bottom"/>
            <w:tcBorders>
              <w:right w:val="single" w:sz="8" w:color="EEEEEE"/>
            </w:tcBorders>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Borders>
              <w:right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17,749,324</w:t>
            </w:r>
          </w:p>
        </w:tc>
        <w:tc>
          <w:tcPr>
            <w:tcW w:w="200" w:type="dxa"/>
            <w:vAlign w:val="bottom"/>
            <w:shd w:val="clear" w:color="auto" w:fill="EEEEEE"/>
          </w:tcPr>
          <w:p>
            <w:pPr>
              <w:spacing w:after="0"/>
              <w:rPr>
                <w:sz w:val="20"/>
                <w:szCs w:val="20"/>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3,373,048</w:t>
            </w:r>
          </w:p>
        </w:tc>
        <w:tc>
          <w:tcPr>
            <w:tcW w:w="200" w:type="dxa"/>
            <w:vAlign w:val="bottom"/>
            <w:shd w:val="clear" w:color="auto" w:fill="EEEEEE"/>
          </w:tcPr>
          <w:p>
            <w:pPr>
              <w:spacing w:after="0"/>
              <w:rPr>
                <w:sz w:val="20"/>
                <w:szCs w:val="20"/>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3,420,217</w:t>
            </w:r>
          </w:p>
        </w:tc>
        <w:tc>
          <w:tcPr>
            <w:tcW w:w="200" w:type="dxa"/>
            <w:vAlign w:val="bottom"/>
            <w:shd w:val="clear" w:color="auto" w:fill="EEEEEE"/>
          </w:tcPr>
          <w:p>
            <w:pPr>
              <w:spacing w:after="0"/>
              <w:rPr>
                <w:sz w:val="20"/>
                <w:szCs w:val="20"/>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1,516,475</w:t>
            </w:r>
          </w:p>
        </w:tc>
        <w:tc>
          <w:tcPr>
            <w:tcW w:w="200" w:type="dxa"/>
            <w:vAlign w:val="bottom"/>
            <w:shd w:val="clear" w:color="auto" w:fill="EEEEEE"/>
          </w:tcPr>
          <w:p>
            <w:pPr>
              <w:spacing w:after="0"/>
              <w:rPr>
                <w:sz w:val="20"/>
                <w:szCs w:val="20"/>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1,268,144</w:t>
            </w:r>
          </w:p>
        </w:tc>
        <w:tc>
          <w:tcPr>
            <w:tcW w:w="200" w:type="dxa"/>
            <w:vAlign w:val="bottom"/>
            <w:shd w:val="clear" w:color="auto" w:fill="EEEEEE"/>
          </w:tcPr>
          <w:p>
            <w:pPr>
              <w:spacing w:after="0"/>
              <w:rPr>
                <w:sz w:val="20"/>
                <w:szCs w:val="20"/>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1,415,382</w:t>
            </w:r>
          </w:p>
        </w:tc>
        <w:tc>
          <w:tcPr>
            <w:tcW w:w="200" w:type="dxa"/>
            <w:vAlign w:val="bottom"/>
            <w:shd w:val="clear" w:color="auto" w:fill="EEEEEE"/>
          </w:tcPr>
          <w:p>
            <w:pPr>
              <w:spacing w:after="0"/>
              <w:rPr>
                <w:sz w:val="20"/>
                <w:szCs w:val="20"/>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$6,756,058</w:t>
            </w:r>
          </w:p>
        </w:tc>
        <w:tc>
          <w:tcPr>
            <w:tcW w:w="2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six quarters,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balances and are unable to realize adequate financing, we may be unable to meet operating obligations and be required to initiate bankruptcy proceedings.</w:t>
      </w:r>
    </w:p>
    <w:p>
      <w:pPr>
        <w:spacing w:after="0" w:line="22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at all; or on terms acceptable to us. Our existing capital resources are sufficient to fund our operations through the end of 2004. Lack of necessary funds may require us to delay, scale back or eliminate some or all of our research and product development programs and/or our capital expenditures or to license our potential products or technologies to third parties.</w:t>
      </w:r>
    </w:p>
    <w:p>
      <w:pPr>
        <w:spacing w:after="0" w:line="220"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 During 2001, we were party to a space-sharing agreement entered into between us and Celtrans, LLC. (now Cellerant,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 Irving Weissman, a member of our Board of Directors and Chairman of our Scientific Advisory Board, is the founder and Chairman of Cellerant, a privately-owned biotechnology company that is also a tenant in the building in which the Company is located. Under the agreement, which was effective as of September 1, 2001, Cellerant or, with our approval, a subtenant of Cellerant, may use certain animal space in our facility, which we do not currently require for our own use. That agreement is partially in abeyance since the animal space is now used by a third party by agreement with us and with Cellerant. We provide certain services to Cellerant with respect to animal care for mice housed in Cellerant’s own space. In addition, Dr. Weissman remains a consultant to us under an agreement entered in 1997.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Costs Associated with Exit or Disposal Activities</w:t>
      </w:r>
    </w:p>
    <w:p>
      <w:pPr>
        <w:spacing w:after="0" w:line="256" w:lineRule="exact"/>
        <w:rPr>
          <w:sz w:val="20"/>
          <w:szCs w:val="20"/>
          <w:color w:val="auto"/>
        </w:rPr>
      </w:pPr>
    </w:p>
    <w:p>
      <w:pPr>
        <w:ind w:right="20" w:firstLine="324"/>
        <w:spacing w:after="0" w:line="288" w:lineRule="auto"/>
        <w:rPr>
          <w:sz w:val="20"/>
          <w:szCs w:val="20"/>
          <w:color w:val="auto"/>
        </w:rPr>
      </w:pPr>
      <w:r>
        <w:rPr>
          <w:rFonts w:ascii="Times New Roman" w:cs="Times New Roman" w:eastAsia="Times New Roman" w:hAnsi="Times New Roman"/>
          <w:sz w:val="16"/>
          <w:szCs w:val="16"/>
          <w:color w:val="auto"/>
        </w:rPr>
        <w:t>In June 2002, the FASB issued SFAS No. 146, Accounting for Costs Associated with Exit or Disposal Activities. SFAS No. 146 provides guidance related to accounting for costs associated with disposal activities covered by SFAS No. 144 and with one-time termination benefits and other exit or restructuring activities previously covered by Emerging Issues Task Force (“EITF”) Issue No. 94-3, Liability Recognition for Certain Employee Termination Benefits and Other Costs to Exit an Activity (including Certain Costs Incurred in a Restructuring). SFAS No. 146 supersedes EITF Issue No. 94-3 in its entirety. Under SFAS No. 146, the following conditions must be met for an action to qualify as an exit or disposal plan: management having the authority to approve the action commits to a plan of termination; the plan identifies the number of employees to be terminated, their job classifications or functions and their locations, and the expected completion date; the plan establishes the terms of the benefit arrangement including the benefits that employees will receive upon termination (including but not limited to cash payments) in sufficient detail to enable employees to determine the type and amount of benefits they will receive if they are involuntarily terminated; and actions required to complete the plan indicate that it is unlikely that significant changes to the plan will be made or that the plan will be withdrawn. SFAS No. 146 was effective in 2003 and will be applied prospectively to qualifying exit or disposal activities initiated after December 31, 2002.</w:t>
      </w:r>
    </w:p>
    <w:p>
      <w:pPr>
        <w:spacing w:after="0" w:line="200" w:lineRule="exact"/>
        <w:rPr>
          <w:sz w:val="20"/>
          <w:szCs w:val="20"/>
          <w:color w:val="auto"/>
        </w:rPr>
      </w:pPr>
    </w:p>
    <w:p>
      <w:pPr>
        <w:spacing w:after="0" w:line="2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Quantitive and Qualitative Disclosures About Market Risk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 financial instruments that are sensitive to market risk.</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STEMCELLS, INC.</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6"/>
              </w:rPr>
              <w:t>INDEX TO CONSOLIDATED FINANCIAL STATEMENTS</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1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Report of Grant Thornton LLP, Independent Certified Public Accountants</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Auditors (RESTATED)</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36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Consolidated Statements of Redeemable Convertible Preferred Stock and</w:t>
            </w:r>
          </w:p>
        </w:tc>
        <w:tc>
          <w:tcPr>
            <w:tcW w:w="48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3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 w:type="dxa"/>
            <w:vAlign w:val="bottom"/>
          </w:tcPr>
          <w:p>
            <w:pPr>
              <w:spacing w:after="0"/>
              <w:rPr>
                <w:sz w:val="24"/>
                <w:szCs w:val="24"/>
                <w:color w:val="auto"/>
              </w:rPr>
            </w:pPr>
          </w:p>
        </w:tc>
        <w:tc>
          <w:tcPr>
            <w:tcW w:w="7920" w:type="dxa"/>
            <w:vAlign w:val="bottom"/>
            <w:gridSpan w:val="2"/>
          </w:tcPr>
          <w:p>
            <w:pPr>
              <w:jc w:val="center"/>
              <w:ind w:left="1932"/>
              <w:spacing w:after="0"/>
              <w:rPr>
                <w:sz w:val="20"/>
                <w:szCs w:val="20"/>
                <w:color w:val="auto"/>
              </w:rPr>
            </w:pPr>
            <w:r>
              <w:rPr>
                <w:rFonts w:ascii="Times New Roman" w:cs="Times New Roman" w:eastAsia="Times New Roman" w:hAnsi="Times New Roman"/>
                <w:sz w:val="18"/>
                <w:szCs w:val="18"/>
                <w:color w:val="auto"/>
                <w:w w:val="99"/>
              </w:rPr>
              <w:t>34</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CERTIFIED PUBLIC ACCOUNTANTS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Stemcells, Inc.:</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Stemcells, Inc. as of December 31, 2003, and the related consolidated statements of operations, changes in redeemable preferred stock and stockholder’s equity and cash flows for the year then ended. These financial statements are the responsibility of the Company’s management. Our responsibility is to express an opinion on these financial statements based on our audit.</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3"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Stemcells Inc. at December 31, 2003, and the consolidated results of their operations and their cash flows for the year then ended, in conformity with accounting principles generally accepted in the United States of America.</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Stemcells, Inc. will continue as a going concern. As discussed in Note 1, the Company has incurred significant operating losses and negative cash flows since inception and expects to continue to incur significant operating losses for the foreseeable future. These factors, among others, as discussed in Note 1 to the financial statements,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Grant Thornton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2004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ERNST &amp; YOUNG LLP, INDEPENDENT AUDITORS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52" w:lineRule="exact"/>
        <w:rPr>
          <w:sz w:val="20"/>
          <w:szCs w:val="20"/>
          <w:color w:val="auto"/>
        </w:rPr>
      </w:pPr>
    </w:p>
    <w:p>
      <w:pPr>
        <w:ind w:right="640"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StemCells, Inc. as of December 31, 2002 and 2001, and the related consolidated statements of operations, changes in redeemable preferred stock and stockholders’ equity, and cash flows for each of the two years in the period ended December 31, 2002. These financial statements are the responsibility of the Company’s management. Our responsibility is to express an opinion on these financial statements based on our audits.</w:t>
      </w:r>
    </w:p>
    <w:p>
      <w:pPr>
        <w:spacing w:after="0" w:line="2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StemCells, Inc. at December 31, 2002 and 2001, and the consolidated results of its operations and its cash flows for each of the two years in the period ended December 31, 2002, in conformity with accounting principles generally accepted in the United States.</w:t>
      </w:r>
    </w:p>
    <w:p>
      <w:pPr>
        <w:spacing w:after="0" w:line="213" w:lineRule="exact"/>
        <w:rPr>
          <w:sz w:val="20"/>
          <w:szCs w:val="20"/>
          <w:color w:val="auto"/>
        </w:rPr>
      </w:pPr>
    </w:p>
    <w:p>
      <w:pPr>
        <w:ind w:right="360" w:firstLine="324"/>
        <w:spacing w:after="0" w:line="296"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StemCells, Inc. will continue as a going concern. As more fully described in Note 1, the Company has incurred significant operating losses and negative cash flows since inception and expects to continue to incur significant operating losses for the foreseeable future. These conditions raise substantial doubt about the Company’s ability to continue as a going concern. Management’s plans in regard to these matters are also described in Note 1.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9"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As discussed in Note 1 to the accompanying consolidated financial statements, the Company has restated its financial statements as of and for the two years in the period ended December 31, 2002.</w:t>
      </w:r>
    </w:p>
    <w:p>
      <w:pPr>
        <w:spacing w:after="0" w:line="1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2003, except for Note 1 — Restatement of Consolidated Financial Statements, as to which the date is March 31, 2004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13,081,703</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4,236,367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180,048</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102,829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13,407,214</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4,404,088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3,611,402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4,337,711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2,767,798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19,786,414</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11,328,822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gridSpan w:val="2"/>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0" w:type="dxa"/>
            <w:vAlign w:val="bottom"/>
            <w:gridSpan w:val="3"/>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80" w:type="dxa"/>
            <w:vAlign w:val="bottom"/>
            <w:gridSpan w:val="6"/>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Liabilities, Redeemable Convertible Preferred Stock, and Stockholders’ Equity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454,434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341,995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1,041,150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427,916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wind-down expenses, current portion</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237,084</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229,166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2,521,668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1,774,077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 lease obligations, less current maturities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1,849,583</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2,086,667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long-term liabilities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wind-down expenses non-current portion</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3,033,984</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1,156,364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8,822,856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6,735,767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6)</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Redeemable Convertible Preferred Stock, $0.01 par value;</w:t>
            </w:r>
          </w:p>
        </w:tc>
        <w:tc>
          <w:tcPr>
            <w:tcW w:w="5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1,000,000 shares authorized issuable in series: 3% Cumulative</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Redeemable Convertible Preferred Stock, 5,000 shares issued with</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no shares outstanding at December 31, 2003 and 4,000 shares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outstanding at December 31, 2002,(aggregate liquidation</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preference of $4,000,000 at December 31, 2002)</w:t>
            </w:r>
          </w:p>
        </w:tc>
        <w:tc>
          <w:tcPr>
            <w:tcW w:w="500" w:type="dxa"/>
            <w:vAlign w:val="bottom"/>
            <w:shd w:val="clear" w:color="auto" w:fill="EEEEEE"/>
          </w:tcPr>
          <w:p>
            <w:pPr>
              <w:spacing w:after="0"/>
              <w:rPr>
                <w:sz w:val="20"/>
                <w:szCs w:val="20"/>
                <w:color w:val="auto"/>
              </w:rPr>
            </w:pPr>
          </w:p>
        </w:tc>
        <w:tc>
          <w:tcPr>
            <w:tcW w:w="1960" w:type="dxa"/>
            <w:vAlign w:val="bottom"/>
            <w:gridSpan w:val="4"/>
            <w:shd w:val="clear" w:color="auto" w:fill="EEEEEE"/>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2,659,686</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Common stock, $.01 par value; 75,000,000 shares authorized;</w:t>
            </w:r>
          </w:p>
        </w:tc>
        <w:tc>
          <w:tcPr>
            <w:tcW w:w="5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40,998,858 and 26,860,078 shares issued and outstanding at</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December 31, 2003 and 2002, respectively</w:t>
            </w:r>
          </w:p>
        </w:tc>
        <w:tc>
          <w:tcPr>
            <w:tcW w:w="50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409,988</w:t>
            </w:r>
          </w:p>
        </w:tc>
        <w:tc>
          <w:tcPr>
            <w:tcW w:w="4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268,601</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170,406,393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149,238,207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w w:val="96"/>
              </w:rPr>
              <w:t>(158,874,915)</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w w:val="96"/>
              </w:rPr>
              <w:t>(146,515,666)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500" w:type="dxa"/>
            <w:vAlign w:val="bottom"/>
          </w:tcPr>
          <w:p>
            <w:pPr>
              <w:spacing w:after="0"/>
              <w:rPr>
                <w:sz w:val="19"/>
                <w:szCs w:val="19"/>
                <w:color w:val="auto"/>
              </w:rPr>
            </w:pPr>
          </w:p>
        </w:tc>
        <w:tc>
          <w:tcPr>
            <w:tcW w:w="138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(977,908)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(1,057,773)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10,963,558</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1,933,369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19,786,414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11,328,822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280"/>
          </w:cols>
          <w:pgMar w:left="240" w:top="415"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5" w:right="137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(Restated)</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from collaborative and licensing agreements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3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40,010</w:t>
            </w:r>
          </w:p>
        </w:tc>
        <w:tc>
          <w:tcPr>
            <w:tcW w:w="3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grants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255,123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375,367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from assignment of rights to technology</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415,377</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6,143,676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7,382,272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8,603,444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3,390,652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3,358,581</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3,787,759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Encapsulated Cell Therapy wind-down and corporate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relocation</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2,885,329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1,163,804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12,419,657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11,904,657</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12,966,203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(12,146,227)</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(11,489,280)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4"/>
              </w:rPr>
              <w:t>(12,160,972)</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(207,112)</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(226,723)</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short-term investment</w:t>
            </w:r>
          </w:p>
        </w:tc>
        <w:tc>
          <w:tcPr>
            <w:tcW w:w="4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7,782,398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(2,736)</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(30,477)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(34,218)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(144,525)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(154,975)</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8,139,475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preferred dividends</w:t>
            </w: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(12,290,752)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(11,644,255)</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(4,021,497)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Dividends to preferred shareholders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(68,497)</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(351,727)</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to preferred shareholders</w:t>
            </w: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(2,065,911)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(1,280,004)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(1,545,917)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(14,425,160)</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(13,275,986)</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(5,567,414)</w:t>
            </w:r>
          </w:p>
        </w:tc>
        <w:tc>
          <w:tcPr>
            <w:tcW w:w="0" w:type="dxa"/>
            <w:vAlign w:val="bottom"/>
          </w:tcPr>
          <w:p>
            <w:pPr>
              <w:spacing w:after="0"/>
              <w:rPr>
                <w:sz w:val="1"/>
                <w:szCs w:val="1"/>
                <w:color w:val="auto"/>
              </w:rPr>
            </w:pPr>
          </w:p>
        </w:tc>
      </w:tr>
      <w:tr>
        <w:trPr>
          <w:trHeight w:val="105"/>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applicable to common</w:t>
            </w: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6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used in basic and diluted per share amounts</w:t>
            </w: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32,080,233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25,096,252</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22,241,564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82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8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Balances, December 31, 2000</w:t>
            </w:r>
          </w:p>
        </w:tc>
        <w:tc>
          <w:tcPr>
            <w:tcW w:w="66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EEEEEE"/>
          </w:tcPr>
          <w:p>
            <w:pPr>
              <w:spacing w:after="0"/>
              <w:rPr>
                <w:sz w:val="12"/>
                <w:szCs w:val="12"/>
                <w:color w:val="auto"/>
              </w:rPr>
            </w:pPr>
          </w:p>
        </w:tc>
        <w:tc>
          <w:tcPr>
            <w:tcW w:w="1380" w:type="dxa"/>
            <w:vAlign w:val="bottom"/>
            <w:gridSpan w:val="4"/>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$1,283,250</w:t>
            </w:r>
          </w:p>
        </w:tc>
        <w:tc>
          <w:tcPr>
            <w:tcW w:w="420" w:type="dxa"/>
            <w:vAlign w:val="bottom"/>
            <w:shd w:val="clear" w:color="auto" w:fill="EEEEEE"/>
          </w:tcPr>
          <w:p>
            <w:pPr>
              <w:spacing w:after="0"/>
              <w:rPr>
                <w:sz w:val="12"/>
                <w:szCs w:val="12"/>
                <w:color w:val="auto"/>
              </w:rPr>
            </w:pPr>
          </w:p>
        </w:tc>
        <w:tc>
          <w:tcPr>
            <w:tcW w:w="120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20,956,887</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$209,569</w:t>
            </w:r>
          </w:p>
        </w:tc>
        <w:tc>
          <w:tcPr>
            <w:tcW w:w="160" w:type="dxa"/>
            <w:vAlign w:val="bottom"/>
            <w:shd w:val="clear" w:color="auto" w:fill="EEEEEE"/>
          </w:tcPr>
          <w:p>
            <w:pPr>
              <w:spacing w:after="0"/>
              <w:rPr>
                <w:sz w:val="12"/>
                <w:szCs w:val="12"/>
                <w:color w:val="auto"/>
              </w:rPr>
            </w:pPr>
          </w:p>
        </w:tc>
        <w:tc>
          <w:tcPr>
            <w:tcW w:w="15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$138,366,817</w:t>
            </w:r>
          </w:p>
        </w:tc>
        <w:tc>
          <w:tcPr>
            <w:tcW w:w="5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 stock related to equity financing net of issuance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$396,593</w:t>
            </w:r>
          </w:p>
        </w:tc>
        <w:tc>
          <w:tcPr>
            <w:tcW w:w="32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707,947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1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3,596,328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320" w:type="dxa"/>
            <w:vAlign w:val="bottom"/>
            <w:tcBorders>
              <w:right w:val="single" w:sz="8" w:color="EEEEEE"/>
            </w:tcBorders>
            <w:shd w:val="clear" w:color="auto" w:fill="EEEEEE"/>
          </w:tcPr>
          <w:p>
            <w:pPr>
              <w:spacing w:after="0"/>
              <w:rPr>
                <w:sz w:val="12"/>
                <w:szCs w:val="12"/>
                <w:color w:val="auto"/>
              </w:rPr>
            </w:pPr>
          </w:p>
        </w:tc>
        <w:tc>
          <w:tcPr>
            <w:tcW w:w="4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1,856,333</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18,563</w:t>
            </w:r>
          </w:p>
        </w:tc>
        <w:tc>
          <w:tcPr>
            <w:tcW w:w="160" w:type="dxa"/>
            <w:vAlign w:val="bottom"/>
            <w:shd w:val="clear" w:color="auto" w:fill="EEEEEE"/>
          </w:tcPr>
          <w:p>
            <w:pPr>
              <w:spacing w:after="0"/>
              <w:rPr>
                <w:sz w:val="12"/>
                <w:szCs w:val="12"/>
                <w:color w:val="auto"/>
              </w:rPr>
            </w:pPr>
          </w:p>
        </w:tc>
        <w:tc>
          <w:tcPr>
            <w:tcW w:w="15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2,230,603</w:t>
            </w:r>
          </w:p>
        </w:tc>
        <w:tc>
          <w:tcPr>
            <w:tcW w:w="5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redeemable 3% convertible preferred stock, net of issuance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$272,485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1,542,515</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3,185,000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Conversion of redeemable convertible preferred shares to common</w:t>
            </w:r>
          </w:p>
        </w:tc>
        <w:tc>
          <w:tcPr>
            <w:tcW w:w="32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76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1800" w:type="dxa"/>
            <w:vAlign w:val="bottom"/>
            <w:gridSpan w:val="5"/>
            <w:shd w:val="clear" w:color="auto" w:fill="EEEEEE"/>
          </w:tcPr>
          <w:p>
            <w:pPr>
              <w:jc w:val="right"/>
              <w:ind w:right="380"/>
              <w:spacing w:after="0"/>
              <w:rPr>
                <w:sz w:val="20"/>
                <w:szCs w:val="20"/>
                <w:color w:val="auto"/>
              </w:rPr>
            </w:pPr>
            <w:r>
              <w:rPr>
                <w:rFonts w:ascii="Times New Roman" w:cs="Times New Roman" w:eastAsia="Times New Roman" w:hAnsi="Times New Roman"/>
                <w:sz w:val="14"/>
                <w:szCs w:val="14"/>
                <w:color w:val="auto"/>
              </w:rPr>
              <w:t>(906,500)</w:t>
            </w:r>
          </w:p>
        </w:tc>
        <w:tc>
          <w:tcPr>
            <w:tcW w:w="12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500,125</w:t>
            </w:r>
          </w:p>
        </w:tc>
        <w:tc>
          <w:tcPr>
            <w:tcW w:w="26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60" w:type="dxa"/>
            <w:vAlign w:val="bottom"/>
            <w:shd w:val="clear" w:color="auto" w:fill="EEEEEE"/>
          </w:tcPr>
          <w:p>
            <w:pPr>
              <w:spacing w:after="0"/>
              <w:rPr>
                <w:sz w:val="14"/>
                <w:szCs w:val="14"/>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901,499</w:t>
            </w:r>
          </w:p>
        </w:tc>
        <w:tc>
          <w:tcPr>
            <w:tcW w:w="5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preferred stock</w:t>
            </w:r>
          </w:p>
        </w:tc>
        <w:tc>
          <w:tcPr>
            <w:tcW w:w="3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743,667</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4"/>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4"/>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(743,667)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pursuant to employee benefit plan</w:t>
            </w:r>
          </w:p>
        </w:tc>
        <w:tc>
          <w:tcPr>
            <w:tcW w:w="320" w:type="dxa"/>
            <w:vAlign w:val="bottom"/>
            <w:tcBorders>
              <w:right w:val="single" w:sz="8" w:color="EEEEEE"/>
            </w:tcBorders>
            <w:shd w:val="clear" w:color="auto" w:fill="EEEEEE"/>
          </w:tcPr>
          <w:p>
            <w:pPr>
              <w:spacing w:after="0"/>
              <w:rPr>
                <w:sz w:val="12"/>
                <w:szCs w:val="12"/>
                <w:color w:val="auto"/>
              </w:rPr>
            </w:pPr>
          </w:p>
        </w:tc>
        <w:tc>
          <w:tcPr>
            <w:tcW w:w="4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28,221</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60" w:type="dxa"/>
            <w:vAlign w:val="bottom"/>
            <w:shd w:val="clear" w:color="auto" w:fill="EEEEEE"/>
          </w:tcPr>
          <w:p>
            <w:pPr>
              <w:spacing w:after="0"/>
              <w:rPr>
                <w:sz w:val="12"/>
                <w:szCs w:val="12"/>
                <w:color w:val="auto"/>
              </w:rPr>
            </w:pPr>
          </w:p>
        </w:tc>
        <w:tc>
          <w:tcPr>
            <w:tcW w:w="15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71,882</w:t>
            </w:r>
          </w:p>
        </w:tc>
        <w:tc>
          <w:tcPr>
            <w:tcW w:w="5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employee and consultant stock options</w:t>
            </w:r>
          </w:p>
        </w:tc>
        <w:tc>
          <w:tcPr>
            <w:tcW w:w="3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170,508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w:t>
            </w:r>
          </w:p>
        </w:tc>
        <w:tc>
          <w:tcPr>
            <w:tcW w:w="160" w:type="dxa"/>
            <w:vAlign w:val="bottom"/>
          </w:tcPr>
          <w:p>
            <w:pPr>
              <w:spacing w:after="0"/>
              <w:rPr>
                <w:sz w:val="12"/>
                <w:szCs w:val="12"/>
                <w:color w:val="auto"/>
              </w:rPr>
            </w:pPr>
          </w:p>
        </w:tc>
        <w:tc>
          <w:tcPr>
            <w:tcW w:w="15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242,833</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Compensation expense from grant of options</w:t>
            </w:r>
          </w:p>
        </w:tc>
        <w:tc>
          <w:tcPr>
            <w:tcW w:w="320" w:type="dxa"/>
            <w:vAlign w:val="bottom"/>
            <w:tcBorders>
              <w:right w:val="single" w:sz="8" w:color="EEEEEE"/>
            </w:tcBorders>
            <w:shd w:val="clear" w:color="auto" w:fill="EEEEEE"/>
          </w:tcPr>
          <w:p>
            <w:pPr>
              <w:spacing w:after="0"/>
              <w:rPr>
                <w:sz w:val="12"/>
                <w:szCs w:val="12"/>
                <w:color w:val="auto"/>
              </w:rPr>
            </w:pPr>
          </w:p>
        </w:tc>
        <w:tc>
          <w:tcPr>
            <w:tcW w:w="4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340" w:type="dxa"/>
            <w:vAlign w:val="bottom"/>
            <w:gridSpan w:val="4"/>
            <w:shd w:val="clear" w:color="auto" w:fill="EEEEEE"/>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552,349</w:t>
            </w:r>
          </w:p>
        </w:tc>
        <w:tc>
          <w:tcPr>
            <w:tcW w:w="5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3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4"/>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776,744</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compensation</w:t>
            </w:r>
          </w:p>
        </w:tc>
        <w:tc>
          <w:tcPr>
            <w:tcW w:w="320" w:type="dxa"/>
            <w:vAlign w:val="bottom"/>
            <w:tcBorders>
              <w:right w:val="single" w:sz="8" w:color="EEEEEE"/>
            </w:tcBorders>
            <w:shd w:val="clear" w:color="auto" w:fill="EEEEEE"/>
          </w:tcPr>
          <w:p>
            <w:pPr>
              <w:spacing w:after="0"/>
              <w:rPr>
                <w:sz w:val="12"/>
                <w:szCs w:val="12"/>
                <w:color w:val="auto"/>
              </w:rPr>
            </w:pPr>
          </w:p>
        </w:tc>
        <w:tc>
          <w:tcPr>
            <w:tcW w:w="4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340" w:type="dxa"/>
            <w:vAlign w:val="bottom"/>
            <w:gridSpan w:val="4"/>
            <w:shd w:val="clear" w:color="auto" w:fill="EEEEEE"/>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3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4"/>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Realized gain on short-term investments</w:t>
            </w:r>
          </w:p>
        </w:tc>
        <w:tc>
          <w:tcPr>
            <w:tcW w:w="320" w:type="dxa"/>
            <w:vAlign w:val="bottom"/>
            <w:tcBorders>
              <w:right w:val="single" w:sz="8" w:color="EEEEEE"/>
            </w:tcBorders>
            <w:shd w:val="clear" w:color="auto" w:fill="EEEEEE"/>
          </w:tcPr>
          <w:p>
            <w:pPr>
              <w:spacing w:after="0"/>
              <w:rPr>
                <w:sz w:val="12"/>
                <w:szCs w:val="12"/>
                <w:color w:val="auto"/>
              </w:rPr>
            </w:pPr>
          </w:p>
        </w:tc>
        <w:tc>
          <w:tcPr>
            <w:tcW w:w="4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340" w:type="dxa"/>
            <w:vAlign w:val="bottom"/>
            <w:gridSpan w:val="4"/>
            <w:shd w:val="clear" w:color="auto" w:fill="EEEEEE"/>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Net loss (RESTATED)</w:t>
            </w:r>
          </w:p>
        </w:tc>
        <w:tc>
          <w:tcPr>
            <w:tcW w:w="32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4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340" w:type="dxa"/>
            <w:vAlign w:val="bottom"/>
            <w:gridSpan w:val="4"/>
            <w:shd w:val="clear" w:color="auto" w:fill="EEEEEE"/>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 (RESTATED)</w:t>
            </w:r>
          </w:p>
        </w:tc>
        <w:tc>
          <w:tcPr>
            <w:tcW w:w="3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4"/>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6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6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Balances, December 31, 2001 (RESTATED)</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10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$2,662,932</w:t>
            </w:r>
          </w:p>
        </w:tc>
        <w:tc>
          <w:tcPr>
            <w:tcW w:w="42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24,220,021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$242,200</w:t>
            </w:r>
          </w:p>
        </w:tc>
        <w:tc>
          <w:tcPr>
            <w:tcW w:w="160" w:type="dxa"/>
            <w:vAlign w:val="bottom"/>
          </w:tcPr>
          <w:p>
            <w:pPr>
              <w:spacing w:after="0"/>
              <w:rPr>
                <w:sz w:val="12"/>
                <w:szCs w:val="12"/>
                <w:color w:val="auto"/>
              </w:rPr>
            </w:pPr>
          </w:p>
        </w:tc>
        <w:tc>
          <w:tcPr>
            <w:tcW w:w="15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$149,180,388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[Additional columns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[Continued from above table, first column(s) repeated]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6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40" w:type="dxa"/>
            <w:vAlign w:val="bottom"/>
          </w:tcPr>
          <w:p>
            <w:pPr>
              <w:spacing w:after="0"/>
              <w:rPr>
                <w:sz w:val="12"/>
                <w:szCs w:val="12"/>
                <w:color w:val="auto"/>
              </w:rPr>
            </w:pPr>
          </w:p>
        </w:tc>
        <w:tc>
          <w:tcPr>
            <w:tcW w:w="154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6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5"/>
                <w:szCs w:val="15"/>
                <w:color w:val="auto"/>
              </w:rPr>
            </w:pPr>
          </w:p>
        </w:tc>
        <w:tc>
          <w:tcPr>
            <w:tcW w:w="1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40" w:type="dxa"/>
            <w:vAlign w:val="bottom"/>
          </w:tcPr>
          <w:p>
            <w:pPr>
              <w:spacing w:after="0"/>
              <w:rPr>
                <w:sz w:val="15"/>
                <w:szCs w:val="15"/>
                <w:color w:val="auto"/>
              </w:rPr>
            </w:pP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Balances, December 31, 2000</w:t>
            </w:r>
          </w:p>
        </w:tc>
        <w:tc>
          <w:tcPr>
            <w:tcW w:w="1600" w:type="dxa"/>
            <w:vAlign w:val="bottom"/>
            <w:gridSpan w:val="3"/>
            <w:shd w:val="clear" w:color="auto" w:fill="EEEEEE"/>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$(130,498,187)</w:t>
            </w:r>
          </w:p>
        </w:tc>
        <w:tc>
          <w:tcPr>
            <w:tcW w:w="7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16,356,334</w:t>
            </w:r>
          </w:p>
        </w:tc>
        <w:tc>
          <w:tcPr>
            <w:tcW w:w="520" w:type="dxa"/>
            <w:vAlign w:val="bottom"/>
            <w:shd w:val="clear" w:color="auto" w:fill="EEEEEE"/>
          </w:tcPr>
          <w:p>
            <w:pPr>
              <w:spacing w:after="0"/>
              <w:rPr>
                <w:sz w:val="12"/>
                <w:szCs w:val="12"/>
                <w:color w:val="auto"/>
              </w:rPr>
            </w:pPr>
          </w:p>
        </w:tc>
        <w:tc>
          <w:tcPr>
            <w:tcW w:w="1780" w:type="dxa"/>
            <w:vAlign w:val="bottom"/>
            <w:gridSpan w:val="4"/>
            <w:shd w:val="clear" w:color="auto" w:fill="EEEEEE"/>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$(2,735,761)</w:t>
            </w: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$21,698,772</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 stock related to equity financing net of issuance cost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$396,593</w:t>
            </w:r>
          </w:p>
        </w:tc>
        <w:tc>
          <w:tcPr>
            <w:tcW w:w="4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3,603,407</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2,249,166</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redeemable 3% convertible preferred stock, net of issuance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$272,485</w:t>
            </w:r>
          </w:p>
        </w:tc>
        <w:tc>
          <w:tcPr>
            <w:tcW w:w="4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3,185,000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Conversion of redeemable convertible preferred shares to common stock</w:t>
            </w: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906,500</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preferred stock</w:t>
            </w:r>
          </w:p>
        </w:tc>
        <w:tc>
          <w:tcPr>
            <w:tcW w:w="44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(743,667)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Common stock issued pursuant to employee benefit plan</w:t>
            </w: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72,165</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employee and consultant stock options</w:t>
            </w:r>
          </w:p>
        </w:tc>
        <w:tc>
          <w:tcPr>
            <w:tcW w:w="44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244,538</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Compensation expense from grant of options</w:t>
            </w: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552,349</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(776,744)</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compensation</w:t>
            </w: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1,242,408</w:t>
            </w:r>
          </w:p>
        </w:tc>
        <w:tc>
          <w:tcPr>
            <w:tcW w:w="400" w:type="dxa"/>
            <w:vAlign w:val="bottom"/>
            <w:shd w:val="clear" w:color="auto" w:fill="EEEEEE"/>
          </w:tcPr>
          <w:p>
            <w:pPr>
              <w:spacing w:after="0"/>
              <w:rPr>
                <w:sz w:val="12"/>
                <w:szCs w:val="12"/>
                <w:color w:val="auto"/>
              </w:rPr>
            </w:pP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1,242,408</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44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w w:val="94"/>
              </w:rPr>
              <w:t>(8,573,936)</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(8,573,936)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Realized gain on short-term investments</w:t>
            </w: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w w:val="94"/>
              </w:rPr>
              <w:t>(7,782,398)</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shd w:val="clear" w:color="auto" w:fill="EEEEEE"/>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(7,782,398)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Net loss (RESTATED)</w:t>
            </w: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(4,021,497)</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(4,021,497)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1120" w:type="dxa"/>
            <w:vAlign w:val="bottom"/>
            <w:gridSpan w:val="2"/>
            <w:shd w:val="clear" w:color="auto" w:fill="EEEEEE"/>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4,021,497</w:t>
            </w: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 (RESTATED)</w:t>
            </w:r>
          </w:p>
        </w:tc>
        <w:tc>
          <w:tcPr>
            <w:tcW w:w="44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right w:val="single" w:sz="8" w:color="EEEEEE"/>
            </w:tcBorders>
            <w:shd w:val="clear" w:color="auto" w:fill="EEEEEE"/>
          </w:tcPr>
          <w:p>
            <w:pPr>
              <w:spacing w:after="0"/>
              <w:rPr>
                <w:sz w:val="9"/>
                <w:szCs w:val="9"/>
                <w:color w:val="auto"/>
              </w:rPr>
            </w:pPr>
          </w:p>
        </w:tc>
        <w:tc>
          <w:tcPr>
            <w:tcW w:w="6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808080"/>
              <w:right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20" w:type="dxa"/>
            <w:vAlign w:val="bottom"/>
            <w:tcBorders>
              <w:right w:val="single" w:sz="8" w:color="EEEEEE"/>
            </w:tcBorders>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Balances, December 31, 2001 (RESTATED)</w:t>
            </w:r>
          </w:p>
        </w:tc>
        <w:tc>
          <w:tcPr>
            <w:tcW w:w="16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$(134,519,684)</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$(2,270,097)</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$12,632,807</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620" w:type="dxa"/>
            <w:vAlign w:val="bottom"/>
            <w:tcBorders>
              <w:right w:val="single" w:sz="8" w:color="EEEEEE"/>
            </w:tcBorders>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shd w:val="clear" w:color="auto" w:fill="EEEEEE"/>
          </w:tcPr>
          <w:p>
            <w:pPr>
              <w:spacing w:after="0"/>
              <w:rPr>
                <w:sz w:val="5"/>
                <w:szCs w:val="5"/>
                <w:color w:val="auto"/>
              </w:rPr>
            </w:pPr>
          </w:p>
        </w:tc>
        <w:tc>
          <w:tcPr>
            <w:tcW w:w="440" w:type="dxa"/>
            <w:vAlign w:val="bottom"/>
            <w:shd w:val="clear" w:color="auto" w:fill="EEEEEE"/>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20" w:type="dxa"/>
            <w:vAlign w:val="bottom"/>
            <w:tcBorders>
              <w:right w:val="single" w:sz="8" w:color="808080"/>
            </w:tcBorders>
            <w:shd w:val="clear" w:color="auto" w:fill="EEEEEE"/>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20" w:type="dxa"/>
            <w:vAlign w:val="bottom"/>
            <w:tcBorders>
              <w:right w:val="single" w:sz="8" w:color="EEEEEE"/>
            </w:tcBorders>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620" w:type="dxa"/>
            <w:vAlign w:val="bottom"/>
            <w:tcBorders>
              <w:right w:val="single" w:sz="8" w:color="EEEEEE"/>
            </w:tcBorders>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 —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vMerge w:val="restart"/>
          </w:tcPr>
          <w:p>
            <w:pPr>
              <w:spacing w:after="0"/>
              <w:rPr>
                <w:sz w:val="8"/>
                <w:szCs w:val="8"/>
                <w:color w:val="auto"/>
              </w:rPr>
            </w:pP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vMerge w:val="restart"/>
          </w:tcPr>
          <w:p>
            <w:pPr>
              <w:spacing w:after="0"/>
              <w:rPr>
                <w:sz w:val="8"/>
                <w:szCs w:val="8"/>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340" w:type="dxa"/>
            <w:vAlign w:val="bottom"/>
            <w:vMerge w:val="restart"/>
          </w:tcPr>
          <w:p>
            <w:pPr>
              <w:spacing w:after="0"/>
              <w:rPr>
                <w:sz w:val="8"/>
                <w:szCs w:val="8"/>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20" w:type="dxa"/>
            <w:vAlign w:val="bottom"/>
            <w:vMerge w:val="restart"/>
          </w:tcPr>
          <w:p>
            <w:pPr>
              <w:spacing w:after="0"/>
              <w:rPr>
                <w:sz w:val="8"/>
                <w:szCs w:val="8"/>
                <w:color w:val="auto"/>
              </w:rPr>
            </w:pPr>
          </w:p>
        </w:tc>
        <w:tc>
          <w:tcPr>
            <w:tcW w:w="1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 December 31,</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2001 (RESTATED)</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shd w:val="clear" w:color="auto" w:fill="EEEEEE"/>
          </w:tcPr>
          <w:p>
            <w:pPr>
              <w:spacing w:after="0"/>
              <w:rPr>
                <w:sz w:val="14"/>
                <w:szCs w:val="14"/>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$ 2,662,932</w:t>
            </w:r>
          </w:p>
        </w:tc>
        <w:tc>
          <w:tcPr>
            <w:tcW w:w="260" w:type="dxa"/>
            <w:vAlign w:val="bottom"/>
            <w:shd w:val="clear" w:color="auto" w:fill="EEEEEE"/>
          </w:tcPr>
          <w:p>
            <w:pPr>
              <w:spacing w:after="0"/>
              <w:rPr>
                <w:sz w:val="14"/>
                <w:szCs w:val="14"/>
                <w:color w:val="auto"/>
              </w:rPr>
            </w:pP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24,220,021</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$242,200</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$149,180,388</w:t>
            </w:r>
          </w:p>
        </w:tc>
        <w:tc>
          <w:tcPr>
            <w:tcW w:w="380" w:type="dxa"/>
            <w:vAlign w:val="bottom"/>
            <w:shd w:val="clear" w:color="auto" w:fill="EEEEEE"/>
          </w:tcPr>
          <w:p>
            <w:pPr>
              <w:spacing w:after="0"/>
              <w:rPr>
                <w:sz w:val="14"/>
                <w:szCs w:val="14"/>
                <w:color w:val="auto"/>
              </w:rPr>
            </w:pPr>
          </w:p>
        </w:tc>
        <w:tc>
          <w:tcPr>
            <w:tcW w:w="10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$(134,519,684)</w:t>
            </w:r>
          </w:p>
        </w:tc>
        <w:tc>
          <w:tcPr>
            <w:tcW w:w="30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$(2,270,097)</w:t>
            </w:r>
          </w:p>
        </w:tc>
        <w:tc>
          <w:tcPr>
            <w:tcW w:w="460" w:type="dxa"/>
            <w:vAlign w:val="bottom"/>
            <w:gridSpan w:val="2"/>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98"/>
              </w:rPr>
              <w:t>12,632,807</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related to equity</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financing net of</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cost $89,706</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1,135,850</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1,117,285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1,128,644</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Dividends paid to</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3% convertible</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tcBorders>
              <w:right w:val="single" w:sz="8" w:color="EEEEEE"/>
            </w:tcBorders>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holders in</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tcBorders>
              <w:right w:val="single" w:sz="8" w:color="EEEEEE"/>
            </w:tcBorders>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97,969</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128,290</w:t>
            </w:r>
          </w:p>
        </w:tc>
        <w:tc>
          <w:tcPr>
            <w:tcW w:w="380" w:type="dxa"/>
            <w:vAlign w:val="bottom"/>
            <w:shd w:val="clear" w:color="auto" w:fill="EEEEEE"/>
          </w:tcPr>
          <w:p>
            <w:pPr>
              <w:spacing w:after="0"/>
              <w:rPr>
                <w:sz w:val="14"/>
                <w:szCs w:val="14"/>
                <w:color w:val="auto"/>
              </w:rPr>
            </w:pPr>
          </w:p>
        </w:tc>
        <w:tc>
          <w:tcPr>
            <w:tcW w:w="10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(129,270)</w:t>
            </w:r>
          </w:p>
        </w:tc>
        <w:tc>
          <w:tcPr>
            <w:tcW w:w="100" w:type="dxa"/>
            <w:vAlign w:val="bottom"/>
            <w:shd w:val="clear" w:color="auto" w:fill="EEEEEE"/>
          </w:tcPr>
          <w:p>
            <w:pPr>
              <w:spacing w:after="0"/>
              <w:rPr>
                <w:sz w:val="14"/>
                <w:szCs w:val="14"/>
                <w:color w:val="auto"/>
              </w:rPr>
            </w:pPr>
          </w:p>
        </w:tc>
        <w:tc>
          <w:tcPr>
            <w:tcW w:w="200" w:type="dxa"/>
            <w:vAlign w:val="bottom"/>
            <w:tcBorders>
              <w:right w:val="single" w:sz="8" w:color="EEEEEE"/>
            </w:tcBorders>
            <w:shd w:val="clear" w:color="auto" w:fill="EEEEEE"/>
          </w:tcPr>
          <w:p>
            <w:pPr>
              <w:spacing w:after="0"/>
              <w:rPr>
                <w:sz w:val="14"/>
                <w:szCs w:val="14"/>
                <w:color w:val="auto"/>
              </w:rPr>
            </w:pP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to common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(1,500)</w:t>
            </w:r>
          </w:p>
        </w:tc>
        <w:tc>
          <w:tcPr>
            <w:tcW w:w="15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(1,283,250)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1,252,244</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12,522</w:t>
            </w: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1,493,185</w:t>
            </w:r>
          </w:p>
        </w:tc>
        <w:tc>
          <w:tcPr>
            <w:tcW w:w="380" w:type="dxa"/>
            <w:vAlign w:val="bottom"/>
          </w:tcPr>
          <w:p>
            <w:pPr>
              <w:spacing w:after="0"/>
              <w:rPr>
                <w:sz w:val="14"/>
                <w:szCs w:val="14"/>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(222,457)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1,283,250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Accretion of redeemable</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1,280,004</w:t>
            </w:r>
          </w:p>
        </w:tc>
        <w:tc>
          <w:tcPr>
            <w:tcW w:w="26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tcBorders>
              <w:right w:val="single" w:sz="8" w:color="EEEEEE"/>
            </w:tcBorders>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(1,280,004)</w:t>
            </w: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200" w:type="dxa"/>
            <w:vAlign w:val="bottom"/>
            <w:tcBorders>
              <w:right w:val="single" w:sz="8" w:color="EEEEEE"/>
            </w:tcBorders>
            <w:shd w:val="clear" w:color="auto" w:fill="EEEEEE"/>
          </w:tcPr>
          <w:p>
            <w:pPr>
              <w:spacing w:after="0"/>
              <w:rPr>
                <w:sz w:val="14"/>
                <w:szCs w:val="14"/>
                <w:color w:val="auto"/>
              </w:rPr>
            </w:pP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(1,280,004)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external services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61,419</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90,913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pursuant to employee</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tcBorders>
              <w:right w:val="single" w:sz="8" w:color="EEEEEE"/>
            </w:tcBorders>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benefit plan</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44,988</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56,015</w:t>
            </w:r>
          </w:p>
        </w:tc>
        <w:tc>
          <w:tcPr>
            <w:tcW w:w="3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200" w:type="dxa"/>
            <w:vAlign w:val="bottom"/>
            <w:tcBorders>
              <w:right w:val="single" w:sz="8" w:color="EEEEEE"/>
            </w:tcBorders>
            <w:shd w:val="clear" w:color="auto" w:fill="EEEEEE"/>
          </w:tcPr>
          <w:p>
            <w:pPr>
              <w:spacing w:after="0"/>
              <w:rPr>
                <w:sz w:val="14"/>
                <w:szCs w:val="14"/>
                <w:color w:val="auto"/>
              </w:rPr>
            </w:pP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56,465</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Exercise of employee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consultant stock</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47,587</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Compensation expense</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from grant of options</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tcBorders>
              <w:right w:val="single" w:sz="8" w:color="EEEEEE"/>
            </w:tcBorders>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124,689</w:t>
            </w:r>
          </w:p>
        </w:tc>
        <w:tc>
          <w:tcPr>
            <w:tcW w:w="3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200" w:type="dxa"/>
            <w:vAlign w:val="bottom"/>
            <w:tcBorders>
              <w:right w:val="single" w:sz="8" w:color="EEEEEE"/>
            </w:tcBorders>
            <w:shd w:val="clear" w:color="auto" w:fill="EEEEEE"/>
          </w:tcPr>
          <w:p>
            <w:pPr>
              <w:spacing w:after="0"/>
              <w:rPr>
                <w:sz w:val="14"/>
                <w:szCs w:val="14"/>
                <w:color w:val="auto"/>
              </w:rPr>
            </w:pP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EEEEEE"/>
            </w:tcBorders>
            <w:shd w:val="clear" w:color="auto" w:fill="EEEEEE"/>
          </w:tcPr>
          <w:p>
            <w:pPr>
              <w:spacing w:after="0"/>
              <w:rPr>
                <w:sz w:val="14"/>
                <w:szCs w:val="14"/>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124,689</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(1,681,413)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1,681,413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Amortization of deferred</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6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80" w:type="dxa"/>
            <w:vAlign w:val="bottom"/>
            <w:tcBorders>
              <w:right w:val="single" w:sz="8" w:color="EEEEEE"/>
            </w:tcBorders>
            <w:shd w:val="clear" w:color="auto" w:fill="EEEEEE"/>
          </w:tcPr>
          <w:p>
            <w:pPr>
              <w:spacing w:after="0"/>
              <w:rPr>
                <w:sz w:val="14"/>
                <w:szCs w:val="14"/>
                <w:color w:val="auto"/>
              </w:rPr>
            </w:pPr>
          </w:p>
        </w:tc>
        <w:tc>
          <w:tcPr>
            <w:tcW w:w="5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200" w:type="dxa"/>
            <w:vAlign w:val="bottom"/>
            <w:tcBorders>
              <w:right w:val="single" w:sz="8" w:color="EEEEEE"/>
            </w:tcBorders>
            <w:shd w:val="clear" w:color="auto" w:fill="EEEEEE"/>
          </w:tcPr>
          <w:p>
            <w:pPr>
              <w:spacing w:after="0"/>
              <w:rPr>
                <w:sz w:val="14"/>
                <w:szCs w:val="14"/>
                <w:color w:val="auto"/>
              </w:rPr>
            </w:pP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(469,089)</w:t>
            </w:r>
          </w:p>
        </w:tc>
        <w:tc>
          <w:tcPr>
            <w:tcW w:w="12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(469,089)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Net loss (RESTATED)</w:t>
            </w:r>
          </w:p>
        </w:tc>
        <w:tc>
          <w:tcPr>
            <w:tcW w:w="12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(11,644,255)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1"/>
              </w:rPr>
              <w:t>(11,644,255)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 December 31,</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tcBorders>
              <w:right w:val="single" w:sz="8" w:color="EEEEEE"/>
            </w:tcBorders>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2002 (RESTATED)</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EEEEEE"/>
          </w:tcPr>
          <w:p>
            <w:pPr>
              <w:spacing w:after="0"/>
              <w:rPr>
                <w:sz w:val="14"/>
                <w:szCs w:val="14"/>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$ 2,659,686</w:t>
            </w:r>
          </w:p>
        </w:tc>
        <w:tc>
          <w:tcPr>
            <w:tcW w:w="260" w:type="dxa"/>
            <w:vAlign w:val="bottom"/>
            <w:shd w:val="clear" w:color="auto" w:fill="EEEEEE"/>
          </w:tcPr>
          <w:p>
            <w:pPr>
              <w:spacing w:after="0"/>
              <w:rPr>
                <w:sz w:val="14"/>
                <w:szCs w:val="14"/>
                <w:color w:val="auto"/>
              </w:rPr>
            </w:pP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26,860,078</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$268,601</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$149,238,207</w:t>
            </w:r>
          </w:p>
        </w:tc>
        <w:tc>
          <w:tcPr>
            <w:tcW w:w="380" w:type="dxa"/>
            <w:vAlign w:val="bottom"/>
            <w:shd w:val="clear" w:color="auto" w:fill="EEEEEE"/>
          </w:tcPr>
          <w:p>
            <w:pPr>
              <w:spacing w:after="0"/>
              <w:rPr>
                <w:sz w:val="14"/>
                <w:szCs w:val="14"/>
                <w:color w:val="auto"/>
              </w:rPr>
            </w:pPr>
          </w:p>
        </w:tc>
        <w:tc>
          <w:tcPr>
            <w:tcW w:w="104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$(146,515,666)</w:t>
            </w:r>
          </w:p>
        </w:tc>
        <w:tc>
          <w:tcPr>
            <w:tcW w:w="30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rPr>
              <w:t>$(1,057,773)</w:t>
            </w:r>
          </w:p>
        </w:tc>
        <w:tc>
          <w:tcPr>
            <w:tcW w:w="460" w:type="dxa"/>
            <w:vAlign w:val="bottom"/>
            <w:gridSpan w:val="2"/>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1,933,369</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 —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vMerge w:val="restart"/>
          </w:tcPr>
          <w:p>
            <w:pPr>
              <w:spacing w:after="0"/>
              <w:rPr>
                <w:sz w:val="8"/>
                <w:szCs w:val="8"/>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320" w:type="dxa"/>
            <w:vAlign w:val="bottom"/>
          </w:tcPr>
          <w:p>
            <w:pPr>
              <w:spacing w:after="0"/>
              <w:rPr>
                <w:sz w:val="8"/>
                <w:szCs w:val="8"/>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vMerge w:val="restart"/>
          </w:tcPr>
          <w:p>
            <w:pPr>
              <w:spacing w:after="0"/>
              <w:rPr>
                <w:sz w:val="8"/>
                <w:szCs w:val="8"/>
                <w:color w:val="auto"/>
              </w:rPr>
            </w:pPr>
          </w:p>
        </w:tc>
        <w:tc>
          <w:tcPr>
            <w:tcW w:w="13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Income (Loss)</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Balances, December 31,</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40" w:type="dxa"/>
            <w:vAlign w:val="bottom"/>
            <w:tcBorders>
              <w:right w:val="single" w:sz="8" w:color="EEEEEE"/>
            </w:tcBorders>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2002 (RESTATED)</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EEEEEE"/>
          </w:tcPr>
          <w:p>
            <w:pPr>
              <w:spacing w:after="0"/>
              <w:rPr>
                <w:sz w:val="14"/>
                <w:szCs w:val="14"/>
                <w:color w:val="auto"/>
              </w:rPr>
            </w:pPr>
          </w:p>
        </w:tc>
        <w:tc>
          <w:tcPr>
            <w:tcW w:w="6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2,659,686</w:t>
            </w:r>
          </w:p>
        </w:tc>
        <w:tc>
          <w:tcPr>
            <w:tcW w:w="260" w:type="dxa"/>
            <w:vAlign w:val="bottom"/>
            <w:shd w:val="clear" w:color="auto" w:fill="EEEEEE"/>
          </w:tcPr>
          <w:p>
            <w:pPr>
              <w:spacing w:after="0"/>
              <w:rPr>
                <w:sz w:val="14"/>
                <w:szCs w:val="14"/>
                <w:color w:val="auto"/>
              </w:rPr>
            </w:pP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26,860,078</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$268,601</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$149,238,207</w:t>
            </w:r>
          </w:p>
        </w:tc>
        <w:tc>
          <w:tcPr>
            <w:tcW w:w="380" w:type="dxa"/>
            <w:vAlign w:val="bottom"/>
            <w:shd w:val="clear" w:color="auto" w:fill="EEEEEE"/>
          </w:tcPr>
          <w:p>
            <w:pPr>
              <w:spacing w:after="0"/>
              <w:rPr>
                <w:sz w:val="14"/>
                <w:szCs w:val="14"/>
                <w:color w:val="auto"/>
              </w:rPr>
            </w:pPr>
          </w:p>
        </w:tc>
        <w:tc>
          <w:tcPr>
            <w:tcW w:w="102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$(146,515,666)</w:t>
            </w:r>
          </w:p>
        </w:tc>
        <w:tc>
          <w:tcPr>
            <w:tcW w:w="30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EEEEEE"/>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4"/>
                <w:szCs w:val="14"/>
                <w:color w:val="auto"/>
                <w:w w:val="94"/>
              </w:rPr>
              <w:t>(1,057,773)</w:t>
            </w:r>
          </w:p>
        </w:tc>
        <w:tc>
          <w:tcPr>
            <w:tcW w:w="440" w:type="dxa"/>
            <w:vAlign w:val="bottom"/>
            <w:gridSpan w:val="2"/>
            <w:shd w:val="clear" w:color="auto" w:fill="EEEEEE"/>
          </w:tcPr>
          <w:p>
            <w:pPr>
              <w:ind w:left="3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1,933,369</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related to equity</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financing net of</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cost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$310,403</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9,303,988</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93,040</w:t>
            </w: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16,037,307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16,130,347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Dividends paid to</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40" w:type="dxa"/>
            <w:vAlign w:val="bottom"/>
            <w:tcBorders>
              <w:right w:val="single" w:sz="8" w:color="EEEEEE"/>
            </w:tcBorders>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3% convertible</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holders in</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49,809</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68,000</w:t>
            </w:r>
          </w:p>
        </w:tc>
        <w:tc>
          <w:tcPr>
            <w:tcW w:w="380" w:type="dxa"/>
            <w:vAlign w:val="bottom"/>
            <w:shd w:val="clear" w:color="auto" w:fill="EEEEEE"/>
          </w:tcPr>
          <w:p>
            <w:pPr>
              <w:spacing w:after="0"/>
              <w:rPr>
                <w:sz w:val="14"/>
                <w:szCs w:val="14"/>
                <w:color w:val="auto"/>
              </w:rPr>
            </w:pPr>
          </w:p>
        </w:tc>
        <w:tc>
          <w:tcPr>
            <w:tcW w:w="102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(68,497)</w:t>
            </w:r>
          </w:p>
        </w:tc>
        <w:tc>
          <w:tcPr>
            <w:tcW w:w="12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820" w:type="dxa"/>
            <w:vAlign w:val="bottom"/>
            <w:gridSpan w:val="3"/>
            <w:shd w:val="clear" w:color="auto" w:fill="EEEEEE"/>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Accretion of redeemable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 beneficial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feature</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2,065,911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(2,065,911)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(2,065,911)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Conversion of</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40" w:type="dxa"/>
            <w:vAlign w:val="bottom"/>
            <w:tcBorders>
              <w:right w:val="single" w:sz="8" w:color="EEEEEE"/>
            </w:tcBorders>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to common</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5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(4,000)</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w w:val="94"/>
              </w:rPr>
              <w:t>(4,725,597)</w:t>
            </w: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4,690,597</w:t>
            </w:r>
          </w:p>
        </w:tc>
        <w:tc>
          <w:tcPr>
            <w:tcW w:w="3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7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820" w:type="dxa"/>
            <w:vAlign w:val="bottom"/>
            <w:gridSpan w:val="3"/>
            <w:shd w:val="clear" w:color="auto" w:fill="EEEEEE"/>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4,725,597</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external services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98,180</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296,821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297,803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Common stock issued</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40" w:type="dxa"/>
            <w:vAlign w:val="bottom"/>
            <w:tcBorders>
              <w:right w:val="single" w:sz="8" w:color="EEEEEE"/>
            </w:tcBorders>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pursuant to employee</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benefit plan</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49,425</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61,769</w:t>
            </w:r>
          </w:p>
        </w:tc>
        <w:tc>
          <w:tcPr>
            <w:tcW w:w="3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820" w:type="dxa"/>
            <w:vAlign w:val="bottom"/>
            <w:gridSpan w:val="3"/>
            <w:shd w:val="clear" w:color="auto" w:fill="EEEEEE"/>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62,263</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1,098,000</w:t>
            </w: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10,980</w:t>
            </w:r>
          </w:p>
        </w:tc>
        <w:tc>
          <w:tcPr>
            <w:tcW w:w="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1,636,020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1,647,000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shd w:val="clear" w:color="auto" w:fill="EEEEEE"/>
          </w:tcPr>
          <w:p>
            <w:pPr>
              <w:spacing w:after="0" w:line="136" w:lineRule="exact"/>
              <w:rPr>
                <w:sz w:val="20"/>
                <w:szCs w:val="20"/>
                <w:color w:val="auto"/>
              </w:rPr>
            </w:pPr>
            <w:r>
              <w:rPr>
                <w:rFonts w:ascii="Times New Roman" w:cs="Times New Roman" w:eastAsia="Times New Roman" w:hAnsi="Times New Roman"/>
                <w:sz w:val="14"/>
                <w:szCs w:val="14"/>
                <w:color w:val="auto"/>
              </w:rPr>
              <w:t>Exercise of employee</w:t>
            </w:r>
          </w:p>
        </w:tc>
        <w:tc>
          <w:tcPr>
            <w:tcW w:w="1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540" w:type="dxa"/>
            <w:vAlign w:val="bottom"/>
            <w:tcBorders>
              <w:right w:val="single" w:sz="8" w:color="EEEEEE"/>
            </w:tcBorders>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consultant stock</w:t>
            </w:r>
          </w:p>
        </w:tc>
        <w:tc>
          <w:tcPr>
            <w:tcW w:w="1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540" w:type="dxa"/>
            <w:vAlign w:val="bottom"/>
            <w:tcBorders>
              <w:right w:val="single" w:sz="8" w:color="EEEEEE"/>
            </w:tcBorders>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39,378</w:t>
            </w:r>
          </w:p>
        </w:tc>
        <w:tc>
          <w:tcPr>
            <w:tcW w:w="60" w:type="dxa"/>
            <w:vAlign w:val="bottom"/>
            <w:shd w:val="clear" w:color="auto" w:fill="EEEEEE"/>
          </w:tcPr>
          <w:p>
            <w:pPr>
              <w:spacing w:after="0"/>
              <w:rPr>
                <w:sz w:val="14"/>
                <w:szCs w:val="14"/>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6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29,692</w:t>
            </w:r>
          </w:p>
        </w:tc>
        <w:tc>
          <w:tcPr>
            <w:tcW w:w="3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180" w:type="dxa"/>
            <w:vAlign w:val="bottom"/>
            <w:tcBorders>
              <w:right w:val="single" w:sz="8" w:color="EEEEEE"/>
            </w:tcBorders>
            <w:shd w:val="clear" w:color="auto" w:fill="EEEEEE"/>
          </w:tcPr>
          <w:p>
            <w:pPr>
              <w:spacing w:after="0"/>
              <w:rPr>
                <w:sz w:val="14"/>
                <w:szCs w:val="14"/>
                <w:color w:val="auto"/>
              </w:rPr>
            </w:pPr>
          </w:p>
        </w:tc>
        <w:tc>
          <w:tcPr>
            <w:tcW w:w="820" w:type="dxa"/>
            <w:vAlign w:val="bottom"/>
            <w:gridSpan w:val="3"/>
            <w:shd w:val="clear" w:color="auto" w:fill="EEEEEE"/>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30,086</w:t>
            </w:r>
          </w:p>
        </w:tc>
        <w:tc>
          <w:tcPr>
            <w:tcW w:w="3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Compensation expense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grant of options</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242,548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242,548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Deferred compensation</w:t>
            </w:r>
          </w:p>
        </w:tc>
        <w:tc>
          <w:tcPr>
            <w:tcW w:w="1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50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171,343</w:t>
            </w:r>
          </w:p>
        </w:tc>
        <w:tc>
          <w:tcPr>
            <w:tcW w:w="3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820" w:type="dxa"/>
            <w:vAlign w:val="bottom"/>
            <w:gridSpan w:val="3"/>
            <w:shd w:val="clear" w:color="auto" w:fill="EEEEEE"/>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(171,343)</w:t>
            </w: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Amortization of deferred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251,208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80" w:type="dxa"/>
            <w:vAlign w:val="bottom"/>
            <w:tcBorders>
              <w:right w:val="single" w:sz="8" w:color="EEEEEE"/>
            </w:tcBorders>
            <w:shd w:val="clear" w:color="auto" w:fill="EEEEEE"/>
          </w:tcPr>
          <w:p>
            <w:pPr>
              <w:spacing w:after="0"/>
              <w:rPr>
                <w:sz w:val="12"/>
                <w:szCs w:val="12"/>
                <w:color w:val="auto"/>
              </w:rPr>
            </w:pPr>
          </w:p>
        </w:tc>
        <w:tc>
          <w:tcPr>
            <w:tcW w:w="50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EEEEEE"/>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(12,290,752)</w:t>
            </w: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820" w:type="dxa"/>
            <w:vAlign w:val="bottom"/>
            <w:gridSpan w:val="3"/>
            <w:shd w:val="clear" w:color="auto" w:fill="EEEEEE"/>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3"/>
              </w:rPr>
              <w:t>(12,290,752)</w:t>
            </w:r>
          </w:p>
        </w:tc>
        <w:tc>
          <w:tcPr>
            <w:tcW w:w="0" w:type="dxa"/>
            <w:vAlign w:val="bottom"/>
          </w:tcPr>
          <w:p>
            <w:pPr>
              <w:spacing w:after="0"/>
              <w:rPr>
                <w:sz w:val="1"/>
                <w:szCs w:val="1"/>
                <w:color w:val="auto"/>
              </w:rPr>
            </w:pPr>
          </w:p>
        </w:tc>
      </w:tr>
      <w:tr>
        <w:trPr>
          <w:trHeight w:val="108"/>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Balances, December 31,</w:t>
            </w: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4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2003</w:t>
            </w:r>
          </w:p>
        </w:tc>
        <w:tc>
          <w:tcPr>
            <w:tcW w:w="12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40,998,858</w:t>
            </w:r>
          </w:p>
        </w:tc>
        <w:tc>
          <w:tcPr>
            <w:tcW w:w="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$409,988</w:t>
            </w:r>
          </w:p>
        </w:tc>
        <w:tc>
          <w:tcPr>
            <w:tcW w:w="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$170,406,393</w:t>
            </w:r>
          </w:p>
        </w:tc>
        <w:tc>
          <w:tcPr>
            <w:tcW w:w="380" w:type="dxa"/>
            <w:vAlign w:val="bottom"/>
          </w:tcPr>
          <w:p>
            <w:pPr>
              <w:spacing w:after="0"/>
              <w:rPr>
                <w:sz w:val="15"/>
                <w:szCs w:val="15"/>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$(158,874,915)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(977,908)</w:t>
            </w:r>
          </w:p>
        </w:tc>
        <w:tc>
          <w:tcPr>
            <w:tcW w:w="44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10,963,558</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Restated</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preferred dividends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6"/>
              </w:rPr>
              <w:t>(12,290,752)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(11,644,255)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(4,021,497)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loss to net cash used in operating</w:t>
            </w: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60" w:type="dxa"/>
            <w:vAlign w:val="bottom"/>
            <w:tcBorders>
              <w:right w:val="single" w:sz="8" w:color="EEEEEE"/>
            </w:tcBorders>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1,013,133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402,190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648,273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251,208</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(469,089)</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1,242,408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Issue of options in exchange for services</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602,613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563,872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Gain on sale of short-term investments</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(7,782,398)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sale of rights to technology</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6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(4,831)</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(75,740)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(77,219)</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258,807</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162,873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net</w:t>
            </w:r>
          </w:p>
        </w:tc>
        <w:tc>
          <w:tcPr>
            <w:tcW w:w="38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(277,863)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(379,572)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725,673</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(147,523)</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(1,919,195)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wind-down expenses</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1,891,620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437,833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797,673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660"/>
              <w:spacing w:after="0"/>
              <w:rPr>
                <w:sz w:val="20"/>
                <w:szCs w:val="20"/>
                <w:color w:val="auto"/>
              </w:rPr>
            </w:pPr>
            <w:r>
              <w:rPr>
                <w:rFonts w:ascii="Times New Roman" w:cs="Times New Roman" w:eastAsia="Times New Roman" w:hAnsi="Times New Roman"/>
                <w:sz w:val="18"/>
                <w:szCs w:val="18"/>
                <w:color w:val="auto"/>
              </w:rPr>
              <w:t>Deferred rent</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(429,218)</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1,123,943</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191,586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Deposits and other long term liabilities</w:t>
            </w: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128,180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(8,543,196)</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(10,087,305)</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w w:val="94"/>
              </w:rPr>
              <w:t>(10,515,967)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7,782,398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(189,733)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(222,335)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on sale of fixed assets</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other assets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from sale of rights to technology, net</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4"/>
                <w:szCs w:val="24"/>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(189,733)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(222,335)</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7,738,528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16,130,347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1,128,644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5,852,573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157,682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from issuance of preferred stock, net</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4,727,515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debt and lease obligations</w:t>
            </w:r>
          </w:p>
        </w:tc>
        <w:tc>
          <w:tcPr>
            <w:tcW w:w="38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(229,167)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(289,167)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(332,083)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17,578,265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848,812</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10,405,687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8,845,336</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(9,460,828)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7,628,248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4,236,367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13,697,195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6,068,947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13,081,703</w:t>
            </w:r>
          </w:p>
        </w:tc>
        <w:tc>
          <w:tcPr>
            <w:tcW w:w="4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4,236,367</w:t>
            </w:r>
          </w:p>
        </w:tc>
        <w:tc>
          <w:tcPr>
            <w:tcW w:w="3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13,697,195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207,112</w:t>
            </w:r>
          </w:p>
        </w:tc>
        <w:tc>
          <w:tcPr>
            <w:tcW w:w="4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226,723</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Non-cash investing and financing activities are excluded from the consolidated statement of cash flows. For fiscal 2001, 1,000 shares of the 3% cumulative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convertible preferred stock was converted for 500,125 shares of the Company’s common stock with a market value of $906,500. For fiscal 2002, 1,500 shares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cumulative convertible preferred stock including accumulated dividends was converted for 1,252,444 shares of common stock with a market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$1,505,707. The total of the accumulated dividends was $222,457. For fiscal 2003, 4,000 shares of the 3% cumulative convertible preferred stock was converted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3,500,000 shares of the Company’s common stock with a market value of $4,725,597. Accumulated dividends of $68,497 was paid with 49,809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stock. Accretion of redeemable convertible preferred stock for 2003, 2002 and 2001 was $1,067,579, $1,280,004, and $743,667 respectively. A deemed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of $998,332 was recorded in 2003 relating to the beneficial conversion.</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00"/>
          </w:cols>
          <w:pgMar w:left="240" w:top="415" w:right="259" w:bottom="89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896"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2003</w:t>
      </w:r>
    </w:p>
    <w:p>
      <w:pPr>
        <w:spacing w:after="0" w:line="252" w:lineRule="exact"/>
        <w:rPr>
          <w:sz w:val="20"/>
          <w:szCs w:val="20"/>
          <w:color w:val="auto"/>
        </w:rPr>
      </w:pPr>
    </w:p>
    <w:p>
      <w:pPr>
        <w:ind w:right="7660" w:firstLine="8"/>
        <w:spacing w:after="0" w:line="517" w:lineRule="auto"/>
        <w:tabs>
          <w:tab w:leader="none" w:pos="45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spacing w:after="0" w:line="2" w:lineRule="exact"/>
        <w:rPr>
          <w:sz w:val="20"/>
          <w:szCs w:val="20"/>
          <w:color w:val="auto"/>
        </w:rPr>
      </w:pPr>
    </w:p>
    <w:p>
      <w:pPr>
        <w:ind w:right="360" w:firstLine="324"/>
        <w:spacing w:after="0" w:line="275" w:lineRule="auto"/>
        <w:rPr>
          <w:sz w:val="20"/>
          <w:szCs w:val="20"/>
          <w:color w:val="auto"/>
        </w:rPr>
      </w:pPr>
      <w:r>
        <w:rPr>
          <w:rFonts w:ascii="Times New Roman" w:cs="Times New Roman" w:eastAsia="Times New Roman" w:hAnsi="Times New Roman"/>
          <w:sz w:val="18"/>
          <w:szCs w:val="18"/>
          <w:color w:val="auto"/>
        </w:rPr>
        <w:t>StemCells, Inc. (the “Company”) is a biopharmaceutical company that operates in one segment, engaged in the development of novel stem cell therapies designed to treat human diseases and disorders.</w:t>
      </w:r>
    </w:p>
    <w:p>
      <w:pPr>
        <w:spacing w:after="0" w:line="201" w:lineRule="exact"/>
        <w:rPr>
          <w:sz w:val="20"/>
          <w:szCs w:val="20"/>
          <w:color w:val="auto"/>
        </w:rPr>
      </w:pPr>
    </w:p>
    <w:p>
      <w:pPr>
        <w:jc w:val="both"/>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will continue as a going concern. Since inception, the Company has incurred annual losses and negative cash flows from operations and has an accumulated deficit of approximately $158.9 million at December 31, 2003. The Company has not derived revenues from the sale of products, and does not expect to receive revenues from product sales for at least several years. It may not be able to realize sufficient revenues to achieve or sustain profitability in the future.</w:t>
      </w:r>
    </w:p>
    <w:p>
      <w:pPr>
        <w:spacing w:after="0" w:line="217"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StemCells expects to incur additional operating losses over the next several years. The Company has very limited liquidity and capital resources and must obtain significant additional capital resources in order to sustain its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StemCells relies on cash reserves and proceeds from equity and debt offerings, proceeds from the transfer or sale of intellectual property rights, equipment, facilities or investments, and government grants and funding from collaborative arrangements, if obtainable, to fund its operations. If the Company exhausts its cash reserves and is unable to realize adequate financing, it may be unable to meet operating obligations and be required to initiate bankruptcy proceedings. The Company’s existing capital resources are only sufficient to fund our operations through the end of 2004. These conditions raise doubt about StemCells’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4" w:lineRule="exact"/>
        <w:rPr>
          <w:sz w:val="20"/>
          <w:szCs w:val="20"/>
          <w:color w:val="auto"/>
        </w:rPr>
      </w:pPr>
    </w:p>
    <w:p>
      <w:pPr>
        <w:ind w:right="620" w:firstLine="324"/>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Consolidated Financial Statements</w:t>
      </w:r>
    </w:p>
    <w:p>
      <w:pPr>
        <w:spacing w:after="0" w:line="254"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6"/>
          <w:szCs w:val="16"/>
          <w:color w:val="auto"/>
        </w:rPr>
        <w:t>The Company has restated its consolidated financial statements for the years ended December 31, 2002 and December 31, 2001. The Company determined that it needed to restate the treatment of its continuing cost of operating the Company’s former corporate headquarters in Rhode Island in line with applicable accounting guidance, including EITF issue 94-3 — “Liability Recognition for Certain Employee Termination Benefits and Other Costs to Exit an Activity.” EITF issue 94-3 requires that, instead of expensing costs as incurred, the Company accrue what it can reasonably estimate its cost to be until it subleases assigns or sells its remaining interest in the facility. Accordingly, in its restated financial statements for the years ended December 31, 2002 and 2001, based on information estimated as of those dates, the Company has accrued $775,000 and $575,000, respectively, as wind-down expenses. (See note 9 to the financial statements).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an amendment to the Company’s lease on its current facilities in California, part of the lease incentive amounting to $1,079,201 had been recognized as income received in 2002 instead of being deferred and recognized over the remaining lease period as per generally accepted accounting principles in the US. The consolidated financial statements for the year ended December 31, 2002 have been restated to defer this amount at December 31, 2002. (See note 6 to the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380" w:firstLine="324"/>
        <w:spacing w:after="0" w:line="275" w:lineRule="auto"/>
        <w:rPr>
          <w:sz w:val="20"/>
          <w:szCs w:val="20"/>
          <w:color w:val="auto"/>
        </w:rPr>
      </w:pPr>
      <w:r>
        <w:rPr>
          <w:rFonts w:ascii="Times New Roman" w:cs="Times New Roman" w:eastAsia="Times New Roman" w:hAnsi="Times New Roman"/>
          <w:sz w:val="18"/>
          <w:szCs w:val="18"/>
          <w:color w:val="auto"/>
        </w:rPr>
        <w:t>In addition, in the Consolidated Statements of Operations for the year ended December 31, 2002, the line for “Dividends to preferred shareholders” was inadvertently omitted.</w:t>
      </w:r>
    </w:p>
    <w:p>
      <w:pPr>
        <w:spacing w:after="0" w:line="201" w:lineRule="exact"/>
        <w:rPr>
          <w:sz w:val="20"/>
          <w:szCs w:val="20"/>
          <w:color w:val="auto"/>
        </w:rPr>
      </w:pPr>
    </w:p>
    <w:p>
      <w:pPr>
        <w:jc w:val="both"/>
        <w:ind w:right="40" w:firstLine="324"/>
        <w:spacing w:after="0" w:line="275" w:lineRule="auto"/>
        <w:rPr>
          <w:sz w:val="20"/>
          <w:szCs w:val="20"/>
          <w:color w:val="auto"/>
        </w:rPr>
      </w:pPr>
      <w:r>
        <w:rPr>
          <w:rFonts w:ascii="Times New Roman" w:cs="Times New Roman" w:eastAsia="Times New Roman" w:hAnsi="Times New Roman"/>
          <w:sz w:val="18"/>
          <w:szCs w:val="18"/>
          <w:color w:val="auto"/>
        </w:rPr>
        <w:t>The restatements increased the net loss applicable to common shareholders in fiscal 2001 by $575,000 or $0.03 per share. The net impact of the restatements in fiscal 2002 increase net loss applicable to common shareholders by $1,631,000 or $0.06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4"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 The significant estimates include the accrued wind-down expenses and valuation allowance against deferred tax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4" w:lineRule="exact"/>
        <w:rPr>
          <w:sz w:val="20"/>
          <w:szCs w:val="20"/>
          <w:color w:val="auto"/>
        </w:rPr>
      </w:pPr>
    </w:p>
    <w:p>
      <w:pPr>
        <w:ind w:right="460" w:firstLine="324"/>
        <w:spacing w:after="0" w:line="275" w:lineRule="auto"/>
        <w:rPr>
          <w:sz w:val="20"/>
          <w:szCs w:val="20"/>
          <w:color w:val="auto"/>
        </w:rPr>
      </w:pPr>
      <w:r>
        <w:rPr>
          <w:rFonts w:ascii="Times New Roman" w:cs="Times New Roman" w:eastAsia="Times New Roman" w:hAnsi="Times New Roman"/>
          <w:sz w:val="18"/>
          <w:szCs w:val="18"/>
          <w:color w:val="auto"/>
        </w:rPr>
        <w:t>The Company considers cash equivalents to be only those investments that are highly liquid, readily convertible to cash and which mature within three months from the date of 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 At December 31, 2000, the Company owned 126,193 shares of Modex Therapeutics Ltd (“Modex”). The Company sold all of its shares of Modex in 2001 for a realized gain of $7.8 million. The Company no longer holds any available-for-sale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54"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The Company has no items of other comprehensive income therefore comprehensive income (loss) equals net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54"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3 - 15</w:t>
            </w:r>
          </w:p>
        </w:tc>
        <w:tc>
          <w:tcPr>
            <w:tcW w:w="90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3 - 10</w:t>
            </w:r>
          </w:p>
        </w:tc>
        <w:tc>
          <w:tcPr>
            <w:tcW w:w="900" w:type="dxa"/>
            <w:vAlign w:val="bottom"/>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Leasehold improvements are amortized on a straight-line basis over the shorter of their estimated useful lives or lease terms.</w:t>
      </w:r>
    </w:p>
    <w:p>
      <w:pPr>
        <w:spacing w:after="0" w:line="25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Statement is initially applied, the related long-lived assets shall be reclassified as held and used. At December 31, 2002, the criteria under FAS No. 144 for classifying the Company’s long-lived assets held for sale were not met and accordingly, such assets with a fair value of $3,203,491 at December 31, 2001 were reclassified as held and used on the balance sheet for all periods presented and are included in Property, Plant and Equipment, net.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and License Costs</w:t>
      </w:r>
    </w:p>
    <w:p>
      <w:pPr>
        <w:spacing w:after="0" w:line="2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fiscal year 2001, the Company capitalized certain patent costs related to patent applications. Accumulated costs were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Effective since 2001 the Company expenses all patent costs as incurred. At December 31, 2003 and 2002, total capitalized costs were $980,000 and the related accumulated amortization was $236,000 and $180,000, respectively. Patent related expenses totaled $665,000, $650,000, and $647,000 in 2003, 2002 and 2001 respectively. License costs are capitalized and amortized over the period of the license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and in accordance with APB 25, the Company recognizes no compensation expense for such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we had applied the fair value recognition provisions of FAS 123 to stock-based employee compensation:</w:t>
      </w:r>
    </w:p>
    <w:p>
      <w:pPr>
        <w:spacing w:after="0" w:line="200" w:lineRule="exact"/>
        <w:rPr>
          <w:sz w:val="20"/>
          <w:szCs w:val="20"/>
          <w:color w:val="auto"/>
        </w:rPr>
      </w:pP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2001</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Restated</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Restated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Net loss applicable to common stockholders — as</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reported</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(14,425,160)</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4"/>
              </w:rPr>
              <w:t>(13,275,986)</w:t>
            </w: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7"/>
              </w:rPr>
              <w:t>(5,567,414)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Stock-based employee/ director</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 included in reported net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242,548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491,706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Deduct: Total stock-based employee/director</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compensation expense under the fair value based</w:t>
            </w:r>
          </w:p>
        </w:tc>
        <w:tc>
          <w:tcPr>
            <w:tcW w:w="40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method for all awards</w:t>
            </w:r>
          </w:p>
        </w:tc>
        <w:tc>
          <w:tcPr>
            <w:tcW w:w="4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(960,166)</w:t>
            </w:r>
          </w:p>
        </w:tc>
        <w:tc>
          <w:tcPr>
            <w:tcW w:w="2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(619,631)</w:t>
            </w:r>
          </w:p>
        </w:tc>
        <w:tc>
          <w:tcPr>
            <w:tcW w:w="2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7"/>
              </w:rPr>
              <w:t>(2,246,983)</w:t>
            </w:r>
          </w:p>
        </w:tc>
        <w:tc>
          <w:tcPr>
            <w:tcW w:w="0" w:type="dxa"/>
            <w:vAlign w:val="bottom"/>
          </w:tcPr>
          <w:p>
            <w:pPr>
              <w:spacing w:after="0"/>
              <w:rPr>
                <w:sz w:val="1"/>
                <w:szCs w:val="1"/>
                <w:color w:val="auto"/>
              </w:rPr>
            </w:pPr>
          </w:p>
        </w:tc>
      </w:tr>
      <w:tr>
        <w:trPr>
          <w:trHeight w:val="10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 — pro</w:t>
            </w: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(15,142,778)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(13,752,615)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(7,322,691)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share applicable to</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common stockholders — as reported</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(0.45)</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(0.53)</w:t>
            </w: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share applicable to</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stockholders — pro forma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Shares used in Basic and Diluted loss per share</w:t>
            </w:r>
          </w:p>
        </w:tc>
        <w:tc>
          <w:tcPr>
            <w:tcW w:w="400" w:type="dxa"/>
            <w:vAlign w:val="bottom"/>
            <w:shd w:val="clear" w:color="auto" w:fill="EEEEEE"/>
          </w:tcPr>
          <w:p>
            <w:pPr>
              <w:spacing w:after="0"/>
              <w:rPr>
                <w:sz w:val="17"/>
                <w:szCs w:val="17"/>
                <w:color w:val="auto"/>
              </w:rPr>
            </w:pPr>
          </w:p>
        </w:tc>
        <w:tc>
          <w:tcPr>
            <w:tcW w:w="86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amounts</w:t>
            </w:r>
          </w:p>
        </w:tc>
        <w:tc>
          <w:tcPr>
            <w:tcW w:w="400" w:type="dxa"/>
            <w:vAlign w:val="bottom"/>
            <w:shd w:val="clear" w:color="auto" w:fill="EEEEEE"/>
          </w:tcPr>
          <w:p>
            <w:pPr>
              <w:spacing w:after="0"/>
              <w:rPr>
                <w:sz w:val="20"/>
                <w:szCs w:val="20"/>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32,080,233</w:t>
            </w:r>
          </w:p>
        </w:tc>
        <w:tc>
          <w:tcPr>
            <w:tcW w:w="3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25,096,252</w:t>
            </w: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22,241,564</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21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stock options granted to non-employees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Lived Assets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4" w:lineRule="exact"/>
        <w:rPr>
          <w:sz w:val="20"/>
          <w:szCs w:val="20"/>
          <w:color w:val="auto"/>
        </w:rPr>
      </w:pPr>
    </w:p>
    <w:p>
      <w:pPr>
        <w:ind w:right="120" w:firstLine="324"/>
        <w:spacing w:after="0" w:line="339" w:lineRule="auto"/>
        <w:rPr>
          <w:sz w:val="20"/>
          <w:szCs w:val="20"/>
          <w:color w:val="auto"/>
        </w:rPr>
      </w:pPr>
      <w:r>
        <w:rPr>
          <w:rFonts w:ascii="Times New Roman" w:cs="Times New Roman" w:eastAsia="Times New Roman" w:hAnsi="Times New Roman"/>
          <w:sz w:val="16"/>
          <w:szCs w:val="16"/>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currently enacted tax rates and laws. Deferred</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assets may be reduced by a valuation allowance to reflect the uncertainty associated with their ultimate realization.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firstLine="324"/>
        <w:spacing w:after="0" w:line="288" w:lineRule="auto"/>
        <w:rPr>
          <w:sz w:val="20"/>
          <w:szCs w:val="20"/>
          <w:color w:val="auto"/>
        </w:rPr>
      </w:pPr>
      <w:r>
        <w:rPr>
          <w:rFonts w:ascii="Times New Roman" w:cs="Times New Roman" w:eastAsia="Times New Roman" w:hAnsi="Times New Roman"/>
          <w:sz w:val="16"/>
          <w:szCs w:val="16"/>
          <w:color w:val="auto"/>
        </w:rPr>
        <w:t>In June 2002, the FASB issued SFAS No. 146, Accounting for Costs Associated with Exit or Disposal Activities. SFAS No. 146 provides guidance related to accounting for costs associated with disposal activities covered by SFAS No. 144 and with one-time termination benefits and other exit or restructuring activities previously covered by Emerging Issues Task Force (“EITF”) Issue No. 94-3, Liability Recognition for Certain Employee Termination Benefits and Other Costs to Exit an Activity (including Certain Costs Incurred in a Restructuring). SFAS No. 146 supersedes EITF Issue No. 94-3 in its entirety. Under SFAS No. 146, the following conditions must be met for an action to qualify as an exit or disposal plan: management having the authority to approve the action commits to a plan of termination; the plan identifies the number of employees to be terminated, their job classifications or functions and their locations, and the expected completion date; the plan establishes the terms of the benefit arrangement including the benefits that employees will receive upon termination (including but not limited to cash payments) in sufficient detail to enable employees to determine the type and amount of benefits they will receive if they are involuntarily terminated; and actions required to complete the plan indicate that it is unlikely that significant changes to the plan will be made or that the plan will be withdrawn. SFAS No. 146 was effective in 2003 and is applied prospectively to qualifying exit or disposal activities initiated after December 31, 2002.</w:t>
      </w:r>
    </w:p>
    <w:p>
      <w:pPr>
        <w:spacing w:after="0" w:line="196" w:lineRule="exact"/>
        <w:rPr>
          <w:sz w:val="20"/>
          <w:szCs w:val="20"/>
          <w:color w:val="auto"/>
        </w:rPr>
      </w:pPr>
    </w:p>
    <w:p>
      <w:pPr>
        <w:ind w:right="20" w:firstLine="324"/>
        <w:spacing w:after="0" w:line="288" w:lineRule="auto"/>
        <w:rPr>
          <w:sz w:val="20"/>
          <w:szCs w:val="20"/>
          <w:color w:val="auto"/>
        </w:rPr>
      </w:pPr>
      <w:r>
        <w:rPr>
          <w:rFonts w:ascii="Times New Roman" w:cs="Times New Roman" w:eastAsia="Times New Roman" w:hAnsi="Times New Roman"/>
          <w:sz w:val="16"/>
          <w:szCs w:val="16"/>
          <w:color w:val="auto"/>
        </w:rPr>
        <w:t>In January 2003, the FASB issued FASB Interpretation No. 46 “Consolidation of Variable Interest Entities, an interpretation of ARB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June 15, 2003. In addition, FIN 46 requires that the company make disclosures in its consolidated financial statements for the year ended December 31, 2002 when the company believes it is reasonably possible that it will consolidate or disclose information about variable interest entities after FIN 46 becomes effective. In December 2003, FASB issued a revised FIN 46. The FASB deferred the effective date for VIEs that are non-special purpose entities created before February 1, 2003 to the first interim or annual reporting period that ends after March 15, 2004. At this time, we do not believe it is reasonably possible that we will consolidate or disclose information about VIEs. However, we will continue to assess the impact of FIN 46 on our consolidated financial statements.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2003, the FASB issued SFAS No. 150, Accounting for Certain Financial Instruments with Characteristics of Both Liabilities and Equity,</w:t>
      </w:r>
    </w:p>
    <w:p>
      <w:pPr>
        <w:spacing w:after="0" w:line="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(“SFAS 150”). SFAS 150 establishes standards for classifying and measuring as liabilities certain financial instruments that embody obligations of the issuer and have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auto"/>
        </w:rPr>
        <w:t>characteristics of both liabilities and equity. SFAS 150 must be applied immediately to instruments entered into or modified after May 31, 2003. The adoption of SFAS 150 did not have a material effect on our results of operations or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54" w:lineRule="exact"/>
        <w:rPr>
          <w:sz w:val="20"/>
          <w:szCs w:val="20"/>
          <w:color w:val="auto"/>
        </w:rPr>
      </w:pPr>
    </w:p>
    <w:p>
      <w:pPr>
        <w:ind w:right="440" w:firstLine="324"/>
        <w:spacing w:after="0" w:line="275"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54" w:lineRule="exact"/>
        <w:rPr>
          <w:sz w:val="20"/>
          <w:szCs w:val="20"/>
          <w:color w:val="auto"/>
        </w:rPr>
      </w:pPr>
    </w:p>
    <w:p>
      <w:pPr>
        <w:jc w:val="both"/>
        <w:ind w:right="80" w:firstLine="324"/>
        <w:spacing w:after="0" w:line="262" w:lineRule="auto"/>
        <w:rPr>
          <w:sz w:val="20"/>
          <w:szCs w:val="20"/>
          <w:color w:val="auto"/>
        </w:rPr>
      </w:pPr>
      <w:r>
        <w:rPr>
          <w:rFonts w:ascii="Times New Roman" w:cs="Times New Roman" w:eastAsia="Times New Roman" w:hAnsi="Times New Roman"/>
          <w:sz w:val="18"/>
          <w:szCs w:val="18"/>
          <w:color w:val="auto"/>
        </w:rPr>
        <w:t>Basic and diluted net loss per share has been computed using the weighted-average number of shares of common stock outstanding during the period. Basic earnings per share excludes any dilutive effects of options, shares subject to repurchase, warrants and convertible securities. Diluted earnings per share includes the impact of potentially dilutive securities.</w:t>
      </w:r>
    </w:p>
    <w:p>
      <w:pPr>
        <w:spacing w:after="0" w:line="40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5"/>
        </w:trPr>
        <w:tc>
          <w:tcPr>
            <w:tcW w:w="57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63"/>
        </w:trPr>
        <w:tc>
          <w:tcPr>
            <w:tcW w:w="5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2002</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2001</w:t>
            </w:r>
          </w:p>
        </w:tc>
      </w:tr>
      <w:tr>
        <w:trPr>
          <w:trHeight w:val="95"/>
        </w:trPr>
        <w:tc>
          <w:tcPr>
            <w:tcW w:w="57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gridSpan w:val="2"/>
          </w:tcPr>
          <w:p>
            <w:pPr>
              <w:spacing w:after="0"/>
              <w:rPr>
                <w:sz w:val="8"/>
                <w:szCs w:val="8"/>
                <w:color w:val="auto"/>
              </w:rPr>
            </w:pPr>
          </w:p>
        </w:tc>
      </w:tr>
      <w:tr>
        <w:trPr>
          <w:trHeight w:val="233"/>
        </w:trPr>
        <w:tc>
          <w:tcPr>
            <w:tcW w:w="5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Restated</w:t>
            </w:r>
          </w:p>
        </w:tc>
        <w:tc>
          <w:tcPr>
            <w:tcW w:w="1220" w:type="dxa"/>
            <w:vAlign w:val="bottom"/>
            <w:gridSpan w:val="2"/>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49"/>
        </w:trPr>
        <w:tc>
          <w:tcPr>
            <w:tcW w:w="5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thousands, except per share</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5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amounts)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5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EEEEE"/>
          </w:tcPr>
          <w:p>
            <w:pPr>
              <w:jc w:val="right"/>
              <w:ind w:right="57"/>
              <w:spacing w:after="0"/>
              <w:rPr>
                <w:sz w:val="20"/>
                <w:szCs w:val="20"/>
                <w:color w:val="auto"/>
              </w:rPr>
            </w:pPr>
            <w:r>
              <w:rPr>
                <w:rFonts w:ascii="Times New Roman" w:cs="Times New Roman" w:eastAsia="Times New Roman" w:hAnsi="Times New Roman"/>
                <w:sz w:val="18"/>
                <w:szCs w:val="18"/>
                <w:color w:val="auto"/>
                <w:w w:val="94"/>
              </w:rPr>
              <w:t>(14,425)</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EEEEE"/>
          </w:tcPr>
          <w:p>
            <w:pPr>
              <w:jc w:val="right"/>
              <w:ind w:right="217"/>
              <w:spacing w:after="0"/>
              <w:rPr>
                <w:sz w:val="20"/>
                <w:szCs w:val="20"/>
                <w:color w:val="auto"/>
              </w:rPr>
            </w:pPr>
            <w:r>
              <w:rPr>
                <w:rFonts w:ascii="Times New Roman" w:cs="Times New Roman" w:eastAsia="Times New Roman" w:hAnsi="Times New Roman"/>
                <w:sz w:val="18"/>
                <w:szCs w:val="18"/>
                <w:color w:val="auto"/>
                <w:w w:val="97"/>
              </w:rPr>
              <w:t>(13,276)</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ind w:right="237"/>
              <w:spacing w:after="0"/>
              <w:rPr>
                <w:sz w:val="20"/>
                <w:szCs w:val="20"/>
                <w:color w:val="auto"/>
              </w:rPr>
            </w:pPr>
            <w:r>
              <w:rPr>
                <w:rFonts w:ascii="Times New Roman" w:cs="Times New Roman" w:eastAsia="Times New Roman" w:hAnsi="Times New Roman"/>
                <w:sz w:val="18"/>
                <w:szCs w:val="18"/>
                <w:color w:val="auto"/>
                <w:w w:val="98"/>
              </w:rPr>
              <w:t>(5,567)</w:t>
            </w:r>
          </w:p>
        </w:tc>
      </w:tr>
      <w:tr>
        <w:trPr>
          <w:trHeight w:val="202"/>
        </w:trPr>
        <w:tc>
          <w:tcPr>
            <w:tcW w:w="5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 loss per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amounts</w:t>
            </w:r>
          </w:p>
        </w:tc>
        <w:tc>
          <w:tcPr>
            <w:tcW w:w="460" w:type="dxa"/>
            <w:vAlign w:val="bottom"/>
          </w:tcPr>
          <w:p>
            <w:pPr>
              <w:spacing w:after="0"/>
              <w:rPr>
                <w:sz w:val="19"/>
                <w:szCs w:val="19"/>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32,080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25,096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w w:val="92"/>
              </w:rPr>
              <w:t>22,242</w:t>
            </w:r>
          </w:p>
        </w:tc>
      </w:tr>
      <w:tr>
        <w:trPr>
          <w:trHeight w:val="218"/>
        </w:trPr>
        <w:tc>
          <w:tcPr>
            <w:tcW w:w="5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and diluted net loss per share applicable to common stockholders</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EEEEE"/>
          </w:tcPr>
          <w:p>
            <w:pPr>
              <w:jc w:val="right"/>
              <w:ind w:right="57"/>
              <w:spacing w:after="0"/>
              <w:rPr>
                <w:sz w:val="20"/>
                <w:szCs w:val="20"/>
                <w:color w:val="auto"/>
              </w:rPr>
            </w:pPr>
            <w:r>
              <w:rPr>
                <w:rFonts w:ascii="Times New Roman" w:cs="Times New Roman" w:eastAsia="Times New Roman" w:hAnsi="Times New Roman"/>
                <w:sz w:val="18"/>
                <w:szCs w:val="18"/>
                <w:color w:val="auto"/>
              </w:rPr>
              <w:t>(0.45)</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EEEEE"/>
          </w:tcPr>
          <w:p>
            <w:pPr>
              <w:jc w:val="right"/>
              <w:ind w:right="217"/>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EEEEE"/>
          </w:tcPr>
          <w:p>
            <w:pPr>
              <w:jc w:val="right"/>
              <w:ind w:right="237"/>
              <w:spacing w:after="0"/>
              <w:rPr>
                <w:sz w:val="20"/>
                <w:szCs w:val="20"/>
                <w:color w:val="auto"/>
              </w:rPr>
            </w:pPr>
            <w:r>
              <w:rPr>
                <w:rFonts w:ascii="Times New Roman" w:cs="Times New Roman" w:eastAsia="Times New Roman" w:hAnsi="Times New Roman"/>
                <w:sz w:val="18"/>
                <w:szCs w:val="18"/>
                <w:color w:val="auto"/>
              </w:rPr>
              <w:t>(0.25)</w:t>
            </w:r>
          </w:p>
        </w:tc>
      </w:tr>
    </w:tbl>
    <w:p>
      <w:pPr>
        <w:spacing w:after="0" w:line="229"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3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2003</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60" w:type="dxa"/>
            <w:vAlign w:val="bottom"/>
            <w:shd w:val="clear" w:color="auto" w:fill="EEEEEE"/>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2,856,192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36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5,025,374</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4,294,050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3,652,560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360" w:type="dxa"/>
            <w:vAlign w:val="bottom"/>
            <w:shd w:val="clear" w:color="auto" w:fill="EEEEEE"/>
          </w:tcPr>
          <w:p>
            <w:pPr>
              <w:jc w:val="right"/>
              <w:ind w:right="237"/>
              <w:spacing w:after="0"/>
              <w:rPr>
                <w:sz w:val="20"/>
                <w:szCs w:val="20"/>
                <w:color w:val="auto"/>
              </w:rPr>
            </w:pPr>
            <w:r>
              <w:rPr>
                <w:rFonts w:ascii="Times New Roman" w:cs="Times New Roman" w:eastAsia="Times New Roman" w:hAnsi="Times New Roman"/>
                <w:sz w:val="18"/>
                <w:szCs w:val="18"/>
                <w:color w:val="auto"/>
              </w:rPr>
              <w:t>2,101,074</w:t>
            </w:r>
          </w:p>
        </w:tc>
        <w:tc>
          <w:tcPr>
            <w:tcW w:w="156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1,074,593</w:t>
            </w:r>
          </w:p>
        </w:tc>
        <w:tc>
          <w:tcPr>
            <w:tcW w:w="220" w:type="dxa"/>
            <w:vAlign w:val="bottom"/>
            <w:shd w:val="clear" w:color="auto" w:fill="EEEEEE"/>
          </w:tcPr>
          <w:p>
            <w:pPr>
              <w:spacing w:after="0"/>
              <w:rPr>
                <w:sz w:val="18"/>
                <w:szCs w:val="18"/>
                <w:color w:val="auto"/>
              </w:rPr>
            </w:pPr>
          </w:p>
        </w:tc>
        <w:tc>
          <w:tcPr>
            <w:tcW w:w="13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1,056,687</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54"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201"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6"/>
          <w:szCs w:val="16"/>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 On June 23, 2000, Modex completed an initial public offering of its common stock. At December 31, 2000, the Company owned 126,193 shares of Modex. On January 9, 2001, the Company sold 22,616 Modex shares for a net price of 182.00 Swiss francs per share, which converts to $112.76 per share, for total proceeds of $2,550,230. On May 1,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1" w:name="page52"/>
    <w:bookmarkEnd w:id="51"/>
    <w:p>
      <w:pPr>
        <w:spacing w:after="0" w:line="9"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2"/>
                <w:szCs w:val="22"/>
                <w:color w:val="auto"/>
              </w:rPr>
            </w:pPr>
          </w:p>
        </w:tc>
        <w:tc>
          <w:tcPr>
            <w:tcW w:w="17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$ 3,918,889</w:t>
            </w:r>
          </w:p>
        </w:tc>
        <w:tc>
          <w:tcPr>
            <w:tcW w:w="60" w:type="dxa"/>
            <w:vAlign w:val="bottom"/>
            <w:shd w:val="clear" w:color="auto" w:fill="EEEEEE"/>
          </w:tcPr>
          <w:p>
            <w:pPr>
              <w:spacing w:after="0"/>
              <w:rPr>
                <w:sz w:val="18"/>
                <w:szCs w:val="18"/>
                <w:color w:val="auto"/>
              </w:rPr>
            </w:pPr>
          </w:p>
        </w:tc>
        <w:tc>
          <w:tcPr>
            <w:tcW w:w="1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$ 3,918,889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2,231,189</w:t>
            </w:r>
          </w:p>
        </w:tc>
        <w:tc>
          <w:tcPr>
            <w:tcW w:w="6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2,077,563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339,458</w:t>
            </w:r>
          </w:p>
        </w:tc>
        <w:tc>
          <w:tcPr>
            <w:tcW w:w="60" w:type="dxa"/>
            <w:vAlign w:val="bottom"/>
            <w:shd w:val="clear" w:color="auto" w:fill="EEEEEE"/>
          </w:tcPr>
          <w:p>
            <w:pPr>
              <w:spacing w:after="0"/>
              <w:rPr>
                <w:sz w:val="18"/>
                <w:szCs w:val="18"/>
                <w:color w:val="auto"/>
              </w:rPr>
            </w:pPr>
          </w:p>
        </w:tc>
        <w:tc>
          <w:tcPr>
            <w:tcW w:w="1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303,351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6,489,536</w:t>
            </w:r>
          </w:p>
        </w:tc>
        <w:tc>
          <w:tcPr>
            <w:tcW w:w="6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6,299,803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(2,878,134)</w:t>
            </w:r>
          </w:p>
        </w:tc>
        <w:tc>
          <w:tcPr>
            <w:tcW w:w="2020" w:type="dxa"/>
            <w:vAlign w:val="bottom"/>
            <w:gridSpan w:val="5"/>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(1,962,092)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$ 3,611,402</w:t>
            </w:r>
          </w:p>
        </w:tc>
        <w:tc>
          <w:tcPr>
            <w:tcW w:w="6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$ 4,337,711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was $916,000, $307,000, and $495,000 for the years ending December 31, 2003, 2002 and 2001, respectively.</w:t>
      </w: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assets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 net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743,370</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799,173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agreements, net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Security deposit — building lease</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752,500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752,500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Deposit — other</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loan</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115,315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(Letter of Credit)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937,078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540,560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2,767,798</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2,587,023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2003 and 2002, accumulated amortization was $1,485,000 and $1,388,000, respectively, for patents and license agreements.</w:t>
      </w: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External services</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268,545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$183,813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620,340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152,265</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1,041,150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$427,916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w:t>
      </w:r>
    </w:p>
    <w:p>
      <w:pPr>
        <w:sectPr>
          <w:pgSz w:w="11900" w:h="16847" w:orient="portrait"/>
          <w:cols w:equalWidth="0" w:num="1">
            <w:col w:w="11300"/>
          </w:cols>
          <w:pgMar w:left="240" w:top="415" w:right="359" w:bottom="0" w:gutter="0" w:footer="0" w:header="0"/>
        </w:sectPr>
      </w:pP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47" w:orient="portrait"/>
          <w:cols w:equalWidth="0" w:num="1">
            <w:col w:w="11300"/>
          </w:cols>
          <w:pgMar w:left="240" w:top="415" w:right="359" w:bottom="0" w:gutter="0" w:footer="0" w:header="0"/>
          <w:type w:val="continuous"/>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semiannual interest payments and annual principal payments through maturity in August 2014. Interest rates vary with the respective bonds’ maturities, ranging from 5.1% to 9.5%. The bonds contain certain restrictive covenants which limit, among other things, the payment of cash dividends and the sale of the related assets. The Company entered into a fifteen-year lease for a laboratory facility in connection with a sale and leaseback arrangement in 1997. The lease has escalating rent payments and accordingly, the Company is recognizing rent expense on a straight-line basis. At December 31, 2003, the Company had $1,147,000 in deferred rent liability for this facility which is presented as part of the wind-down accrual.</w:t>
      </w:r>
    </w:p>
    <w:p>
      <w:pPr>
        <w:spacing w:after="0" w:line="22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amounting to $275,000 issued at commencement of the lease to serve as a deposit for the duration of the lease. The lease has a rent escalation clause and accordingly, the Company is recognizing rent expense on a straight-line basis. At December 31, 2003 the Company had $896,000 in deferred rent liability for this facility.</w:t>
      </w:r>
    </w:p>
    <w:p>
      <w:pPr>
        <w:spacing w:after="0" w:line="222"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8"/>
          <w:szCs w:val="18"/>
          <w:color w:val="auto"/>
        </w:rPr>
        <w:t>As of December 31, 2003, future minimum lease payments and sublease income under operating and capital leases and principal payments on equipment loans are as follows:</w:t>
      </w:r>
    </w:p>
    <w:p>
      <w:pPr>
        <w:spacing w:after="0" w:line="3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Operating</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Sublease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2004</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425,713</w:t>
            </w: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2,947,335</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$1,473,352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412,587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3,007,630</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1,409,463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401,289</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1,115,186</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791,463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330,644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2008</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243,507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1,171,875</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1,336,137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5,419,922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3,149,877</w:t>
            </w: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14,599,448</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$3,747,347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4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1,063,210</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2,086,667</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237,084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Capitalized lease obligations, less current maturities</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1,849,583</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 expense for the years ended December 31, 2003, 2002 and 2001, was $1,040,000, $2,565,000, and $2,629,000 respectively.</w:t>
      </w: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Grants</w:t>
      </w:r>
    </w:p>
    <w:p>
      <w:pPr>
        <w:spacing w:after="0" w:line="25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drugs for the disease. For each of 2001 and 2002, the Company received $300,000, of which $150,367 represents the Company’s share of the joint effort and has been recognized as revenue. The remainder, $149,633, was paid to Stanford University as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its share of the joint effort each year of the grant. In addition in 2001, the Company received and recognized as revenue $298,614 for research from a prior SBIR grant relating to the neural program.</w:t>
      </w:r>
    </w:p>
    <w:p>
      <w:pPr>
        <w:spacing w:after="0" w:line="201"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revenue of $56,000, $225,000 and $112,000 for 2001, 2002 and 2003 respectively. The Company does not intend to draw further funds from this grant since it will no longer pursue the particular research it covered.</w:t>
      </w:r>
    </w:p>
    <w:p>
      <w:pPr>
        <w:spacing w:after="0" w:line="220"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for 2003.</w:t>
      </w: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Rights</w:t>
      </w:r>
    </w:p>
    <w:p>
      <w:pPr>
        <w:spacing w:after="0" w:line="254"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the Company and Neurotech SA, by which Neurotech SA purchased the Company’s former encapsulated cell therapy technology.</w:t>
      </w: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Wind-down of Encapsulated Cell Technology Research and Development Program (2001 and 2002 Restated)</w:t>
      </w:r>
    </w:p>
    <w:p>
      <w:pPr>
        <w:spacing w:after="0" w:line="25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Until mid-1999, the Company engaged in research and development in encapsulated cell therapy technology, including a pain control program funded by AstraZeneca Group plc. In June 1999 AstraZeneca terminated the collaboration, as allowed under the terms of the original collaborative agreement signed in 1995. As a result of termination, management determined in July 1999 to restructure its research operations to abandon all further encapsulated cell technology research and concentrate its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California, in October 1999.</w:t>
      </w:r>
    </w:p>
    <w:p>
      <w:pPr>
        <w:spacing w:after="0" w:line="22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1999, in connection with exiting our former corporate headquarters and ECT facilities, we created a reserve for the estimated lease payments and operating expenses of the Rhode Island facilities through June 30, 2000, when we expected to fully sublease, assign or sell our remaining interests in the property. We did not fully sublet the Rhode Island facilities as expected and therefore made a change in estimate in June 2000 to accrue additional expenses of $3,327,000 to cover operating lease payments and operating expenses (including utilities, taxes, insurance, maintenance, interest and other non-employee expenses) through 2001. At December 31, 2001, the $3,327,000 reserve was exhausted and we recorded an additional reserve of $575,000. This reserve was based on information provided by our broker/realtor that estimated, based on assumptions relevant to the real estate market conditions as of the end of 2001, the time it would be likely to take until the facility would be fully sub-leased. In 2002, we incurred $964,000 in lease payments and operating expenses, net of subtenant income for this facility, of which $575,000 was booked against the reserve created at the end of 2001 and the remainder recorded as wind-down expenses. At the end of December 2002, based on an analysis of the real estate market conditions at that time, we revised the reserve to $775,000. In 2003 we incurred $984,000 in lease payments and operating expenses, net of subtenant income for this facility of which $775,000 was recorded against the reserve and the remainder recorded as wind-down expenses. After considering various factors such as the Company’s experience in subleasing the facility since exiting the facility in 1999, our lease payments through to the end of the lease, facility operating expenses, the current real</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estate market in Rhode Island, and estimated subtenant income based on occupancy both actual and projected occupancy, the Company revised the reserve at December 31, 2003 to $2,676,000. Even though it is the intent of the Company to sublease, assign or sell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Consulting Arrangements</w:t>
      </w:r>
    </w:p>
    <w:p>
      <w:pPr>
        <w:spacing w:after="0" w:line="25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September 1997, the Company entered into consulting arrangements with the principal scientific founders of StemCells California, Dr. Irving Weissman, Dr. Fred H. Gage and Dr. David Anderson and with Dr. Richard M. Rose, then President and CEO of the StemCells California.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deferred compensation expense associated with the unvested portion of the grants as of December 31, 2003 was $869,000. The fair value was determined using the Black-Scholes method.</w:t>
      </w:r>
    </w:p>
    <w:p>
      <w:pPr>
        <w:spacing w:after="0" w:line="22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vest at 50,000 per year on September 25, until September 25, 2005, when the final 100,000 shares will vest. The exercise price remains $5.25 per share. The Company recorded an expense of $164,000 and a recovery of $419,000 for the years 2003 and 2002 respectively, as compensation expense for the fair market value of the vested portion of such options in an amount determined using the Black-Scholes method. The deferred compensation expense associated with the unvested portion of the grants was determined to be approximately $105,000 at December 31, 2003. As part of the revision of the options, Drs. Weissman and Gage relinquished all rights under an agreement by whose terms they had the right to license the non-brain stem cell technology in exchange for a payment to the Company equal to all prior funding for such research plus royalty payments. The Company revalues the options using the Black-Scholes method on a quarterly basis and recognizes additional or reduced compensation expense accordingly.</w:t>
      </w:r>
    </w:p>
    <w:p>
      <w:pPr>
        <w:spacing w:after="0" w:line="200" w:lineRule="exact"/>
        <w:rPr>
          <w:sz w:val="20"/>
          <w:szCs w:val="20"/>
          <w:color w:val="auto"/>
        </w:rPr>
      </w:pPr>
    </w:p>
    <w:p>
      <w:pPr>
        <w:spacing w:after="0" w:line="238" w:lineRule="exact"/>
        <w:rPr>
          <w:sz w:val="20"/>
          <w:szCs w:val="20"/>
          <w:color w:val="auto"/>
        </w:rPr>
      </w:pPr>
    </w:p>
    <w:p>
      <w:pPr>
        <w:ind w:right="9180" w:firstLine="8"/>
        <w:spacing w:after="0" w:line="582" w:lineRule="auto"/>
        <w:tabs>
          <w:tab w:leader="none" w:pos="581"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 Sale of Common Stock</w:t>
      </w:r>
    </w:p>
    <w:p>
      <w:pPr>
        <w:spacing w:after="0" w:line="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August 3, 2000, the Company completed a $4 million common stock financing transaction with Millennium Partners, LP at $4.33 per share. In the purchase agreement, the Company granted Millennium an option to purchase up to an additional $3 million of its common stock. Millennium exercised its option to purchase $1 million of the Company’s common stock on August 23, 2000 at $5.53 per share. On June 8, 2001, Millennium exercised its remaining option to purchase $2 million of the Company’s common stock at $4.3692 per share. As a result of the financing agreement, Millennium received five year warrants to purchase 101,587 shares of common stock at $4.725 per share, 19,900 shares of common stock at $6.03 per share, and 50,352 shares at $4.7664 per share. The warrants are callable by StemCells any time at $7.875, $10.05 and $7.944 per underlying share respectively.</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16"/>
          <w:szCs w:val="16"/>
          <w:color w:val="auto"/>
        </w:rPr>
        <w:t>In addition to the above, Millennium was issued adjustable warrants in connection with the original $4 million purchase, each of which entitled Millennium to receive additional shares on eight dates beginning six months from the respective closing dates and every three months thereafter. The adjustable warrants could be exercised at any time prior to the thirtieth day after the last of such dates. The number of additional shares Millennium was entitled to on each date was based on the number of shares of common stock Millennium continued to hold on each date and the market price of the Company’s common stock over a period prior to each date. The exercise price per share under the adjustable warrant was $0.01. Millennium exercised the first of the adjustable warrants to purchase 463,369, 622,469, and 25,804 shares on March 30, 2001, July 26, 2001 and August 15, 2001 respectively at $0.01 per share. The Company has accounted for the sale of the stock and warrants by adding that portion of the proceeds equal to the par value of the new shares to common stock and the balance including the value of the warrants to additional paid in capital. On December 4, 2001, the Company entered into an agreement with Millennium under which it issued</w:t>
      </w:r>
    </w:p>
    <w:p>
      <w:pPr>
        <w:spacing w:after="0" w:line="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176,101 shares of the Company’s common stock as a final cashless exercise of all outstanding adjustable warrants that Millennium was entitled to or would be entitled to. Immediately following delivery of these shares, any further right to acquire common stock under these adjustable warrants was cancelled by the agreement.</w:t>
      </w:r>
    </w:p>
    <w:p>
      <w:pPr>
        <w:spacing w:after="0" w:line="219"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On August 23, 2002, the Company entered into an agreement with Triton West Group, Inc. (Triton) pursuant to which the Company sold 1,028,038 shares of common stock to Triton for aggregate proceeds of $1,100,000, or approximately $1.07 per share.</w:t>
      </w:r>
    </w:p>
    <w:p>
      <w:pPr>
        <w:spacing w:after="0" w:line="201" w:lineRule="exact"/>
        <w:rPr>
          <w:sz w:val="20"/>
          <w:szCs w:val="20"/>
          <w:color w:val="auto"/>
        </w:rPr>
      </w:pPr>
    </w:p>
    <w:p>
      <w:pPr>
        <w:ind w:right="20" w:firstLine="324"/>
        <w:spacing w:after="0" w:line="283" w:lineRule="auto"/>
        <w:rPr>
          <w:sz w:val="20"/>
          <w:szCs w:val="20"/>
          <w:color w:val="auto"/>
        </w:rPr>
      </w:pPr>
      <w:r>
        <w:rPr>
          <w:rFonts w:ascii="Times New Roman" w:cs="Times New Roman" w:eastAsia="Times New Roman" w:hAnsi="Times New Roman"/>
          <w:sz w:val="16"/>
          <w:szCs w:val="16"/>
          <w:color w:val="auto"/>
        </w:rPr>
        <w:t>On May 7, 2003, the Company entered into a stock purchase agreement with Riverview, under which Riverview agreed to purchase 4 million shares of the Company’s common stock for $6.5 million, or $1.625 per share. On the date of the agreement, the sale price was above the trading price of the Company’s common stock, which closed at $1.43 per share on that date. The Company also agreed to issue a 2-year warrant to Riverview to purchase 1,898,000 shares of common stock at $1.50 per share. The exercise price is subject to adjustment for stock splits, dividends, distributions, reclassifications and similar events. On May 15, 2003 the Company issued the purchased shares and the warrant, and registered the resale of the purchased shares and the shares underlying the warrant. The exercise price may be below the trading market price at the time of the exercise. In the event that certain conditions are met, including the closing sale price of the Common Stock remaining at or above $2.50 per share for 10 consecutive trading days, the Company may require Riverview to exercise the warrant for any remaining shares or to relinquish any unexercised portion. On November 11, 2003, Riverview exercised part of the warrant acquiring 1,098,000 shares at</w:t>
      </w:r>
    </w:p>
    <w:p>
      <w:pPr>
        <w:spacing w:after="0" w:line="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$1.50 per share. The proceeds to the Company from this warrant exercise totaled $1,647,000. The warrant is exercisable for the remaining 800,000 shares until April 8, 2005, subject to the Company’s right to require exercise or forfeiture as described above.</w:t>
      </w:r>
    </w:p>
    <w:p>
      <w:pPr>
        <w:spacing w:after="0" w:line="213"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On December 10, 2003 the Company completed a $9.5 million financing transaction with Riverview through the sale of 5 million shares of common stock at a price of $1.90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w:t>
      </w:r>
    </w:p>
    <w:p>
      <w:pPr>
        <w:spacing w:after="0" w:line="2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May 10, 2001, the Company entered into a common stock purchase agreement with Sativum Investments Limited for the potential future issuance and sale of up to $30,000,000 of the Company’s common stock, subject to restrictions and other obligations. Under the agreement, which expired in January 2004, the Company had the right to draw down on the facility, from time to time, and Sativum was obligated to purchase shares of the Company’s common stock at a 6% discount to a volume weighted average market price over the 20 trading days following the draw-down notice. There was neither a requirement that the Company draw on the facility nor a penalty for not doing so. The Company was limited with respect to how often it could exercise a draw down and the amount of each draw down.</w:t>
      </w:r>
    </w:p>
    <w:p>
      <w:pPr>
        <w:spacing w:after="0" w:line="220" w:lineRule="exact"/>
        <w:rPr>
          <w:sz w:val="20"/>
          <w:szCs w:val="20"/>
          <w:color w:val="auto"/>
        </w:rPr>
      </w:pPr>
    </w:p>
    <w:p>
      <w:pPr>
        <w:ind w:right="480" w:firstLine="324"/>
        <w:spacing w:after="0" w:line="275" w:lineRule="auto"/>
        <w:rPr>
          <w:sz w:val="20"/>
          <w:szCs w:val="20"/>
          <w:color w:val="auto"/>
        </w:rPr>
      </w:pPr>
      <w:r>
        <w:rPr>
          <w:rFonts w:ascii="Times New Roman" w:cs="Times New Roman" w:eastAsia="Times New Roman" w:hAnsi="Times New Roman"/>
          <w:sz w:val="18"/>
          <w:szCs w:val="18"/>
          <w:color w:val="auto"/>
        </w:rPr>
        <w:t>In connection with the Company’s execution of the common stock purchase agreement with Sativum, the Company issued three three-year warrants to purchase an aggregate of 350,000 shares of the Company’s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common stock at $2.38 per share to Sativum (250,000 shares), and to the placement agents: Pacific Crest Securities Inc. (75,000 shares) and Granite Financial Group, Inc. (25,000 shares). The placement agents have exercised their warrants in full, and the Company received payment of $238,050 for the shares issued to them in July 2001.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220" w:lineRule="exact"/>
        <w:rPr>
          <w:sz w:val="20"/>
          <w:szCs w:val="20"/>
          <w:color w:val="auto"/>
        </w:rPr>
      </w:pPr>
    </w:p>
    <w:p>
      <w:pPr>
        <w:ind w:right="420" w:firstLine="324"/>
        <w:spacing w:after="0" w:line="275" w:lineRule="auto"/>
        <w:rPr>
          <w:sz w:val="20"/>
          <w:szCs w:val="20"/>
          <w:color w:val="auto"/>
        </w:rPr>
      </w:pPr>
      <w:r>
        <w:rPr>
          <w:rFonts w:ascii="Times New Roman" w:cs="Times New Roman" w:eastAsia="Times New Roman" w:hAnsi="Times New Roman"/>
          <w:sz w:val="18"/>
          <w:szCs w:val="18"/>
          <w:color w:val="auto"/>
        </w:rPr>
        <w:t>The Company did draw down $4,000,000 by issuance of 707,947 shares in July of 2001, $118,000 by issuance of 107,812 shares in December of 2002, $66,000 by issuance of 58,516 shares in January of 2003, and $375,000 by issuance of 245,472 shares in May of 2003, before applicable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Cumulative Redeemable Convertible Preferred Stock</w:t>
      </w:r>
    </w:p>
    <w:p>
      <w:pPr>
        <w:spacing w:after="0" w:line="254"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was convertible into shares of the Company’s common stock at a conversion price of $2.00 per share at the option of Riverview Group and has a mandatory redemption feature requiring the Company to redeem unconverted preferred stock on December 4, 2003. The conversion price of $2 per share was subject to adjustment for stock splits, dividends, distributions, reclassifications and similar events. The final closing price of the Company’s common stock on the NASDAQ National Market on the December 4, 2001 commitment date was $2.90 per share. The company valued the warrants and the beneficial conversion feature reflecting the December 4, 2001 commitment date and the most beneficial per share discount available to the preferred shareholders. As the preferred shares contained a stated redemption, such value of $3,185,000, including issuance costs of $272,485, was recorded as a discount to the preferred shares. The preferred shares were accreted to the mandatory redemption amount and the accretion resulted in a deemed dividend. The deemed dividend has been reflected as an adjustment to net loss applicable to common stockholders. The holders of the preferred stock had liquidation rights equal to their original investment plus accrued but unpaid dividends. Dividends due on the shares of the preferred stock outstanding on a Dividend Payment Date (June 30 and December 31) could be paid in the Company’s common stock if the Company so elected by those dates. The Company did elect to pay the dividends in stock, and did so by issuing 38,313 shares of stock on July 3, 2002, 59,656 shares on December 23, 2002, 21,041 shares April 11, 2003, 17,935 shares June 30, 2003 and 10,833 shares November 11, 2003 valued at approximately $60,000, $69,000, $17,000, $30,000 and $22,000 respectively.</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Riverview Group converted all of its holdings of the Company’s 3% cumulative convertible preferred stock as follows:</w:t>
      </w:r>
    </w:p>
    <w:p>
      <w:pPr>
        <w:spacing w:after="0" w:line="225" w:lineRule="exact"/>
        <w:rPr>
          <w:sz w:val="20"/>
          <w:szCs w:val="20"/>
          <w:color w:val="auto"/>
        </w:rPr>
      </w:pPr>
    </w:p>
    <w:p>
      <w:pPr>
        <w:ind w:left="460" w:hanging="101"/>
        <w:spacing w:after="0"/>
        <w:tabs>
          <w:tab w:leader="none" w:pos="4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7, 2001, 1,000 shares of the 3% cumulative convertible preferred stock was converted for 500,125 shares of the Company’s common stock.</w:t>
      </w:r>
    </w:p>
    <w:p>
      <w:pPr>
        <w:spacing w:after="0" w:line="302" w:lineRule="exact"/>
        <w:rPr>
          <w:rFonts w:ascii="Times New Roman" w:cs="Times New Roman" w:eastAsia="Times New Roman" w:hAnsi="Times New Roman"/>
          <w:sz w:val="16"/>
          <w:szCs w:val="16"/>
          <w:color w:val="auto"/>
        </w:rPr>
      </w:pPr>
    </w:p>
    <w:p>
      <w:pPr>
        <w:ind w:left="460" w:right="260" w:hanging="101"/>
        <w:spacing w:after="0" w:line="301" w:lineRule="auto"/>
        <w:tabs>
          <w:tab w:leader="none" w:pos="4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9, 2003, the Company agreed with Riverview to reduce the conversion price to $0.80 per share for a period of 20 trading days. Riverview immediately agreed to convert 2,000 shares with a face value of $2 million, at the reduced price. Riverview received 2,521,041 shares of common stock upon conversion, which includes 21,041 shares valued at $16,833 as accrued dividends. As a result of the change in the conversion price, the Company recorded a deemed dividend to preferred shareholders related to the beneficial conversion feature of $998,000 in the second quarter of 2003.</w:t>
      </w:r>
    </w:p>
    <w:p>
      <w:pPr>
        <w:spacing w:after="0" w:line="184" w:lineRule="exact"/>
        <w:rPr>
          <w:rFonts w:ascii="Times New Roman" w:cs="Times New Roman" w:eastAsia="Times New Roman" w:hAnsi="Times New Roman"/>
          <w:sz w:val="16"/>
          <w:szCs w:val="16"/>
          <w:color w:val="auto"/>
        </w:rPr>
      </w:pPr>
    </w:p>
    <w:p>
      <w:pPr>
        <w:ind w:left="460" w:right="420" w:hanging="101"/>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2003, Riverview converted the remaining 2,000 shares of its 3% cumulative convertible preferred stock for 1,010,833 shares of the Company’s common stock, which includes 10,833 shares valued at $21,666 as accrued dividends.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Company recorded deemed dividends related to the 3% cumulative convertible preferred stock of $2,065,911, $1,280,004 and $743,167 in 2003, 2002 and 2001 respectively. The 2003 deemed dividend consists of $1,067,579 deemed dividend due to accretion in 2003 plus $998,332 deemed dividend arising on conversion by Riverview.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Cumulative Convertible Preferred Stock</w:t>
      </w:r>
    </w:p>
    <w:p>
      <w:pPr>
        <w:spacing w:after="0" w:line="25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April 13, 2000 the Company issued 1,500 shares of 6% cumulative convertible preferred stock plus a warrant for 75,000 shares of common stock to two members of its Board of Directors for $1,500,000 on terms more favorable to the Company than it was then able to obtain from outside investors. The shares are initially convertible at the option of the holders into common stock at $3.77 per share (based on the face value of the preferred shares). The conversion price is subject to adjustment upon certain equity transactions, as defined by the applicable agreement and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22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During the first and second quarters of 2001, the conversion price was reduced as a result of the issuance of adjustable warrants to Millennium LP, as described above. The Company has revalued the beneficial conversion feature reflecting the reduced conversion prices and the most beneficial per share discount available to the preferred shareholders and has recorded additional deemed dividends aggregating $802,000 as of the applicable reset dates.</w:t>
      </w:r>
    </w:p>
    <w:p>
      <w:pPr>
        <w:spacing w:after="0" w:line="21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June 7, 2002, one of the preferred stockholders converted 750 shares of 6% cumulative convertible preferred stock plus accumulated dividends, at an effective conversion price of $1.94 per share for 439,442 shares of common stock. On October 4, 2002, the remaining 750 shares, which were held by the other preferred shareholder, together with accumulated dividends, converted automatically at the then-effective conversion price of $1.07 to 812,802 shares of common stock. The accumulated dividends was paid in common stock with a value of $222,457.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Issued For Technology Licenses</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 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In 2004, the Company will begin making $50,000 annual payments, creditable against royalties.</w:t>
      </w:r>
    </w:p>
    <w:p>
      <w:pPr>
        <w:spacing w:after="0" w:line="22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a license agreement with the California Institute of Technology (Cal Tech) and the Company’s acquisition of its wholly owned subsidiary, StemCells California, StemCells issued 14,513 shares of common stock to Cal Tech. The Company issued an additional 12,800 shares of common stock to Cal Tech with a market value of approximately $40,000 in May 2000, upon execution of an amendment adding four families of patent applications to the license agreement. The Company must pay an additional $10,000 upon the issuance of each of the four patents licensed under the amended agreement. In August 2002 the Company acquired an additional license from Cal Tech to different technology, pursuant to which we issued 27,535 shares of our common stock with a market value of approximately $35,000. Under the new license, the Company must pay an additional $10,000 upon the issuance of one patent and $5,000 on the anniversary of its issuance. All such payments may be made in stock at the Company’s election. Upon entering a license agreement with the Oregon Health Sciences University (“OHSU”) in March 1997, the Company</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issued it 4,838 shares of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has adopted several stock plans that provide for the issuance of incentive and nonqualified stock options, various stock and performance awards and stock appreciation rights, at prices to be determined by the Board of Directors. In the case of incentive stock options, such price may not be less than the fair market value on the date of grant. Options granted to employees generally vest ratably over four years and are exercisable for ten years from the date of grant or within three months of termination. The Company has paid its directors and some of its consultants in below-market options or in stock awards from its stock plans. The following table presents the combined activity of the Company’s stock option plans for the years ended December 31:</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4,294,050</w:t>
            </w:r>
          </w:p>
        </w:tc>
        <w:tc>
          <w:tcPr>
            <w:tcW w:w="8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12"/>
              <w:spacing w:after="0"/>
              <w:rPr>
                <w:sz w:val="20"/>
                <w:szCs w:val="20"/>
                <w:color w:val="auto"/>
              </w:rPr>
            </w:pPr>
            <w:r>
              <w:rPr>
                <w:rFonts w:ascii="Times New Roman" w:cs="Times New Roman" w:eastAsia="Times New Roman" w:hAnsi="Times New Roman"/>
                <w:sz w:val="18"/>
                <w:szCs w:val="18"/>
                <w:color w:val="auto"/>
              </w:rPr>
              <w:t>$3.14</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3,652,560</w:t>
            </w:r>
          </w:p>
        </w:tc>
        <w:tc>
          <w:tcPr>
            <w:tcW w:w="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$3.98</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2,716,966</w:t>
            </w:r>
          </w:p>
        </w:tc>
        <w:tc>
          <w:tcPr>
            <w:tcW w:w="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1,125,161</w:t>
            </w:r>
          </w:p>
        </w:tc>
        <w:tc>
          <w:tcPr>
            <w:tcW w:w="80" w:type="dxa"/>
            <w:vAlign w:val="bottom"/>
          </w:tcPr>
          <w:p>
            <w:pPr>
              <w:spacing w:after="0"/>
              <w:rPr>
                <w:sz w:val="18"/>
                <w:szCs w:val="18"/>
                <w:color w:val="auto"/>
              </w:rPr>
            </w:pPr>
          </w:p>
        </w:tc>
        <w:tc>
          <w:tcPr>
            <w:tcW w:w="142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1.25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1,041,478</w:t>
            </w:r>
          </w:p>
        </w:tc>
        <w:tc>
          <w:tcPr>
            <w:tcW w:w="80" w:type="dxa"/>
            <w:vAlign w:val="bottom"/>
          </w:tcPr>
          <w:p>
            <w:pPr>
              <w:spacing w:after="0"/>
              <w:rPr>
                <w:sz w:val="18"/>
                <w:szCs w:val="18"/>
                <w:color w:val="auto"/>
              </w:rPr>
            </w:pPr>
          </w:p>
        </w:tc>
        <w:tc>
          <w:tcPr>
            <w:tcW w:w="14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0.98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1,212,082</w:t>
            </w:r>
          </w:p>
        </w:tc>
        <w:tc>
          <w:tcPr>
            <w:tcW w:w="80" w:type="dxa"/>
            <w:vAlign w:val="bottom"/>
          </w:tcPr>
          <w:p>
            <w:pPr>
              <w:spacing w:after="0"/>
              <w:rPr>
                <w:sz w:val="18"/>
                <w:szCs w:val="18"/>
                <w:color w:val="auto"/>
              </w:rPr>
            </w:pPr>
          </w:p>
        </w:tc>
        <w:tc>
          <w:tcPr>
            <w:tcW w:w="14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(97,233)</w:t>
            </w:r>
          </w:p>
        </w:tc>
        <w:tc>
          <w:tcPr>
            <w:tcW w:w="1420" w:type="dxa"/>
            <w:vAlign w:val="bottom"/>
            <w:gridSpan w:val="3"/>
            <w:shd w:val="clear" w:color="auto" w:fill="EEEEEE"/>
          </w:tcPr>
          <w:p>
            <w:pPr>
              <w:jc w:val="right"/>
              <w:ind w:right="212"/>
              <w:spacing w:after="0"/>
              <w:rPr>
                <w:sz w:val="20"/>
                <w:szCs w:val="20"/>
                <w:color w:val="auto"/>
              </w:rPr>
            </w:pPr>
            <w:r>
              <w:rPr>
                <w:rFonts w:ascii="Times New Roman" w:cs="Times New Roman" w:eastAsia="Times New Roman" w:hAnsi="Times New Roman"/>
                <w:sz w:val="18"/>
                <w:szCs w:val="18"/>
                <w:color w:val="auto"/>
              </w:rPr>
              <w:t>0.31</w:t>
            </w:r>
          </w:p>
        </w:tc>
        <w:tc>
          <w:tcPr>
            <w:tcW w:w="138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(47,587)</w:t>
            </w:r>
          </w:p>
        </w:tc>
        <w:tc>
          <w:tcPr>
            <w:tcW w:w="1440" w:type="dxa"/>
            <w:vAlign w:val="bottom"/>
            <w:gridSpan w:val="3"/>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0.20</w:t>
            </w:r>
          </w:p>
        </w:tc>
        <w:tc>
          <w:tcPr>
            <w:tcW w:w="138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(170,105)</w:t>
            </w:r>
          </w:p>
        </w:tc>
        <w:tc>
          <w:tcPr>
            <w:tcW w:w="1440" w:type="dxa"/>
            <w:vAlign w:val="bottom"/>
            <w:gridSpan w:val="3"/>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(296,604)</w:t>
            </w:r>
          </w:p>
        </w:tc>
        <w:tc>
          <w:tcPr>
            <w:tcW w:w="142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2.34</w:t>
            </w: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(352,401)</w:t>
            </w:r>
          </w:p>
        </w:tc>
        <w:tc>
          <w:tcPr>
            <w:tcW w:w="14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4.51</w:t>
            </w: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(106,383)</w:t>
            </w:r>
          </w:p>
        </w:tc>
        <w:tc>
          <w:tcPr>
            <w:tcW w:w="14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0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5,025,374</w:t>
            </w:r>
          </w:p>
        </w:tc>
        <w:tc>
          <w:tcPr>
            <w:tcW w:w="8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12"/>
              <w:spacing w:after="0"/>
              <w:rPr>
                <w:sz w:val="20"/>
                <w:szCs w:val="20"/>
                <w:color w:val="auto"/>
              </w:rPr>
            </w:pPr>
            <w:r>
              <w:rPr>
                <w:rFonts w:ascii="Times New Roman" w:cs="Times New Roman" w:eastAsia="Times New Roman" w:hAnsi="Times New Roman"/>
                <w:sz w:val="18"/>
                <w:szCs w:val="18"/>
                <w:color w:val="auto"/>
              </w:rPr>
              <w:t>2.91</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4,294,050</w:t>
            </w:r>
          </w:p>
        </w:tc>
        <w:tc>
          <w:tcPr>
            <w:tcW w:w="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3.14</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3,652,560</w:t>
            </w:r>
          </w:p>
        </w:tc>
        <w:tc>
          <w:tcPr>
            <w:tcW w:w="8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05"/>
        </w:trPr>
        <w:tc>
          <w:tcPr>
            <w:tcW w:w="32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24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tcPr>
          <w:p>
            <w:pPr>
              <w:spacing w:after="0"/>
              <w:rPr>
                <w:sz w:val="5"/>
                <w:szCs w:val="5"/>
                <w:color w:val="auto"/>
              </w:rPr>
            </w:pPr>
          </w:p>
        </w:tc>
        <w:tc>
          <w:tcPr>
            <w:tcW w:w="60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3"/>
          </w:tcPr>
          <w:p>
            <w:pPr>
              <w:spacing w:after="0"/>
              <w:rPr>
                <w:sz w:val="5"/>
                <w:szCs w:val="5"/>
                <w:color w:val="auto"/>
              </w:rPr>
            </w:pPr>
          </w:p>
        </w:tc>
        <w:tc>
          <w:tcPr>
            <w:tcW w:w="60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exercisable at December 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3,048,940</w:t>
            </w:r>
          </w:p>
        </w:tc>
        <w:tc>
          <w:tcPr>
            <w:tcW w:w="80" w:type="dxa"/>
            <w:vAlign w:val="bottom"/>
          </w:tcPr>
          <w:p>
            <w:pPr>
              <w:spacing w:after="0"/>
              <w:rPr>
                <w:sz w:val="24"/>
                <w:szCs w:val="24"/>
                <w:color w:val="auto"/>
              </w:rPr>
            </w:pPr>
          </w:p>
        </w:tc>
        <w:tc>
          <w:tcPr>
            <w:tcW w:w="142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$3.11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2,378,778</w:t>
            </w:r>
          </w:p>
        </w:tc>
        <w:tc>
          <w:tcPr>
            <w:tcW w:w="80" w:type="dxa"/>
            <w:vAlign w:val="bottom"/>
          </w:tcPr>
          <w:p>
            <w:pPr>
              <w:spacing w:after="0"/>
              <w:rPr>
                <w:sz w:val="24"/>
                <w:szCs w:val="24"/>
                <w:color w:val="auto"/>
              </w:rPr>
            </w:pPr>
          </w:p>
        </w:tc>
        <w:tc>
          <w:tcPr>
            <w:tcW w:w="14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$3.45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1,287,918</w:t>
            </w:r>
          </w:p>
        </w:tc>
        <w:tc>
          <w:tcPr>
            <w:tcW w:w="80" w:type="dxa"/>
            <w:vAlign w:val="bottom"/>
          </w:tcPr>
          <w:p>
            <w:pPr>
              <w:spacing w:after="0"/>
              <w:rPr>
                <w:sz w:val="24"/>
                <w:szCs w:val="24"/>
                <w:color w:val="auto"/>
              </w:rPr>
            </w:pPr>
          </w:p>
        </w:tc>
        <w:tc>
          <w:tcPr>
            <w:tcW w:w="14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options available to grant as of December 31, 2003 is 958,631.</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weighted average price and life information about significant option groups outstanding at December 31, 2003:</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7"/>
              </w:rPr>
              <w:t>Options Outstanding</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w w:val="96"/>
              </w:rPr>
              <w:t>Options Exercisable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4"/>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2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 (Yrs.)</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80" w:type="dxa"/>
            <w:vAlign w:val="bottom"/>
          </w:tcPr>
          <w:p>
            <w:pPr>
              <w:spacing w:after="0"/>
              <w:rPr>
                <w:sz w:val="15"/>
                <w:szCs w:val="15"/>
                <w:color w:val="auto"/>
              </w:rPr>
            </w:pPr>
          </w:p>
        </w:tc>
        <w:tc>
          <w:tcPr>
            <w:tcW w:w="202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8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than $2.00</w:t>
            </w: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2,031,165</w:t>
            </w:r>
          </w:p>
        </w:tc>
        <w:tc>
          <w:tcPr>
            <w:tcW w:w="3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8.34</w:t>
            </w:r>
          </w:p>
        </w:tc>
        <w:tc>
          <w:tcPr>
            <w:tcW w:w="1300" w:type="dxa"/>
            <w:vAlign w:val="bottom"/>
            <w:gridSpan w:val="2"/>
            <w:shd w:val="clear" w:color="auto" w:fill="EEEEEE"/>
          </w:tcPr>
          <w:p>
            <w:pPr>
              <w:jc w:val="center"/>
              <w:ind w:left="192"/>
              <w:spacing w:after="0"/>
              <w:rPr>
                <w:sz w:val="20"/>
                <w:szCs w:val="20"/>
                <w:color w:val="auto"/>
              </w:rPr>
            </w:pPr>
            <w:r>
              <w:rPr>
                <w:rFonts w:ascii="Times New Roman" w:cs="Times New Roman" w:eastAsia="Times New Roman" w:hAnsi="Times New Roman"/>
                <w:sz w:val="18"/>
                <w:szCs w:val="18"/>
                <w:color w:val="auto"/>
                <w:w w:val="93"/>
              </w:rPr>
              <w:t>$0.99</w:t>
            </w:r>
          </w:p>
        </w:tc>
        <w:tc>
          <w:tcPr>
            <w:tcW w:w="14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1,037,560</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center"/>
              <w:ind w:right="124"/>
              <w:spacing w:after="0"/>
              <w:rPr>
                <w:sz w:val="20"/>
                <w:szCs w:val="20"/>
                <w:color w:val="auto"/>
              </w:rPr>
            </w:pPr>
            <w:r>
              <w:rPr>
                <w:rFonts w:ascii="Times New Roman" w:cs="Times New Roman" w:eastAsia="Times New Roman" w:hAnsi="Times New Roman"/>
                <w:sz w:val="18"/>
                <w:szCs w:val="18"/>
                <w:color w:val="auto"/>
                <w:w w:val="93"/>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$2.00 - $3.99</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1,269,270</w:t>
            </w:r>
          </w:p>
        </w:tc>
        <w:tc>
          <w:tcPr>
            <w:tcW w:w="380" w:type="dxa"/>
            <w:vAlign w:val="bottom"/>
          </w:tcPr>
          <w:p>
            <w:pPr>
              <w:spacing w:after="0"/>
              <w:rPr>
                <w:sz w:val="18"/>
                <w:szCs w:val="18"/>
                <w:color w:val="auto"/>
              </w:rPr>
            </w:pPr>
          </w:p>
        </w:tc>
        <w:tc>
          <w:tcPr>
            <w:tcW w:w="15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7.48</w:t>
            </w:r>
          </w:p>
        </w:tc>
        <w:tc>
          <w:tcPr>
            <w:tcW w:w="13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3"/>
              </w:rPr>
              <w:t>$2.81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827,849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w w:val="93"/>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$5.99</w:t>
            </w:r>
          </w:p>
        </w:tc>
        <w:tc>
          <w:tcPr>
            <w:tcW w:w="2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1,724,939</w:t>
            </w:r>
          </w:p>
        </w:tc>
        <w:tc>
          <w:tcPr>
            <w:tcW w:w="3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4.02</w:t>
            </w:r>
          </w:p>
        </w:tc>
        <w:tc>
          <w:tcPr>
            <w:tcW w:w="1300" w:type="dxa"/>
            <w:vAlign w:val="bottom"/>
            <w:gridSpan w:val="2"/>
            <w:shd w:val="clear" w:color="auto" w:fill="EEEEEE"/>
          </w:tcPr>
          <w:p>
            <w:pPr>
              <w:jc w:val="center"/>
              <w:ind w:left="192"/>
              <w:spacing w:after="0"/>
              <w:rPr>
                <w:sz w:val="20"/>
                <w:szCs w:val="20"/>
                <w:color w:val="auto"/>
              </w:rPr>
            </w:pPr>
            <w:r>
              <w:rPr>
                <w:rFonts w:ascii="Times New Roman" w:cs="Times New Roman" w:eastAsia="Times New Roman" w:hAnsi="Times New Roman"/>
                <w:sz w:val="18"/>
                <w:szCs w:val="18"/>
                <w:color w:val="auto"/>
                <w:w w:val="93"/>
              </w:rPr>
              <w:t>$5.22</w:t>
            </w:r>
          </w:p>
        </w:tc>
        <w:tc>
          <w:tcPr>
            <w:tcW w:w="14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1,183,531</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center"/>
              <w:ind w:right="124"/>
              <w:spacing w:after="0"/>
              <w:rPr>
                <w:sz w:val="20"/>
                <w:szCs w:val="20"/>
                <w:color w:val="auto"/>
              </w:rPr>
            </w:pPr>
            <w:r>
              <w:rPr>
                <w:rFonts w:ascii="Times New Roman" w:cs="Times New Roman" w:eastAsia="Times New Roman" w:hAnsi="Times New Roman"/>
                <w:sz w:val="18"/>
                <w:szCs w:val="18"/>
                <w:color w:val="auto"/>
                <w:w w:val="93"/>
              </w:rPr>
              <w:t>$5.22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5,025,374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3,048,940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gridSpan w:val="2"/>
            <w:vMerge w:val="restart"/>
          </w:tcPr>
          <w:p>
            <w:pPr>
              <w:jc w:val="right"/>
              <w:ind w:right="1132"/>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The weighted average fair value per share of options granted during 2003, 2002 and 2001 was $0.86, $1.15 and $2.61, respectively. The fair value of options at the date of grant were estimated using the Black-Scholes model with the following weighted average assumptions: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820" w:type="dxa"/>
            <w:vAlign w:val="bottom"/>
            <w:shd w:val="clear" w:color="auto" w:fill="EEEEEE"/>
          </w:tcPr>
          <w:p>
            <w:pPr>
              <w:jc w:val="right"/>
              <w:ind w:right="97"/>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shd w:val="clear" w:color="auto" w:fill="EEEEEE"/>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Volatility</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neither declared nor paid dividends on any of its common stock and does not expect to do so in the foreseeable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w:t>
      </w:r>
    </w:p>
    <w:p>
      <w:pPr>
        <w:spacing w:after="0" w:line="254"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The Company has the following shares of common stock reserved for the exercise of options, warrants and other contingent issuances of common stock, as of December 31, 2003</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exercise of stock options</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6,411,763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the employee benefit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compensation of external services</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156,575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the equity line (expired January 2004)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4,588,200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the warrants related to the equity line</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warrants related to 6% convertible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Shares Reserved for warrants related to 3% convertible preferred stock</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2,040,945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Shelf Reserve for possible future issuances of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8,971,962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22,719,358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80" w:hanging="572"/>
        <w:spacing w:after="0"/>
        <w:tabs>
          <w:tab w:leader="none" w:pos="5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Agreements</w:t>
      </w:r>
    </w:p>
    <w:p>
      <w:pPr>
        <w:spacing w:after="0" w:line="254"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November 1997, the Company signed a Research Funding and Option Agreement with The Scripps Research Institute (“Scripps”) relating to certain stem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cell research. Under the terms of the Agreement, StemCells agreed to fund research in the total amount of approximately $931,000 at Scripps over a period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years. StemCells paid Scripps approximately $225,000 in 2000. In addition, the Company agreed to issue to Scripps 4,837 shares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 a stock option to purchase 9,674 shares of the Company’s Common Stock with an exercise price of $.01 per share upon the achievement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specified milestones. Under the Agreement, StemCells has an option for an exclusive license to the inventions resulting from the sponsored research, subject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payment of royalties and certain other amounts, and is obligated to make payments totaling $425,000 for achievement of certain milestones.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entered a Sponsored Research Agreement and a License Agreement with Oregon Health Sciences University (“OHSU”) in March 1997, relating to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research concerning liver repopulating cells. Under subsequent Sponsored Research Agreements with OHSU, StemCells paid OHSU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$80,500 in 2000, $105,000 in 2001 and $110,000 in 2002. In addition, the Company issued 4,838 shares of common stock and an option to purchase up to 62,888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to OHSU with an exercise price of $.01 per share.</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has vested as to 9,675 shares for which shares were issued on March 31, 2002; the remaining option was terminated and the Company issued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4,000 shares of its common stock, with a market value of approximately $3,900, to OHSU in January 2003, pursuant to an amendment to the license agreement.</w:t>
      </w: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2001, the Company entered into a collaboration with Stanford University to pursue certain additional research funded by the National Institutes of Health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 SBIR grant discussed above. Pursuant to agreement, the Company paid Stanford approximately $150,000 in each of 2001 and 2002. In 2002,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entered into a research agreement with the University of California, Irvine (“Irvine”), under which it paid Irvine approximately $3,200 in 2002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$16,000 in 2003. The Company also entered a sponsored research agreement with the University of Texas Medical Branch (“UTMB”) under which it paid UTMB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$21,000 in 2002 and accrued for payment approximately $56,000 in 2003.</w:t>
      </w:r>
    </w:p>
    <w:p>
      <w:pPr>
        <w:spacing w:after="0" w:line="211"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4"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12,540,000</w:t>
            </w: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43,120,000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42,900,000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60,385,000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56,890,000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w w:val="94"/>
              </w:rPr>
              <w:t>(60,385,000)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w w:val="96"/>
              </w:rPr>
              <w:t>(56,890,000)</w:t>
            </w: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$3,495,000, $4,880,000, and $3,400,000 during 2003, 2002, and 2001 respectively.</w:t>
      </w:r>
    </w:p>
    <w:p>
      <w:pPr>
        <w:spacing w:after="0" w:line="213" w:lineRule="exact"/>
        <w:rPr>
          <w:sz w:val="20"/>
          <w:szCs w:val="20"/>
          <w:color w:val="auto"/>
        </w:rPr>
      </w:pPr>
    </w:p>
    <w:p>
      <w:pPr>
        <w:ind w:right="540" w:firstLine="324"/>
        <w:spacing w:after="0" w:line="275" w:lineRule="auto"/>
        <w:rPr>
          <w:sz w:val="20"/>
          <w:szCs w:val="20"/>
          <w:color w:val="auto"/>
        </w:rPr>
      </w:pPr>
      <w:r>
        <w:rPr>
          <w:rFonts w:ascii="Times New Roman" w:cs="Times New Roman" w:eastAsia="Times New Roman" w:hAnsi="Times New Roman"/>
          <w:sz w:val="18"/>
          <w:szCs w:val="18"/>
          <w:color w:val="auto"/>
        </w:rPr>
        <w:t>The effective tax rate as a percentage of income before income taxes differs from the statutory federal income tax rate (when applied to income before income taxes) for the years ended December 31,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federal income tax (benefit) rate</w:t>
            </w:r>
          </w:p>
        </w:tc>
        <w:tc>
          <w:tcPr>
            <w:tcW w:w="334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Expenses not deductible for taxes</w:t>
            </w:r>
          </w:p>
        </w:tc>
        <w:tc>
          <w:tcPr>
            <w:tcW w:w="334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Expiration of State net operating losses</w:t>
            </w:r>
          </w:p>
        </w:tc>
        <w:tc>
          <w:tcPr>
            <w:tcW w:w="314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Effective tax (benefit) rate</w:t>
            </w:r>
          </w:p>
        </w:tc>
        <w:tc>
          <w:tcPr>
            <w:tcW w:w="334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560" w:type="dxa"/>
            <w:vAlign w:val="bottom"/>
            <w:vMerge w:val="restart"/>
          </w:tcPr>
          <w:p>
            <w:pPr>
              <w:jc w:val="right"/>
              <w:ind w:right="1535"/>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180" w:firstLine="324"/>
        <w:spacing w:after="0" w:line="339" w:lineRule="auto"/>
        <w:rPr>
          <w:sz w:val="20"/>
          <w:szCs w:val="20"/>
          <w:color w:val="auto"/>
        </w:rPr>
      </w:pPr>
      <w:r>
        <w:rPr>
          <w:rFonts w:ascii="Times New Roman" w:cs="Times New Roman" w:eastAsia="Times New Roman" w:hAnsi="Times New Roman"/>
          <w:sz w:val="16"/>
          <w:szCs w:val="16"/>
          <w:color w:val="auto"/>
        </w:rPr>
        <w:t>As of December 31, 2003, the Company had net operating loss carryforwards for federal income tax purposes of approximately $111,840,000 which expire in the years 2004 through 2023, and federal research and development tax credits of approximately $3,935,000 which expire in the years 2004 through 2013.</w:t>
      </w:r>
    </w:p>
    <w:p>
      <w:pPr>
        <w:spacing w:after="0" w:line="156"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As of December 31, 2003, the Company had net operating loss carryforwards for state income tax purposes of approximately $84,850,000 which expire in the years 2004 through 2023, and state research and development tax credits of approximately $464,000 which do not expire.</w:t>
      </w:r>
    </w:p>
    <w:p>
      <w:pPr>
        <w:spacing w:after="0" w:line="201"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18"/>
          <w:szCs w:val="18"/>
          <w:color w:val="auto"/>
        </w:rPr>
        <w:t>Utilization of the Company’s net operating loss may be subject to substantial annual limitation due to ownership change limitations provide by the Internal Revenue Code and similar state provisions. Such an annual limitation could result in the expiration of the net operating loss before utilization.</w:t>
      </w:r>
    </w:p>
    <w:p>
      <w:pPr>
        <w:spacing w:after="0" w:line="200" w:lineRule="exact"/>
        <w:rPr>
          <w:sz w:val="20"/>
          <w:szCs w:val="20"/>
          <w:color w:val="auto"/>
        </w:rPr>
      </w:pPr>
    </w:p>
    <w:p>
      <w:pPr>
        <w:spacing w:after="0" w:line="215"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Retirement Plan</w:t>
      </w:r>
    </w:p>
    <w:p>
      <w:pPr>
        <w:spacing w:after="0" w:line="254"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The Company has a qualified defined contribution plan covering substantially all employees. Participants are allowed to contribute a fixed percentage of their annual compensation to the plan and the Company matches 50% of employee contributions, up to a maximum of 6% of the employee’s compensation, with the Company’s common stock. The related expense was $60,000, $76,000, and $63,000 for the years ended December 31, 2003, 2002 and 2001, respectively.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5160" w:type="dxa"/>
            <w:vAlign w:val="bottom"/>
            <w:gridSpan w:val="2"/>
          </w:tcPr>
          <w:p>
            <w:pPr>
              <w:jc w:val="center"/>
              <w:ind w:right="1332"/>
              <w:spacing w:after="0"/>
              <w:rPr>
                <w:sz w:val="20"/>
                <w:szCs w:val="20"/>
                <w:color w:val="auto"/>
              </w:rPr>
            </w:pPr>
            <w:r>
              <w:rPr>
                <w:rFonts w:ascii="Times New Roman" w:cs="Times New Roman" w:eastAsia="Times New Roman" w:hAnsi="Times New Roman"/>
                <w:sz w:val="18"/>
                <w:szCs w:val="18"/>
                <w:b w:val="1"/>
                <w:bCs w:val="1"/>
                <w:color w:val="auto"/>
                <w:w w:val="97"/>
              </w:rPr>
              <w:t>Quarterly Financial Information (unaudited)</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80"/>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5"/>
        </w:trPr>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263"/>
        </w:trPr>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80" w:type="dxa"/>
            <w:vAlign w:val="bottom"/>
          </w:tcPr>
          <w:p>
            <w:pPr>
              <w:spacing w:after="0"/>
              <w:rPr>
                <w:sz w:val="22"/>
                <w:szCs w:val="22"/>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95"/>
        </w:trPr>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r>
      <w:tr>
        <w:trPr>
          <w:trHeight w:val="250"/>
        </w:trPr>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(In thousands, except per share data)</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shd w:val="clear" w:color="auto" w:fill="EEEEEE"/>
          </w:tcPr>
          <w:p>
            <w:pPr>
              <w:jc w:val="center"/>
              <w:ind w:right="2072"/>
              <w:spacing w:after="0"/>
              <w:rPr>
                <w:sz w:val="20"/>
                <w:szCs w:val="20"/>
                <w:color w:val="auto"/>
              </w:rPr>
            </w:pPr>
            <w:r>
              <w:rPr>
                <w:rFonts w:ascii="Times New Roman" w:cs="Times New Roman" w:eastAsia="Times New Roman" w:hAnsi="Times New Roman"/>
                <w:sz w:val="18"/>
                <w:szCs w:val="18"/>
                <w:color w:val="auto"/>
                <w:w w:val="95"/>
              </w:rPr>
              <w:t>Year ended December 31, 2003:</w:t>
            </w: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2,409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4,817(1)</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deemed dividend)</w:t>
            </w:r>
          </w:p>
        </w:tc>
        <w:tc>
          <w:tcPr>
            <w:tcW w:w="22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(2,409)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(2,713)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(2,429)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5"/>
              </w:rPr>
              <w:t>(4,740)(1)</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5"/>
              </w:rPr>
              <w:t>(2,729)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5"/>
              </w:rPr>
              <w:t>(3,928)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5"/>
              </w:rPr>
              <w:t>(2,599)</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74"/>
              <w:spacing w:after="0"/>
              <w:rPr>
                <w:sz w:val="20"/>
                <w:szCs w:val="20"/>
                <w:color w:val="auto"/>
              </w:rPr>
            </w:pPr>
            <w:r>
              <w:rPr>
                <w:rFonts w:ascii="Times New Roman" w:cs="Times New Roman" w:eastAsia="Times New Roman" w:hAnsi="Times New Roman"/>
                <w:sz w:val="18"/>
                <w:szCs w:val="18"/>
                <w:color w:val="auto"/>
                <w:w w:val="95"/>
              </w:rPr>
              <w:t>(5,169)(1)</w:t>
            </w: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Basic and diluted (loss) per share applicable to common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(0.10)</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(0.14)(1)</w:t>
            </w:r>
          </w:p>
        </w:tc>
      </w:tr>
      <w:tr>
        <w:trPr>
          <w:trHeight w:val="218"/>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shd w:val="clear" w:color="auto" w:fill="EEEEEE"/>
          </w:tcPr>
          <w:p>
            <w:pPr>
              <w:jc w:val="center"/>
              <w:ind w:right="2072"/>
              <w:spacing w:after="0"/>
              <w:rPr>
                <w:sz w:val="20"/>
                <w:szCs w:val="20"/>
                <w:color w:val="auto"/>
              </w:rPr>
            </w:pPr>
            <w:r>
              <w:rPr>
                <w:rFonts w:ascii="Times New Roman" w:cs="Times New Roman" w:eastAsia="Times New Roman" w:hAnsi="Times New Roman"/>
                <w:sz w:val="18"/>
                <w:szCs w:val="18"/>
                <w:color w:val="auto"/>
                <w:w w:val="95"/>
              </w:rPr>
              <w:t>Year ended December 31, 2002:</w:t>
            </w: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2,876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3,166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2,765</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Times New Roman" w:cs="Times New Roman" w:eastAsia="Times New Roman" w:hAnsi="Times New Roman"/>
                <w:sz w:val="18"/>
                <w:szCs w:val="18"/>
                <w:color w:val="auto"/>
              </w:rPr>
              <w:t>3,098(2)</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(2,810)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(3,058)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5"/>
              </w:rPr>
              <w:t>(2,725)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5"/>
              </w:rPr>
              <w:t>(3,051)(2)</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5"/>
              </w:rPr>
              <w:t>(3,130)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5"/>
              </w:rPr>
              <w:t>(3,543)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94"/>
              <w:spacing w:after="0"/>
              <w:rPr>
                <w:sz w:val="20"/>
                <w:szCs w:val="20"/>
                <w:color w:val="auto"/>
              </w:rPr>
            </w:pPr>
            <w:r>
              <w:rPr>
                <w:rFonts w:ascii="Times New Roman" w:cs="Times New Roman" w:eastAsia="Times New Roman" w:hAnsi="Times New Roman"/>
                <w:sz w:val="18"/>
                <w:szCs w:val="18"/>
                <w:color w:val="auto"/>
                <w:w w:val="95"/>
              </w:rPr>
              <w:t>(3,045)</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74"/>
              <w:spacing w:after="0"/>
              <w:rPr>
                <w:sz w:val="20"/>
                <w:szCs w:val="20"/>
                <w:color w:val="auto"/>
              </w:rPr>
            </w:pPr>
            <w:r>
              <w:rPr>
                <w:rFonts w:ascii="Times New Roman" w:cs="Times New Roman" w:eastAsia="Times New Roman" w:hAnsi="Times New Roman"/>
                <w:sz w:val="18"/>
                <w:szCs w:val="18"/>
                <w:color w:val="auto"/>
                <w:w w:val="95"/>
              </w:rPr>
              <w:t>(3,558)(2)</w:t>
            </w: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Basic and diluted income (loss) per share applicable to</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0" w:type="dxa"/>
            <w:vAlign w:val="bottom"/>
          </w:tcPr>
          <w:p>
            <w:pPr>
              <w:jc w:val="center"/>
              <w:ind w:right="2092"/>
              <w:spacing w:after="0"/>
              <w:rPr>
                <w:sz w:val="20"/>
                <w:szCs w:val="20"/>
                <w:color w:val="auto"/>
              </w:rPr>
            </w:pPr>
            <w:r>
              <w:rPr>
                <w:rFonts w:ascii="Times New Roman" w:cs="Times New Roman" w:eastAsia="Times New Roman" w:hAnsi="Times New Roman"/>
                <w:sz w:val="18"/>
                <w:szCs w:val="18"/>
                <w:color w:val="auto"/>
                <w:w w:val="97"/>
              </w:rPr>
              <w:t>common shareholders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(0.13)</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The fourth quarter includes a wind-down accrual of 2,676 - see note 9.</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tab/>
        <w:t>Restated — see note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254" w:lineRule="exact"/>
        <w:rPr>
          <w:sz w:val="20"/>
          <w:szCs w:val="20"/>
          <w:color w:val="auto"/>
        </w:rPr>
      </w:pPr>
    </w:p>
    <w:p>
      <w:pPr>
        <w:ind w:right="60" w:firstLine="332"/>
        <w:spacing w:after="0" w:line="255" w:lineRule="auto"/>
        <w:tabs>
          <w:tab w:leader="none" w:pos="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chief executive officer and (acting)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effectiveness of the design and operation of our disclosure controls and procedures (as defined in Rules 13a-15(e) and 15d-15(e) under the Securities Exchange Act of 1934, as amended) as of the end of the period covered by this annual report. Based on this evaluation, our principal executive officer and principal financial officer concluded that these disclosure controls and procedures are effective and designed to ensure that the information required to be disclosed in our reports filed or submitted under the Securities Exchange Act of 1934 is recorded, processed, summarized and reported within the requisite time periods.</w:t>
      </w:r>
    </w:p>
    <w:p>
      <w:pPr>
        <w:spacing w:after="0" w:line="2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its audit of the Company’s consolidated financial statements for the year ended December 31, 2003, Grant Thornton LLP (“Grant Thornton”), the Company’s independent accountants, provided advice to the Audit Committee and management of internal control matters with respect to segregation of duties and financial reporting matters that they considered to be deficiencies and which they considered, in the aggregate, to constitute a significant deficiency under standards established by the American Institute of Certified Public Accountants. The Company considered these matters in connection with the year-end closing process and the preparation of the December 31, 2003 consolidated financial statements included in this Form 10-K. In response to the observations made by Grant Thornton, in 2004 the Company will re-evaluate its internal controls and procedures relating to those observations and implement such enhancements as the review suggests to be appropriate.</w:t>
      </w:r>
    </w:p>
    <w:p>
      <w:pPr>
        <w:spacing w:after="0" w:line="2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design of any system of controls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15" w:lineRule="exact"/>
        <w:rPr>
          <w:sz w:val="20"/>
          <w:szCs w:val="20"/>
          <w:color w:val="auto"/>
        </w:rPr>
      </w:pPr>
    </w:p>
    <w:p>
      <w:pPr>
        <w:ind w:right="120" w:firstLine="332"/>
        <w:spacing w:after="0" w:line="264" w:lineRule="auto"/>
        <w:tabs>
          <w:tab w:leader="none" w:pos="5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w:t>
      </w:r>
      <w:r>
        <w:rPr>
          <w:rFonts w:ascii="Times New Roman" w:cs="Times New Roman" w:eastAsia="Times New Roman" w:hAnsi="Times New Roman"/>
          <w:sz w:val="18"/>
          <w:szCs w:val="18"/>
          <w:color w:val="auto"/>
        </w:rPr>
        <w:t>There was no change in our internal control over financial reporting (as defined in Rules 13a-15(f) and 15d-15(f)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as amended) identified in connection with the evaluation of our internal control performed during our fourth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and Executive Officers of the Registrant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2004 Annual Meeting of Shareholders.</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256"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Item 5 of this Annual Report on Form 10-K and our Proxy Statement for the 2004 Annual Meeting of Shareholders.</w:t>
      </w:r>
    </w:p>
    <w:p>
      <w:pPr>
        <w:spacing w:after="0" w:line="200" w:lineRule="exact"/>
        <w:rPr>
          <w:sz w:val="20"/>
          <w:szCs w:val="20"/>
          <w:color w:val="auto"/>
        </w:rPr>
      </w:pPr>
    </w:p>
    <w:p>
      <w:pPr>
        <w:spacing w:after="0" w:line="2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2004 Annual Meeting of Shareholders.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2004 Annual Meeting of Shareholders.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Accountant Fees and Services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the 2004 Annual Meeting of Shareholders.</w:t>
      </w:r>
    </w:p>
    <w:p>
      <w:pPr>
        <w:spacing w:after="0" w:line="200" w:lineRule="exact"/>
        <w:rPr>
          <w:sz w:val="20"/>
          <w:szCs w:val="20"/>
          <w:color w:val="auto"/>
        </w:rPr>
      </w:pP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 and Reports on Form 8-K</w:t>
      </w:r>
    </w:p>
    <w:p>
      <w:pPr>
        <w:spacing w:after="0" w:line="229" w:lineRule="exact"/>
        <w:rPr>
          <w:sz w:val="20"/>
          <w:szCs w:val="20"/>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Form 10-K.</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filed as part of this Report are listed and indexed under Item 8 above.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Schedules are not included herein because they are not applicable or the required information appears in the Financial Statements or Notes thereto.</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90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900" w:type="dxa"/>
            <w:vAlign w:val="bottom"/>
            <w:tcBorders>
              <w:bottom w:val="single" w:sz="8" w:color="808080"/>
            </w:tcBorders>
          </w:tcPr>
          <w:p>
            <w:pPr>
              <w:spacing w:after="0"/>
              <w:rPr>
                <w:sz w:val="8"/>
                <w:szCs w:val="8"/>
                <w:color w:val="auto"/>
              </w:rPr>
            </w:pPr>
          </w:p>
        </w:tc>
      </w:tr>
      <w:tr>
        <w:trPr>
          <w:trHeight w:val="303"/>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3.1*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3.2++</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3.3[***]</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Amendment to the Restated Certificate of Incorporation of the Registrant.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Specimen Common Stock Certificate.</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4.2++++</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Warrant Certificate issued to a certain purchaser of the Registrant’s Common Stock in April 1995.</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4.3X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Mark Angelo</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4.4X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Robert Farrell</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4.5X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Joseph Donahue</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4.6X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Hunter Singer</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4.7X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May Davis</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4.8X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4.9X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4.10XXX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May 10, 2001 between the Registrant and Sativum Investments Limited.</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4.11XXX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Sativum Investments Limited.</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4.12XXX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Pacific Crest Securities, Inc.</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4.13XXX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Granite Financial Group, Inc.</w:t>
            </w:r>
          </w:p>
        </w:tc>
      </w:tr>
      <w:tr>
        <w:trPr>
          <w:trHeight w:val="216"/>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4.14XXX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 dated June 21, 2001, issued to Millennium Partners, L.P.</w:t>
            </w:r>
          </w:p>
        </w:tc>
      </w:tr>
      <w:tr>
        <w:trPr>
          <w:trHeight w:val="228"/>
        </w:trPr>
        <w:tc>
          <w:tcPr>
            <w:tcW w:w="22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4.15XXX</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 Class A, dated June 21, 2001, issued to Millennium Partners, L.P.</w:t>
            </w:r>
          </w:p>
        </w:tc>
      </w:tr>
      <w:tr>
        <w:trPr>
          <w:trHeight w:val="432"/>
        </w:trPr>
        <w:tc>
          <w:tcPr>
            <w:tcW w:w="2200" w:type="dxa"/>
            <w:vAlign w:val="bottom"/>
          </w:tcPr>
          <w:p>
            <w:pPr>
              <w:spacing w:after="0"/>
              <w:rPr>
                <w:sz w:val="24"/>
                <w:szCs w:val="24"/>
                <w:color w:val="auto"/>
              </w:rPr>
            </w:pPr>
          </w:p>
        </w:tc>
        <w:tc>
          <w:tcPr>
            <w:tcW w:w="92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61</w:t>
            </w:r>
          </w:p>
        </w:tc>
      </w:tr>
      <w:tr>
        <w:trPr>
          <w:trHeight w:val="228"/>
        </w:trPr>
        <w:tc>
          <w:tcPr>
            <w:tcW w:w="2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680" w:type="dxa"/>
            <w:vAlign w:val="bottom"/>
          </w:tcPr>
          <w:p>
            <w:pPr>
              <w:jc w:val="right"/>
              <w:ind w:right="3692"/>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80" w:type="dxa"/>
            <w:vAlign w:val="bottom"/>
            <w:tcBorders>
              <w:bottom w:val="single" w:sz="8" w:color="808080"/>
            </w:tcBorders>
          </w:tcPr>
          <w:p>
            <w:pPr>
              <w:spacing w:after="0"/>
              <w:rPr>
                <w:sz w:val="8"/>
                <w:szCs w:val="8"/>
                <w:color w:val="auto"/>
              </w:rPr>
            </w:pPr>
          </w:p>
        </w:tc>
      </w:tr>
      <w:tr>
        <w:trPr>
          <w:trHeight w:val="303"/>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Designations of the Powers, Preferences and Relative, Participating, Optional and other Special Rights of</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Preferred Stock and Qualifications, Limitations and Restrictions Thereof of 3% Cumulative Convertible Preferred Stock</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 StemCells, Inc.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Riverview Group, LLC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4.18XXXX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Cantor Fitzgerald &amp; Co.</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4.19&amp;&amp;</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Riverview Group, LLC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Amendment to Registration Rights dated as of February 14, 1992 among the Registrant and certain of its stockholders.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at-will Employment Agreement between the Registrant and most of its employees.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Agreement for Consulting Services between the Registrant and members of its Scientific Advisory Board.</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Nondisclosure Agreement between the Registrant and its Contractors.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Master Lease and Warrant Agreement dated April 23, 1991 between the Registrant and PacifiCorp Credit, Inc.</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1988 Stock Option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Equity Incentive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Stock Option Plan for Non-Employee Directors.</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Employee Stock Purchase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Research Agreement dated as of March 16, 1994 between NeuroSpheres, Ltd. and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September 30, 1994 between The First National Bank of Boston and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Lease Agreement between the Registrant and Rhode Island Industrial Facilities Corporation, dated as of August 1, 1992.</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First Amendment to Lease Agreement between Registrant and The Rhode Island Industrial Facilities Corporation dated as</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September 15, 1994.</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Development, Marketing and License Agreement, dated as of March 30, 1995 between Registrant and Astra AB.</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Form of Unit Purchase Agreement to be executed by the purchasers of the Common Stock and Warrants offered in April</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Common Stock Purchase Agreement to be executed among the Registrant and certain purchasers of the</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Registrant’s Common Stock.</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Agreement dated as of November 21, 1997 by and between Hub RI Properties Trust, as Landlord, and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CytoTherapeutics, Inc., as Tenant.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individual stockholders option agreement dated as of July 10, 1996 among the Company and the individuals listed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therein.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Valoria option agreement dated of July 10, 1996 between the Company and the Societe Financiere Valoria SA.</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October 22, 1996 between The First National Bank of Boston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and Plan of Merger dated as of August 13, 1997 among StemCells, Inc., the Registrant and CTI Acquisition</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Consulting Agreement dated as of September 25, 1997 between Dr. Irving Weissman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among each of Dr. Irving Weissman and Dr. Fred H. Gage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StemCells, Inc. 1996 Stock Option Plan.</w:t>
            </w:r>
          </w:p>
        </w:tc>
      </w:tr>
      <w:tr>
        <w:trPr>
          <w:trHeight w:val="228"/>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1997 StemCells Research Stock Option Plan (the “1997 Plan”)</w:t>
            </w:r>
          </w:p>
        </w:tc>
      </w:tr>
      <w:tr>
        <w:trPr>
          <w:trHeight w:val="432"/>
        </w:trPr>
        <w:tc>
          <w:tcPr>
            <w:tcW w:w="2420" w:type="dxa"/>
            <w:vAlign w:val="bottom"/>
          </w:tcPr>
          <w:p>
            <w:pPr>
              <w:spacing w:after="0"/>
              <w:rPr>
                <w:sz w:val="24"/>
                <w:szCs w:val="24"/>
                <w:color w:val="auto"/>
              </w:rPr>
            </w:pPr>
          </w:p>
        </w:tc>
        <w:tc>
          <w:tcPr>
            <w:tcW w:w="9000" w:type="dxa"/>
            <w:vAlign w:val="bottom"/>
            <w:gridSpan w:val="2"/>
          </w:tcPr>
          <w:p>
            <w:pPr>
              <w:jc w:val="right"/>
              <w:ind w:right="5552"/>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2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4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66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60" w:type="dxa"/>
            <w:vAlign w:val="bottom"/>
            <w:tcBorders>
              <w:bottom w:val="single" w:sz="8" w:color="808080"/>
            </w:tcBorders>
          </w:tcPr>
          <w:p>
            <w:pPr>
              <w:spacing w:after="0"/>
              <w:rPr>
                <w:sz w:val="8"/>
                <w:szCs w:val="8"/>
                <w:color w:val="auto"/>
              </w:rPr>
            </w:pPr>
          </w:p>
        </w:tc>
      </w:tr>
      <w:tr>
        <w:trPr>
          <w:trHeight w:val="303"/>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10.34****</w:t>
            </w:r>
          </w:p>
        </w:tc>
        <w:tc>
          <w:tcPr>
            <w:tcW w:w="32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Form of Performance-Based Incentive Option Agreement issued under the 1997 Plan.</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25, 1997 between Dr. Richard M. Rose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Rights Agreement, dated as of July 27, 1998 between Bank Boston, N.A. as Rights Agent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10.40$**</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Consulting Services Agreement dated as of July 27, 1998, as amended December 19, 1998 between Dr. John J. Schwartz</w:t>
            </w:r>
          </w:p>
        </w:tc>
      </w:tr>
      <w:tr>
        <w:trPr>
          <w:trHeight w:val="216"/>
        </w:trPr>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Letter Agreement dated as of December 19, 1998 between John J. Schwartz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10.42$**</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November 20, 1998 between The Scripps Research Institute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10.45$$**</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w w:val="98"/>
              </w:rPr>
              <w:t>Purchase Agreement and License Agreement dated as of December 29, 1999 between Neurotech S.A. and the Registrant.</w:t>
            </w:r>
          </w:p>
        </w:tc>
      </w:tr>
      <w:tr>
        <w:trPr>
          <w:trHeight w:val="216"/>
        </w:trPr>
        <w:tc>
          <w:tcPr>
            <w:tcW w:w="24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10.46++++**</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4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10.48X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Form of Registration Rights Agreement dated as of July 31, 2000 between the Registrant and investors.</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10.49X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dated as of July 31, 2000 between the Registrant and Millennium Partners, L.P.</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10.50XXX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w w:val="97"/>
              </w:rPr>
              <w:t>Common Stock Purchase Agreement, dated as of May 10, 2001, between the Registrant and Sativum Investments Limited.</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10.51XXX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w w:val="97"/>
              </w:rPr>
              <w:t>Escrow Agreement, dated as of May 10, 2001, among the Registrant, Sativum Investments Limited and Epstein, Becker &amp;</w:t>
            </w:r>
          </w:p>
        </w:tc>
      </w:tr>
      <w:tr>
        <w:trPr>
          <w:trHeight w:val="216"/>
        </w:trPr>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Green, P.C.</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10.52XX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October 30, 2000, between the Registrant and NeuroSpheres Ltd.</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10.53XX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Letter Agreement, dated January 2, 2001, between the Registrant and Martin McGlynn</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10.54XX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Lease, dated February 1, 2001, between the Board of Trustees of Stanford University and the Registrant.</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10.55XXX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w w:val="99"/>
              </w:rPr>
              <w:t>Registration Rights Agreement, dated as of June 21, 2001, by and between the Registrant and Millennium Partners, L.P.</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10.56XXX</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dated as of June 21, 2001, by and between the Registrant and Millennium Partners, L.P.</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10.57$$$</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2001 Equity Incentive Plan</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10.58[**]</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dated as of December 4, 2001 between the Registrant and Riverview Group, L.L.C.</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December 4, 2001 between the Registrant and Riverview Group, L.L.C.</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10.60[**]</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Agreement dated as of December 4, 2001 between the Registrant and Millennium Partners, L.P.</w:t>
            </w:r>
          </w:p>
        </w:tc>
      </w:tr>
      <w:tr>
        <w:trPr>
          <w:trHeight w:val="216"/>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10.61[**]</w:t>
            </w:r>
          </w:p>
        </w:tc>
        <w:tc>
          <w:tcPr>
            <w:tcW w:w="3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Agreement dated as of December 4, 2001 among the Registrant, Millennium Partners, L.P. and Riverview Group, L.L.C.</w:t>
            </w:r>
          </w:p>
        </w:tc>
      </w:tr>
      <w:tr>
        <w:trPr>
          <w:trHeight w:val="228"/>
        </w:trPr>
        <w:tc>
          <w:tcPr>
            <w:tcW w:w="24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10.62$$$$</w:t>
            </w:r>
          </w:p>
        </w:tc>
        <w:tc>
          <w:tcPr>
            <w:tcW w:w="3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Purchase Agreement, dated as of August 23, 2002, between the Registrant and Triton West Group, Inc.</w:t>
            </w:r>
          </w:p>
        </w:tc>
      </w:tr>
      <w:tr>
        <w:trPr>
          <w:trHeight w:val="432"/>
        </w:trPr>
        <w:tc>
          <w:tcPr>
            <w:tcW w:w="2440" w:type="dxa"/>
            <w:vAlign w:val="bottom"/>
          </w:tcPr>
          <w:p>
            <w:pPr>
              <w:spacing w:after="0"/>
              <w:rPr>
                <w:sz w:val="24"/>
                <w:szCs w:val="24"/>
                <w:color w:val="auto"/>
              </w:rPr>
            </w:pPr>
          </w:p>
        </w:tc>
        <w:tc>
          <w:tcPr>
            <w:tcW w:w="898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63</w:t>
            </w:r>
          </w:p>
        </w:tc>
      </w:tr>
      <w:tr>
        <w:trPr>
          <w:trHeight w:val="228"/>
        </w:trPr>
        <w:tc>
          <w:tcPr>
            <w:tcW w:w="2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80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00" w:type="dxa"/>
            <w:vAlign w:val="bottom"/>
            <w:tcBorders>
              <w:bottom w:val="single" w:sz="8" w:color="808080"/>
            </w:tcBorders>
          </w:tcPr>
          <w:p>
            <w:pPr>
              <w:spacing w:after="0"/>
              <w:rPr>
                <w:sz w:val="8"/>
                <w:szCs w:val="8"/>
                <w:color w:val="auto"/>
              </w:rPr>
            </w:pPr>
          </w:p>
        </w:tc>
      </w:tr>
      <w:tr>
        <w:trPr>
          <w:trHeight w:val="303"/>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10.63&amp;</w:t>
            </w:r>
          </w:p>
        </w:tc>
        <w:tc>
          <w:tcPr>
            <w:tcW w:w="220" w:type="dxa"/>
            <w:vAlign w:val="bottom"/>
          </w:tcPr>
          <w:p>
            <w:pPr>
              <w:spacing w:after="0"/>
              <w:rPr>
                <w:sz w:val="24"/>
                <w:szCs w:val="24"/>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April 9, 2003, between the Registrant and Riverview Group, L.L.C.</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10.64&amp;&amp;</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Registration Rights Agreement between the Registrant and Riverview Group, L.L.C.</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10.65&amp;&amp;&amp;</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Securities Purchase Agreement, dated as of May 7, 2003, between the Registrant and Riverview Group, L.L.C.</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Securities Purchase Agreement dated as of December 9, 2003, between the Registrant and Riverview Group, L.L.C.</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Code of Ethics</w:t>
            </w:r>
          </w:p>
        </w:tc>
      </w:tr>
      <w:tr>
        <w:trPr>
          <w:trHeight w:val="216"/>
        </w:trPr>
        <w:tc>
          <w:tcPr>
            <w:tcW w:w="2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Ernst &amp; Young LLP, Independent Auditors.</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Grant Thornton, LLP, Independent Certified Public Accountants.</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as Adopted Pursuant to Section 302 of the Sarbanes-</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Oxley Act of 2002 (Martin McGlynn, Chief Executive Officer).</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as Adopted Pursuant to Section 302 of the Sarbanes-</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Oxley Act of 2002 (George Koshy, Acting Chief Financial Officer).</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(Martin McGlynn, Chief Executive Officer)</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(George Koshy, Acting Chief Financial Officer)</w:t>
            </w:r>
          </w:p>
        </w:tc>
      </w:tr>
      <w:tr>
        <w:trPr>
          <w:trHeight w:val="216"/>
        </w:trPr>
        <w:tc>
          <w:tcPr>
            <w:tcW w:w="20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Cautionary Factors Relevant to Forward-Looking Information</w:t>
            </w:r>
          </w:p>
        </w:tc>
      </w:tr>
      <w:tr>
        <w:trPr>
          <w:trHeight w:val="216"/>
        </w:trPr>
        <w:tc>
          <w:tcPr>
            <w:tcW w:w="2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99.1XX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7"/>
              </w:rPr>
              <w:t>Side Letter, dated March 17, 2001, between the Company and Oleh S. Hnatiuk regarding NeuroSpheres License Agreement,</w:t>
            </w:r>
          </w:p>
        </w:tc>
      </w:tr>
      <w:tr>
        <w:trPr>
          <w:trHeight w:val="228"/>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dated October 30, 2000.</w:t>
            </w:r>
          </w:p>
        </w:tc>
      </w:tr>
      <w:tr>
        <w:trPr>
          <w:trHeight w:val="218"/>
        </w:trPr>
        <w:tc>
          <w:tcPr>
            <w:tcW w:w="2080" w:type="dxa"/>
            <w:vAlign w:val="bottom"/>
            <w:tcBorders>
              <w:bottom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0" w:type="dxa"/>
            <w:vAlign w:val="bottom"/>
          </w:tcPr>
          <w:p>
            <w:pPr>
              <w:spacing w:after="0"/>
              <w:rPr>
                <w:sz w:val="18"/>
                <w:szCs w:val="18"/>
                <w:color w:val="auto"/>
              </w:rPr>
            </w:pPr>
          </w:p>
        </w:tc>
      </w:tr>
    </w:tbl>
    <w:p>
      <w:pPr>
        <w:spacing w:after="0" w:line="337" w:lineRule="exact"/>
        <w:rPr>
          <w:sz w:val="20"/>
          <w:szCs w:val="20"/>
          <w:color w:val="auto"/>
        </w:rPr>
      </w:pPr>
    </w:p>
    <w:p>
      <w:pPr>
        <w:ind w:left="820" w:right="260" w:hanging="812"/>
        <w:spacing w:after="0" w:line="275"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1" w:lineRule="exact"/>
        <w:rPr>
          <w:sz w:val="20"/>
          <w:szCs w:val="20"/>
          <w:color w:val="auto"/>
        </w:rPr>
      </w:pPr>
    </w:p>
    <w:p>
      <w:pPr>
        <w:ind w:left="820" w:right="280" w:hanging="812"/>
        <w:spacing w:after="0" w:line="275"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 File No. 33-85494.</w:t>
      </w:r>
    </w:p>
    <w:p>
      <w:pPr>
        <w:spacing w:after="0" w:line="201" w:lineRule="exact"/>
        <w:rPr>
          <w:sz w:val="20"/>
          <w:szCs w:val="20"/>
          <w:color w:val="auto"/>
        </w:rPr>
      </w:pPr>
    </w:p>
    <w:p>
      <w:pPr>
        <w:ind w:left="820" w:right="280" w:hanging="812"/>
        <w:spacing w:after="0" w:line="275"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S-3, File No. 33-97272.</w:t>
      </w:r>
    </w:p>
    <w:p>
      <w:pPr>
        <w:spacing w:after="0" w:line="201" w:lineRule="exact"/>
        <w:rPr>
          <w:sz w:val="20"/>
          <w:szCs w:val="20"/>
          <w:color w:val="auto"/>
        </w:rPr>
      </w:pPr>
    </w:p>
    <w:p>
      <w:pPr>
        <w:ind w:left="820" w:right="280" w:hanging="812"/>
        <w:spacing w:after="0" w:line="275"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 File No. 33-91228.</w:t>
      </w:r>
    </w:p>
    <w:p>
      <w:pPr>
        <w:spacing w:after="0" w:line="201" w:lineRule="exact"/>
        <w:rPr>
          <w:sz w:val="20"/>
          <w:szCs w:val="20"/>
          <w:color w:val="auto"/>
        </w:rPr>
      </w:pPr>
    </w:p>
    <w:p>
      <w:pPr>
        <w:ind w:left="820" w:right="100" w:hanging="812"/>
        <w:spacing w:after="0" w:line="275"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1" w:lineRule="exact"/>
        <w:rPr>
          <w:sz w:val="20"/>
          <w:szCs w:val="20"/>
          <w:color w:val="auto"/>
        </w:rPr>
      </w:pPr>
    </w:p>
    <w:p>
      <w:pPr>
        <w:ind w:left="820" w:right="100" w:hanging="812"/>
        <w:spacing w:after="0" w:line="275"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201" w:lineRule="exact"/>
        <w:rPr>
          <w:sz w:val="20"/>
          <w:szCs w:val="20"/>
          <w:color w:val="auto"/>
        </w:rPr>
      </w:pPr>
    </w:p>
    <w:p>
      <w:pPr>
        <w:ind w:left="820" w:right="240" w:hanging="812"/>
        <w:spacing w:after="0" w:line="275"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1" w:lineRule="exact"/>
        <w:rPr>
          <w:sz w:val="20"/>
          <w:szCs w:val="20"/>
          <w:color w:val="auto"/>
        </w:rPr>
      </w:pPr>
    </w:p>
    <w:p>
      <w:pPr>
        <w:ind w:left="820" w:right="240" w:hanging="812"/>
        <w:spacing w:after="0" w:line="275" w:lineRule="auto"/>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1999 and filed on April 17, 2000.</w:t>
      </w:r>
    </w:p>
    <w:p>
      <w:pPr>
        <w:spacing w:after="0" w:line="201" w:lineRule="exact"/>
        <w:rPr>
          <w:sz w:val="20"/>
          <w:szCs w:val="20"/>
          <w:color w:val="auto"/>
        </w:rPr>
      </w:pPr>
    </w:p>
    <w:p>
      <w:pPr>
        <w:ind w:left="820" w:right="500" w:hanging="812"/>
        <w:spacing w:after="0" w:line="275"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 quarter ended March 31, 1996.</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820" w:right="460" w:hanging="812"/>
        <w:spacing w:after="0" w:line="275"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 quarter ended September 30, 1996.</w:t>
      </w:r>
    </w:p>
    <w:p>
      <w:pPr>
        <w:spacing w:after="0" w:line="201" w:lineRule="exact"/>
        <w:rPr>
          <w:sz w:val="20"/>
          <w:szCs w:val="20"/>
          <w:color w:val="auto"/>
        </w:rPr>
      </w:pPr>
    </w:p>
    <w:p>
      <w:pPr>
        <w:ind w:left="820" w:right="80" w:hanging="812"/>
        <w:spacing w:after="0" w:line="275" w:lineRule="auto"/>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1" w:lineRule="exact"/>
        <w:rPr>
          <w:sz w:val="20"/>
          <w:szCs w:val="20"/>
          <w:color w:val="auto"/>
        </w:rPr>
      </w:pPr>
    </w:p>
    <w:p>
      <w:pPr>
        <w:ind w:left="820" w:right="80" w:hanging="812"/>
        <w:spacing w:after="0" w:line="275" w:lineRule="auto"/>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1995.</w:t>
      </w:r>
    </w:p>
    <w:p>
      <w:pPr>
        <w:spacing w:after="0" w:line="201" w:lineRule="exact"/>
        <w:rPr>
          <w:sz w:val="20"/>
          <w:szCs w:val="20"/>
          <w:color w:val="auto"/>
        </w:rPr>
      </w:pPr>
    </w:p>
    <w:p>
      <w:pPr>
        <w:ind w:left="820" w:hanging="812"/>
        <w:spacing w:after="0"/>
        <w:tabs>
          <w:tab w:leader="none" w:pos="8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the Commission as Exhibits to, and incorporated herein by reference to, Registration Statement on Form S-1, File No. 33-45739.</w:t>
      </w:r>
    </w:p>
    <w:p>
      <w:pPr>
        <w:spacing w:after="0" w:line="275" w:lineRule="exact"/>
        <w:rPr>
          <w:sz w:val="20"/>
          <w:szCs w:val="20"/>
          <w:color w:val="auto"/>
        </w:rPr>
      </w:pPr>
    </w:p>
    <w:p>
      <w:pPr>
        <w:ind w:left="820" w:hanging="812"/>
        <w:spacing w:after="0" w:line="275" w:lineRule="auto"/>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0" w:lineRule="exact"/>
        <w:rPr>
          <w:rFonts w:ascii="Times New Roman" w:cs="Times New Roman" w:eastAsia="Times New Roman" w:hAnsi="Times New Roman"/>
          <w:sz w:val="18"/>
          <w:szCs w:val="18"/>
          <w:color w:val="auto"/>
        </w:rPr>
      </w:pPr>
    </w:p>
    <w:p>
      <w:pPr>
        <w:ind w:left="820" w:right="60" w:hanging="812"/>
        <w:spacing w:after="0" w:line="275"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0" w:lineRule="exact"/>
        <w:rPr>
          <w:rFonts w:ascii="Times New Roman" w:cs="Times New Roman" w:eastAsia="Times New Roman" w:hAnsi="Times New Roman"/>
          <w:sz w:val="18"/>
          <w:szCs w:val="18"/>
          <w:color w:val="auto"/>
        </w:rPr>
      </w:pPr>
    </w:p>
    <w:p>
      <w:pPr>
        <w:ind w:left="820" w:right="240" w:hanging="812"/>
        <w:spacing w:after="0" w:line="275"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S-8, File No. 333-37313.</w:t>
      </w:r>
    </w:p>
    <w:p>
      <w:pPr>
        <w:spacing w:after="0" w:line="201" w:lineRule="exact"/>
        <w:rPr>
          <w:sz w:val="20"/>
          <w:szCs w:val="20"/>
          <w:color w:val="auto"/>
        </w:rPr>
      </w:pPr>
    </w:p>
    <w:p>
      <w:pPr>
        <w:ind w:left="820" w:right="180" w:hanging="812"/>
        <w:spacing w:after="0" w:line="275"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filed on August 3, 1998.</w:t>
      </w:r>
    </w:p>
    <w:p>
      <w:pPr>
        <w:spacing w:after="0" w:line="201" w:lineRule="exact"/>
        <w:rPr>
          <w:sz w:val="20"/>
          <w:szCs w:val="20"/>
          <w:color w:val="auto"/>
        </w:rPr>
      </w:pPr>
    </w:p>
    <w:p>
      <w:pPr>
        <w:ind w:left="820" w:right="180" w:hanging="812"/>
        <w:spacing w:after="0" w:line="275"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filed on December 7, 2001.</w:t>
      </w:r>
    </w:p>
    <w:p>
      <w:pPr>
        <w:spacing w:after="0" w:line="201" w:lineRule="exact"/>
        <w:rPr>
          <w:sz w:val="20"/>
          <w:szCs w:val="20"/>
          <w:color w:val="auto"/>
        </w:rPr>
      </w:pPr>
    </w:p>
    <w:p>
      <w:pPr>
        <w:ind w:left="820" w:right="300" w:hanging="812"/>
        <w:spacing w:after="0" w:line="275"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Amendment No. 1 to Registration Statement filed on Form S-3, File No. 333-83992.</w:t>
      </w:r>
    </w:p>
    <w:p>
      <w:pPr>
        <w:spacing w:after="0" w:line="201" w:lineRule="exact"/>
        <w:rPr>
          <w:sz w:val="20"/>
          <w:szCs w:val="20"/>
          <w:color w:val="auto"/>
        </w:rPr>
      </w:pPr>
    </w:p>
    <w:p>
      <w:pPr>
        <w:ind w:left="820" w:right="200" w:hanging="812"/>
        <w:spacing w:after="0" w:line="275" w:lineRule="auto"/>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Previously filed with the Commission as an Exhibit to, and incorporated herein by reference to, the Registrant’s current report on Form 8-K on</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January 14, 2000.</w:t>
      </w: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Previously filed with the Commission as an Exhibit to, and incorporated herein by reference to, the Registrant’s definitive proxy statement filed</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May 1, 2001.</w:t>
      </w: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Previously filed with the Commission as an Exhibit to, and incorporated herein by reference to, the Registrant’s current report on Form 8-K on</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August 28, 2002.</w:t>
      </w:r>
    </w:p>
    <w:p>
      <w:pPr>
        <w:spacing w:after="0" w:line="240" w:lineRule="exact"/>
        <w:rPr>
          <w:sz w:val="20"/>
          <w:szCs w:val="20"/>
          <w:color w:val="auto"/>
        </w:rPr>
      </w:pPr>
    </w:p>
    <w:p>
      <w:pPr>
        <w:ind w:left="820" w:right="100" w:hanging="812"/>
        <w:spacing w:after="0" w:line="275"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on Form S-1, File No. 333-45496.</w:t>
      </w:r>
    </w:p>
    <w:p>
      <w:pPr>
        <w:spacing w:after="0" w:line="201" w:lineRule="exact"/>
        <w:rPr>
          <w:sz w:val="20"/>
          <w:szCs w:val="20"/>
          <w:color w:val="auto"/>
        </w:rPr>
      </w:pPr>
    </w:p>
    <w:p>
      <w:pPr>
        <w:ind w:left="820" w:right="80" w:hanging="812"/>
        <w:spacing w:after="0" w:line="275" w:lineRule="auto"/>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1" w:lineRule="exact"/>
        <w:rPr>
          <w:sz w:val="20"/>
          <w:szCs w:val="20"/>
          <w:color w:val="auto"/>
        </w:rPr>
      </w:pPr>
    </w:p>
    <w:p>
      <w:pPr>
        <w:ind w:left="820" w:right="480" w:hanging="812"/>
        <w:spacing w:after="0" w:line="275" w:lineRule="auto"/>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filed on Form S-1 as amended to Form S-3, File No. 333-61726.</w:t>
      </w:r>
    </w:p>
    <w:p>
      <w:pPr>
        <w:spacing w:after="0" w:line="201" w:lineRule="exact"/>
        <w:rPr>
          <w:sz w:val="20"/>
          <w:szCs w:val="20"/>
          <w:color w:val="auto"/>
        </w:rPr>
      </w:pPr>
    </w:p>
    <w:p>
      <w:pPr>
        <w:ind w:left="820" w:right="480" w:hanging="812"/>
        <w:spacing w:after="0" w:line="275" w:lineRule="auto"/>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filed on Form S-3, File No. 333-75806.</w:t>
      </w:r>
    </w:p>
    <w:p>
      <w:pPr>
        <w:spacing w:after="0" w:line="201" w:lineRule="exact"/>
        <w:rPr>
          <w:sz w:val="20"/>
          <w:szCs w:val="20"/>
          <w:color w:val="auto"/>
        </w:rPr>
      </w:pPr>
    </w:p>
    <w:p>
      <w:pPr>
        <w:ind w:left="820" w:right="540" w:hanging="812"/>
        <w:spacing w:after="0" w:line="275" w:lineRule="auto"/>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April 15, 2003.</w:t>
      </w:r>
    </w:p>
    <w:p>
      <w:pPr>
        <w:spacing w:after="0" w:line="201" w:lineRule="exact"/>
        <w:rPr>
          <w:sz w:val="20"/>
          <w:szCs w:val="20"/>
          <w:color w:val="auto"/>
        </w:rPr>
      </w:pPr>
    </w:p>
    <w:p>
      <w:pPr>
        <w:ind w:left="820" w:right="540" w:hanging="812"/>
        <w:spacing w:after="0" w:line="275" w:lineRule="auto"/>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May 13, 2003.</w:t>
      </w:r>
    </w:p>
    <w:p>
      <w:pPr>
        <w:spacing w:after="0" w:line="201" w:lineRule="exact"/>
        <w:rPr>
          <w:sz w:val="20"/>
          <w:szCs w:val="20"/>
          <w:color w:val="auto"/>
        </w:rPr>
      </w:pPr>
    </w:p>
    <w:p>
      <w:pPr>
        <w:ind w:left="820" w:right="540" w:hanging="812"/>
        <w:spacing w:after="0" w:line="275" w:lineRule="auto"/>
        <w:tabs>
          <w:tab w:leader="none" w:pos="8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May 15, 2003.</w:t>
      </w:r>
    </w:p>
    <w:p>
      <w:pPr>
        <w:sectPr>
          <w:pgSz w:w="11900" w:h="16838" w:orient="portrait"/>
          <w:cols w:equalWidth="0" w:num="1">
            <w:col w:w="11380"/>
          </w:cols>
          <w:pgMar w:left="240" w:top="415" w:right="279" w:bottom="950" w:gutter="0" w:footer="0" w:header="0"/>
        </w:sectPr>
      </w:pP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95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ind w:left="820" w:right="580" w:hanging="812"/>
        <w:spacing w:after="0" w:line="275" w:lineRule="auto"/>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December 10, 2003.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Current Reports on Form 8-K.</w:t>
      </w:r>
    </w:p>
    <w:p>
      <w:pPr>
        <w:spacing w:after="0" w:line="252"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A Current Report on Form 8-K was filed by the Registrant on October 22, 2003 reporting, under Item 4, that the Registrant’s independent public accountants, Ernst &amp; Young LLP had provided notice of their its intent to resign.</w:t>
      </w:r>
    </w:p>
    <w:p>
      <w:pPr>
        <w:spacing w:after="0" w:line="201"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A Current Report on Form 8-K was filed by the Registrant on November 12, 2003 reporting, under Item 5, that Riverview Group, LLC had exercised its right to convert all remaining shares of the Registrant’s 3% Convertible Preferred Stock held by Riverview.</w:t>
      </w:r>
    </w:p>
    <w:p>
      <w:pPr>
        <w:spacing w:after="0" w:line="201"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A Current Report on Form 8-K was filed by the Registrant on December 8, 2003 reporting, under Item 4, that the Registrant had engaged Grant Thornton LLP as its independent public accountants.</w:t>
      </w:r>
    </w:p>
    <w:p>
      <w:pPr>
        <w:spacing w:after="0" w:line="201"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A Current Report on Form 8-K was filed by the Registrant on December 10, 2003 reporting, under Item 5, that the Registrant had issued shares of common stock pursuant to its shelf registration statement on Form S-3.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STEMCELLS, INC.</w:t>
      </w:r>
    </w:p>
    <w:p>
      <w:pPr>
        <w:spacing w:after="0" w:line="252" w:lineRule="exact"/>
        <w:rPr>
          <w:sz w:val="20"/>
          <w:szCs w:val="20"/>
          <w:color w:val="auto"/>
        </w:rPr>
      </w:pPr>
    </w:p>
    <w:p>
      <w:pPr>
        <w:ind w:left="454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100965</wp:posOffset>
            </wp:positionV>
            <wp:extent cx="43478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color w:val="auto"/>
        </w:rPr>
        <w:t>Martin McGlynn</w:t>
      </w:r>
    </w:p>
    <w:p>
      <w:pPr>
        <w:spacing w:after="0" w:line="34"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5, 2004</w:t>
      </w:r>
    </w:p>
    <w:p>
      <w:pPr>
        <w:spacing w:after="0" w:line="252"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8" w:lineRule="exact"/>
        <w:rPr>
          <w:sz w:val="20"/>
          <w:szCs w:val="20"/>
          <w:color w:val="auto"/>
        </w:rPr>
      </w:pPr>
    </w:p>
    <w:p>
      <w:pPr>
        <w:ind w:left="2360"/>
        <w:spacing w:after="0"/>
        <w:tabs>
          <w:tab w:leader="none" w:pos="7380" w:val="left"/>
          <w:tab w:leader="none" w:pos="105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Capacity</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 MARTIN MCGLYNN</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President and Chief Executive Officer and 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109"/>
        </w:trPr>
        <w:tc>
          <w:tcPr>
            <w:tcW w:w="5280" w:type="dxa"/>
            <w:vAlign w:val="bottom"/>
            <w:tcBorders>
              <w:bottom w:val="single" w:sz="8" w:color="808080"/>
            </w:tcBorders>
          </w:tcPr>
          <w:p>
            <w:pPr>
              <w:spacing w:after="0"/>
              <w:rPr>
                <w:sz w:val="9"/>
                <w:szCs w:val="9"/>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Martin McGlynn</w:t>
            </w:r>
          </w:p>
        </w:tc>
        <w:tc>
          <w:tcPr>
            <w:tcW w:w="468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4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GEORGE KOSHY</w:t>
            </w:r>
          </w:p>
        </w:tc>
        <w:tc>
          <w:tcPr>
            <w:tcW w:w="46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Controller and Acting Chief Financial Officer (principal</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109"/>
        </w:trPr>
        <w:tc>
          <w:tcPr>
            <w:tcW w:w="5280" w:type="dxa"/>
            <w:vAlign w:val="bottom"/>
            <w:tcBorders>
              <w:bottom w:val="single" w:sz="8" w:color="808080"/>
            </w:tcBorders>
          </w:tcPr>
          <w:p>
            <w:pPr>
              <w:spacing w:after="0"/>
              <w:rPr>
                <w:sz w:val="9"/>
                <w:szCs w:val="9"/>
                <w:color w:val="auto"/>
              </w:rPr>
            </w:pPr>
          </w:p>
        </w:tc>
        <w:tc>
          <w:tcPr>
            <w:tcW w:w="468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7"/>
              </w:rPr>
              <w:t>accounting officer)</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George Koshy</w:t>
            </w:r>
          </w:p>
        </w:tc>
        <w:tc>
          <w:tcPr>
            <w:tcW w:w="468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4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ERIC BJERKHOLT</w:t>
            </w:r>
          </w:p>
        </w:tc>
        <w:tc>
          <w:tcPr>
            <w:tcW w:w="46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Eric Bjerkholt</w:t>
            </w:r>
          </w:p>
        </w:tc>
        <w:tc>
          <w:tcPr>
            <w:tcW w:w="4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RICARDO B. LEVY PH.D.</w:t>
            </w:r>
          </w:p>
        </w:tc>
        <w:tc>
          <w:tcPr>
            <w:tcW w:w="46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Ricardo B. Levy, Ph.D.</w:t>
            </w:r>
          </w:p>
        </w:tc>
        <w:tc>
          <w:tcPr>
            <w:tcW w:w="4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ROGER PERLMUTTER, M.D.</w:t>
            </w:r>
          </w:p>
        </w:tc>
        <w:tc>
          <w:tcPr>
            <w:tcW w:w="46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Roger Perlmutter, M.D.</w:t>
            </w:r>
          </w:p>
        </w:tc>
        <w:tc>
          <w:tcPr>
            <w:tcW w:w="4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JOHN J. SCHWARTZ, PH.D.</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Director, Chairman of the Board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J. Schwartz, Ph.D.</w:t>
            </w:r>
          </w:p>
        </w:tc>
        <w:tc>
          <w:tcPr>
            <w:tcW w:w="4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IRVING L. WEISSMAN, M.D.</w:t>
            </w:r>
          </w:p>
        </w:tc>
        <w:tc>
          <w:tcPr>
            <w:tcW w:w="46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5,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Irving L. Weissman, M.D.</w:t>
            </w:r>
          </w:p>
        </w:tc>
        <w:tc>
          <w:tcPr>
            <w:tcW w:w="4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4680" w:type="dxa"/>
            <w:vAlign w:val="bottom"/>
          </w:tcPr>
          <w:p>
            <w:pPr>
              <w:jc w:val="right"/>
              <w:ind w:right="4072"/>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8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6"/>
        </w:trPr>
        <w:tc>
          <w:tcPr>
            <w:tcW w:w="230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880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00" w:type="dxa"/>
            <w:vAlign w:val="bottom"/>
            <w:tcBorders>
              <w:bottom w:val="single" w:sz="8" w:color="808080"/>
            </w:tcBorders>
          </w:tcPr>
          <w:p>
            <w:pPr>
              <w:spacing w:after="0"/>
              <w:rPr>
                <w:sz w:val="8"/>
                <w:szCs w:val="8"/>
                <w:color w:val="auto"/>
              </w:rPr>
            </w:pPr>
          </w:p>
        </w:tc>
      </w:tr>
      <w:tr>
        <w:trPr>
          <w:trHeight w:val="303"/>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3.3[***]</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Amendment to the Restated Certificate of Incorporation of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Specimen Common Stock Certificate.</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Warrant Certificate issued to a certain purchaser of the Registrant’s Common Stock in April 1995.</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4.3X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Mark Angelo</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4.4X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Robert Farrell</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4.5X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Joseph Donahue</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4.6X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Hunter Singer</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4.7X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May Davis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4.8X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4.9X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4.10XXX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May 10, 2001 between the Registrant and Sativum Investments Limited.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4.11XXX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Sativum Investments Limited.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4.12XXX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Pacific Crest Securities,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4.13XXX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dated May 10, 2001 to Purchase Common Stock issued to Granite Financial Group,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4.14XXX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Callable Warrant, dated June 21, 2001, issued to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4.15XXX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 Class A, dated June 21, 2001, issued to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4.16[**]</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Designations of the Powers, Preferences and Relative, Participating, Optional and other Special Rights of</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Preferred Stock and Qualifications, Limitations and Restrictions Thereof of 3% Cumulative Convertible Preferred Stock for</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StemCells,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4.17[**]</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4.18XXXX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Cantor Fitzgerald &amp; Co.</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4.19&amp;&amp;</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Warrant to Purchase Common Stock —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Amendment to Registration Rights dated as of February 14, 1992 among the Registrant and certain of its stockholders.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at-will Employment Agreement between the Registrant and most of its employees.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10.3*</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Agreement for Consulting Services between the Registrant and members of its Scientific Advisory Board.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10.4*</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Nondisclosure Agreement between the Registrant and its Contractors.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Master Lease and Warrant Agreement dated April 23, 1991 between the Registrant and PacifiCorp Credit,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1988 Stock Option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10.7*</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Equity Incentive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10.8*</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Stock Option Plan for Non-Employee Directors.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10.9**!!!!</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1992 Employee Stock Purchase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Research Agreement dated as of March 16, 1994 between NeuroSpheres, Ltd. and Registrant.</w:t>
            </w:r>
          </w:p>
        </w:tc>
      </w:tr>
      <w:tr>
        <w:trPr>
          <w:trHeight w:val="228"/>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10.13++</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September 30, 1994 between The First National Bank of Boston and Registrant.</w:t>
            </w:r>
          </w:p>
        </w:tc>
      </w:tr>
      <w:tr>
        <w:trPr>
          <w:trHeight w:val="228"/>
        </w:trPr>
        <w:tc>
          <w:tcPr>
            <w:tcW w:w="2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68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680" w:type="dxa"/>
            <w:vAlign w:val="bottom"/>
            <w:tcBorders>
              <w:bottom w:val="single" w:sz="8" w:color="808080"/>
            </w:tcBorders>
          </w:tcPr>
          <w:p>
            <w:pPr>
              <w:spacing w:after="0"/>
              <w:rPr>
                <w:sz w:val="8"/>
                <w:szCs w:val="8"/>
                <w:color w:val="auto"/>
              </w:rPr>
            </w:pPr>
          </w:p>
        </w:tc>
      </w:tr>
      <w:tr>
        <w:trPr>
          <w:trHeight w:val="303"/>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Lease Agreement between the Registrant and Rhode Island Industrial Facilities Corporation, dated as of August 1, 1992.</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First Amendment to Lease Agreement between Registrant and The Rhode Island Industrial Facilities Corporation dated as</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September 15, 1994.</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Development, Marketing and License Agreement, dated as of March 30, 1995 between Registrant and Astra AB.</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Form of Unit Purchase Agreement to be executed by the purchasers of the Common Stock and Warrants offered in April</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10.19+++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Common Stock Purchase Agreement to be executed among the Registrant and certain purchasers of the</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Registrant’s Common Stock.</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Agreement dated as of November 21, 1997 by and between Hub RI Properties Trust, as Landlord, and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CytoTherapeutics, Inc., as Tenant.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individual stockholders option agreement dated as of July 10, 1996 among the Company and the individuals listed</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therein.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CTI Valoria option agreement dated of July 10, 1996 between the Company and the Societe Financiere Valoria SA.</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Term Loan Agreement dated as of October 22, 1996 between The First National Bank of Boston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and Plan of Merger dated as of August 13, 1997 among StemCells, Inc., the Registrant and CTI Acquisition</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Consulting Agreement dated as of September 25, 1997 between Dr. Irving Weissman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10.29###</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among each of Dr. Irving Weissman and Dr. Fred H. Gage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StemCells, Inc. 1996 Stock Option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1997 StemCells Research Stock Option Plan (the “1997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Performance-Based Incentive Option Agreement issued under the 1997 Plan.</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Employment Agreement dated as of September 25, 1997 between Dr. Richard M. Rose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10.38[*]</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Rights Agreement, dated as of July 27, 1998 between Bank Boston, N.A. as Rights Agent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10.40$**</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Consulting Services Agreement dated as of July 27, 1998, as amended December 19, 1998 between Dr. John J. Schwartz</w:t>
            </w:r>
          </w:p>
        </w:tc>
      </w:tr>
      <w:tr>
        <w:trPr>
          <w:trHeight w:val="216"/>
        </w:trPr>
        <w:tc>
          <w:tcPr>
            <w:tcW w:w="2420" w:type="dxa"/>
            <w:vAlign w:val="bottom"/>
          </w:tcPr>
          <w:p>
            <w:pPr>
              <w:spacing w:after="0"/>
              <w:rPr>
                <w:sz w:val="18"/>
                <w:szCs w:val="18"/>
                <w:color w:val="auto"/>
              </w:rPr>
            </w:pP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10.41$**</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as of December 19, 1998 between John J. Schwartz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10.42$**</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10.43$**</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27, 1998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10.44$**</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November 20, 1998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10.45$$**</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Purchase Agreement and License Agreement dated as of December 29, 1999 between Neurotech S.A.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10.46++++**</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10.47++++**</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June 1999 between The Scripps Research Institute and the Registrant.</w:t>
            </w:r>
          </w:p>
        </w:tc>
      </w:tr>
      <w:tr>
        <w:trPr>
          <w:trHeight w:val="216"/>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10.48X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Registration Rights Agreement dated as of July 31, 2000 between the Registrant and investors.</w:t>
            </w:r>
          </w:p>
        </w:tc>
      </w:tr>
      <w:tr>
        <w:trPr>
          <w:trHeight w:val="228"/>
        </w:trPr>
        <w:tc>
          <w:tcPr>
            <w:tcW w:w="24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10.49X</w:t>
            </w:r>
          </w:p>
        </w:tc>
        <w:tc>
          <w:tcPr>
            <w:tcW w:w="9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July 31, 2000 between the Registrant and Millennium Partners, L.P.</w:t>
            </w:r>
          </w:p>
        </w:tc>
      </w:tr>
      <w:tr>
        <w:trPr>
          <w:trHeight w:val="228"/>
        </w:trPr>
        <w:tc>
          <w:tcPr>
            <w:tcW w:w="2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880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Title or Description</w:t>
            </w:r>
          </w:p>
        </w:tc>
      </w:tr>
      <w:tr>
        <w:trPr>
          <w:trHeight w:val="95"/>
        </w:trPr>
        <w:tc>
          <w:tcPr>
            <w:tcW w:w="2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00" w:type="dxa"/>
            <w:vAlign w:val="bottom"/>
            <w:tcBorders>
              <w:bottom w:val="single" w:sz="8" w:color="808080"/>
            </w:tcBorders>
          </w:tcPr>
          <w:p>
            <w:pPr>
              <w:spacing w:after="0"/>
              <w:rPr>
                <w:sz w:val="8"/>
                <w:szCs w:val="8"/>
                <w:color w:val="auto"/>
              </w:rPr>
            </w:pPr>
          </w:p>
        </w:tc>
      </w:tr>
      <w:tr>
        <w:trPr>
          <w:trHeight w:val="303"/>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10.50XXX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Common Stock Purchase Agreement, dated as of May 10, 2001, between the Registrant and Sativum Investments Limited.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10.51XXX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Escrow Agreement, dated as of May 10, 2001, among the Registrant, Sativum Investments Limited and Epstein, Becker &amp;</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Green, P.C.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10.52XX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October 30, 2000, between the Registrant and NeuroSpheres Ltd.</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10.53XX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January 2, 2001, between the Registrant and Martin McGlynn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10.54XX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Lease, dated February 1, 2001, between the Board of Trustees of Stanford University and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10.55XXX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June 21, 2001, by and between the Registrant and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10.56XXX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June 21, 2001, by and between the Registrant and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10.57$$$</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2001 Equity Incentive Plan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10.58[**]</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Subscription Agreement, dated as of December 4, 2001 between the Registrant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10.59[**]</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December 4, 2001 between the Registrant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10.60[**]</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December 4, 2001 between the Registrant and Millennium Partners, L.P.</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December 4, 2001 among the Registrant, Millennium Partners, L.P.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Purchase Agreement, dated as of August 23, 2002, between the Registrant and Triton West Group, Inc.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10.63&amp;</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 dated as of April 9, 2003, between the Registrant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10.64&amp;&amp;</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Registration Rights Agreement between the Registrant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10.65&amp;&amp;&amp;</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Securities Purchase Agreement, dated as of May 7, 2003, between the Registrant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10.66%</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Securities Purchase Agreement dated as of December 9, 2003, between the Registrant and Riverview Group, L.L.C.</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14.1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Code of Ethics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21X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23.1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Ernst &amp; Young LLP, Independent Auditors.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23.2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Grant Thornton, LLP, Independent Certified Public Accountants.</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31.1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as Adopted Pursuant to Section 302 of the Sarbanes-</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Oxley Act of 2002 (Martin McGlynn, Chief Executive Officer).</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31.2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as Adopted Pursuant to Section 302 of the Sarbanes-</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Oxley Act of 2002 (George Koshy, Acting Chief Financial Officer).</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32.1</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(Martin McGlynn, Chief Executive Officer).</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32.2</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(George Koshy, Acting Chief Financial Officer)</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99</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Cautionary Factors Relevant to Forward-Looking Information</w:t>
            </w:r>
          </w:p>
        </w:tc>
      </w:tr>
      <w:tr>
        <w:trPr>
          <w:trHeight w:val="216"/>
        </w:trPr>
        <w:tc>
          <w:tcPr>
            <w:tcW w:w="23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99.1XX</w:t>
            </w: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7"/>
              </w:rPr>
              <w:t>Side Letter, dated March 17, 2001, between the Company and Oleh S. Hnatiuk regarding NeuroSpheres License Agreement,</w:t>
            </w:r>
          </w:p>
        </w:tc>
      </w:tr>
      <w:tr>
        <w:trPr>
          <w:trHeight w:val="228"/>
        </w:trPr>
        <w:tc>
          <w:tcPr>
            <w:tcW w:w="2300" w:type="dxa"/>
            <w:vAlign w:val="bottom"/>
          </w:tcPr>
          <w:p>
            <w:pPr>
              <w:spacing w:after="0"/>
              <w:rPr>
                <w:sz w:val="19"/>
                <w:szCs w:val="19"/>
                <w:color w:val="auto"/>
              </w:rPr>
            </w:pPr>
          </w:p>
        </w:tc>
        <w:tc>
          <w:tcPr>
            <w:tcW w:w="9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dated October 30, 2000.</w:t>
            </w:r>
          </w:p>
        </w:tc>
      </w:tr>
      <w:tr>
        <w:trPr>
          <w:trHeight w:val="228"/>
        </w:trPr>
        <w:tc>
          <w:tcPr>
            <w:tcW w:w="2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3208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20" w:right="220" w:hanging="812"/>
        <w:spacing w:after="0" w:line="275" w:lineRule="auto"/>
        <w:tabs>
          <w:tab w:leader="none" w:pos="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1" w:lineRule="exact"/>
        <w:rPr>
          <w:sz w:val="20"/>
          <w:szCs w:val="20"/>
          <w:color w:val="auto"/>
        </w:rPr>
      </w:pPr>
    </w:p>
    <w:p>
      <w:pPr>
        <w:ind w:left="820" w:right="240" w:hanging="812"/>
        <w:spacing w:after="0" w:line="275" w:lineRule="auto"/>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 File No. 33-85494.</w:t>
      </w:r>
    </w:p>
    <w:p>
      <w:pPr>
        <w:spacing w:after="0" w:line="201" w:lineRule="exact"/>
        <w:rPr>
          <w:sz w:val="20"/>
          <w:szCs w:val="20"/>
          <w:color w:val="auto"/>
        </w:rPr>
      </w:pPr>
    </w:p>
    <w:p>
      <w:pPr>
        <w:ind w:left="820" w:right="240" w:hanging="812"/>
        <w:spacing w:after="0" w:line="275" w:lineRule="auto"/>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S-3, File No. 33-97272.</w:t>
      </w:r>
    </w:p>
    <w:p>
      <w:pPr>
        <w:spacing w:after="0" w:line="201" w:lineRule="exact"/>
        <w:rPr>
          <w:sz w:val="20"/>
          <w:szCs w:val="20"/>
          <w:color w:val="auto"/>
        </w:rPr>
      </w:pPr>
    </w:p>
    <w:p>
      <w:pPr>
        <w:ind w:left="820" w:right="240" w:hanging="812"/>
        <w:spacing w:after="0" w:line="275" w:lineRule="auto"/>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S-1, File No. 33-91228.</w:t>
      </w:r>
    </w:p>
    <w:p>
      <w:pPr>
        <w:spacing w:after="0" w:line="201" w:lineRule="exact"/>
        <w:rPr>
          <w:sz w:val="20"/>
          <w:szCs w:val="20"/>
          <w:color w:val="auto"/>
        </w:rPr>
      </w:pPr>
    </w:p>
    <w:p>
      <w:pPr>
        <w:ind w:left="820" w:right="60" w:hanging="812"/>
        <w:spacing w:after="0" w:line="275" w:lineRule="auto"/>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1" w:lineRule="exact"/>
        <w:rPr>
          <w:sz w:val="20"/>
          <w:szCs w:val="20"/>
          <w:color w:val="auto"/>
        </w:rPr>
      </w:pPr>
    </w:p>
    <w:p>
      <w:pPr>
        <w:ind w:left="820" w:right="60" w:hanging="812"/>
        <w:spacing w:after="0" w:line="275" w:lineRule="auto"/>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201" w:lineRule="exact"/>
        <w:rPr>
          <w:sz w:val="20"/>
          <w:szCs w:val="20"/>
          <w:color w:val="auto"/>
        </w:rPr>
      </w:pPr>
    </w:p>
    <w:p>
      <w:pPr>
        <w:ind w:left="820" w:right="200" w:hanging="812"/>
        <w:spacing w:after="0" w:line="275" w:lineRule="auto"/>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1" w:lineRule="exact"/>
        <w:rPr>
          <w:sz w:val="20"/>
          <w:szCs w:val="20"/>
          <w:color w:val="auto"/>
        </w:rPr>
      </w:pPr>
    </w:p>
    <w:p>
      <w:pPr>
        <w:ind w:left="820" w:right="200" w:hanging="812"/>
        <w:spacing w:after="0" w:line="275" w:lineRule="auto"/>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1999 and filed on April 17, 2000.</w:t>
      </w:r>
    </w:p>
    <w:p>
      <w:pPr>
        <w:spacing w:after="0" w:line="201" w:lineRule="exact"/>
        <w:rPr>
          <w:sz w:val="20"/>
          <w:szCs w:val="20"/>
          <w:color w:val="auto"/>
        </w:rPr>
      </w:pPr>
    </w:p>
    <w:p>
      <w:pPr>
        <w:ind w:left="820" w:right="460" w:hanging="812"/>
        <w:spacing w:after="0" w:line="275" w:lineRule="auto"/>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 quarter ended March 31, 1996.</w:t>
      </w:r>
    </w:p>
    <w:p>
      <w:pPr>
        <w:spacing w:after="0" w:line="201" w:lineRule="exact"/>
        <w:rPr>
          <w:sz w:val="20"/>
          <w:szCs w:val="20"/>
          <w:color w:val="auto"/>
        </w:rPr>
      </w:pPr>
    </w:p>
    <w:p>
      <w:pPr>
        <w:ind w:left="820" w:right="460" w:hanging="812"/>
        <w:spacing w:after="0" w:line="275"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by reference to, the Registrant’s Quarterly Report on Form 10-Q for the quarter ended September 30, 1996.</w:t>
      </w:r>
    </w:p>
    <w:p>
      <w:pPr>
        <w:spacing w:after="0" w:line="201" w:lineRule="exact"/>
        <w:rPr>
          <w:sz w:val="20"/>
          <w:szCs w:val="20"/>
          <w:color w:val="auto"/>
        </w:rPr>
      </w:pPr>
    </w:p>
    <w:p>
      <w:pPr>
        <w:ind w:left="820" w:right="80" w:hanging="812"/>
        <w:spacing w:after="0" w:line="275"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1" w:lineRule="exact"/>
        <w:rPr>
          <w:sz w:val="20"/>
          <w:szCs w:val="20"/>
          <w:color w:val="auto"/>
        </w:rPr>
      </w:pPr>
    </w:p>
    <w:p>
      <w:pPr>
        <w:ind w:left="820" w:right="80" w:hanging="812"/>
        <w:spacing w:after="0" w:line="275"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1995.</w:t>
      </w:r>
    </w:p>
    <w:p>
      <w:pPr>
        <w:spacing w:after="0" w:line="201" w:lineRule="exact"/>
        <w:rPr>
          <w:sz w:val="20"/>
          <w:szCs w:val="20"/>
          <w:color w:val="auto"/>
        </w:rPr>
      </w:pPr>
    </w:p>
    <w:p>
      <w:pPr>
        <w:ind w:left="820" w:hanging="812"/>
        <w:spacing w:after="0"/>
        <w:tabs>
          <w:tab w:leader="none" w:pos="8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the Commission as Exhibits to, and incorporated herein by reference to, Registration Statement on Form S-1, File No. 33-45739.</w:t>
      </w:r>
    </w:p>
    <w:p>
      <w:pPr>
        <w:spacing w:after="0" w:line="275" w:lineRule="exact"/>
        <w:rPr>
          <w:sz w:val="20"/>
          <w:szCs w:val="20"/>
          <w:color w:val="auto"/>
        </w:rPr>
      </w:pPr>
    </w:p>
    <w:p>
      <w:pPr>
        <w:ind w:left="820" w:hanging="812"/>
        <w:spacing w:after="0" w:line="275" w:lineRule="auto"/>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0" w:lineRule="exact"/>
        <w:rPr>
          <w:rFonts w:ascii="Times New Roman" w:cs="Times New Roman" w:eastAsia="Times New Roman" w:hAnsi="Times New Roman"/>
          <w:sz w:val="18"/>
          <w:szCs w:val="18"/>
          <w:color w:val="auto"/>
        </w:rPr>
      </w:pPr>
    </w:p>
    <w:p>
      <w:pPr>
        <w:ind w:left="820" w:right="60" w:hanging="812"/>
        <w:spacing w:after="0" w:line="275" w:lineRule="auto"/>
        <w:tabs>
          <w:tab w:leader="none" w:pos="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0" w:lineRule="exact"/>
        <w:rPr>
          <w:rFonts w:ascii="Times New Roman" w:cs="Times New Roman" w:eastAsia="Times New Roman" w:hAnsi="Times New Roman"/>
          <w:sz w:val="18"/>
          <w:szCs w:val="18"/>
          <w:color w:val="auto"/>
        </w:rPr>
      </w:pPr>
    </w:p>
    <w:p>
      <w:pPr>
        <w:ind w:left="820" w:right="240" w:hanging="812"/>
        <w:spacing w:after="0" w:line="275" w:lineRule="auto"/>
        <w:tabs>
          <w:tab w:leader="none" w:pos="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Exhibits to, and incorporated herein by reference to, the Registrant’s Registration Statement on Form S-8, File No. 333-37313.</w:t>
      </w:r>
    </w:p>
    <w:p>
      <w:pPr>
        <w:spacing w:after="0" w:line="201" w:lineRule="exact"/>
        <w:rPr>
          <w:sz w:val="20"/>
          <w:szCs w:val="20"/>
          <w:color w:val="auto"/>
        </w:rPr>
      </w:pPr>
    </w:p>
    <w:p>
      <w:pPr>
        <w:ind w:left="820" w:right="180" w:hanging="812"/>
        <w:spacing w:after="0" w:line="275"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filed on August 3, 1998.</w:t>
      </w:r>
    </w:p>
    <w:p>
      <w:pPr>
        <w:spacing w:after="0" w:line="201" w:lineRule="exact"/>
        <w:rPr>
          <w:sz w:val="20"/>
          <w:szCs w:val="20"/>
          <w:color w:val="auto"/>
        </w:rPr>
      </w:pPr>
    </w:p>
    <w:p>
      <w:pPr>
        <w:ind w:left="820" w:right="180" w:hanging="812"/>
        <w:spacing w:after="0" w:line="275" w:lineRule="auto"/>
        <w:tabs>
          <w:tab w:leader="none" w:pos="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filed on December 7, 2001.</w:t>
      </w:r>
    </w:p>
    <w:p>
      <w:pPr>
        <w:spacing w:after="0" w:line="201" w:lineRule="exact"/>
        <w:rPr>
          <w:sz w:val="20"/>
          <w:szCs w:val="20"/>
          <w:color w:val="auto"/>
        </w:rPr>
      </w:pPr>
    </w:p>
    <w:p>
      <w:pPr>
        <w:ind w:left="820" w:right="300" w:hanging="812"/>
        <w:spacing w:after="0" w:line="275"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Amendment No. 1 to Registration Statement filed on Form S-3, File No. 333-83992.</w:t>
      </w:r>
    </w:p>
    <w:p>
      <w:pPr>
        <w:spacing w:after="0" w:line="201" w:lineRule="exact"/>
        <w:rPr>
          <w:sz w:val="20"/>
          <w:szCs w:val="20"/>
          <w:color w:val="auto"/>
        </w:rPr>
      </w:pPr>
    </w:p>
    <w:p>
      <w:pPr>
        <w:ind w:left="820" w:right="200" w:hanging="812"/>
        <w:spacing w:after="0" w:line="275" w:lineRule="auto"/>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75" w:name="page76"/>
    <w:bookmarkEnd w:id="75"/>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00"/>
          </w:cols>
          <w:pgMar w:left="240" w:top="415"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January 14, 2000.</w:t>
      </w:r>
    </w:p>
    <w:p>
      <w:pPr>
        <w:spacing w:after="0" w:line="200" w:lineRule="exact"/>
        <w:rPr>
          <w:sz w:val="20"/>
          <w:szCs w:val="20"/>
          <w:color w:val="auto"/>
        </w:rPr>
      </w:pPr>
    </w:p>
    <w:p>
      <w:pPr>
        <w:sectPr>
          <w:pgSz w:w="11900" w:h="16838" w:orient="portrait"/>
          <w:cols w:equalWidth="0" w:num="2">
            <w:col w:w="180" w:space="640"/>
            <w:col w:w="10480"/>
          </w:cols>
          <w:pgMar w:left="240" w:top="415"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380"/>
        <w:spacing w:after="0" w:line="275" w:lineRule="auto"/>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definitive proxy statement filed May 1, 2001.</w:t>
      </w:r>
    </w:p>
    <w:p>
      <w:pPr>
        <w:spacing w:after="0" w:line="200" w:lineRule="exact"/>
        <w:rPr>
          <w:sz w:val="20"/>
          <w:szCs w:val="20"/>
          <w:color w:val="auto"/>
        </w:rPr>
      </w:pPr>
    </w:p>
    <w:p>
      <w:pPr>
        <w:sectPr>
          <w:pgSz w:w="11900" w:h="16838" w:orient="portrait"/>
          <w:cols w:equalWidth="0" w:num="2">
            <w:col w:w="280" w:space="540"/>
            <w:col w:w="10480"/>
          </w:cols>
          <w:pgMar w:left="240" w:top="415"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460"/>
        <w:spacing w:after="0" w:line="275" w:lineRule="auto"/>
        <w:rPr>
          <w:sz w:val="20"/>
          <w:szCs w:val="20"/>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August 28, 2002.</w:t>
      </w:r>
    </w:p>
    <w:p>
      <w:pPr>
        <w:spacing w:after="0" w:line="200" w:lineRule="exact"/>
        <w:rPr>
          <w:sz w:val="20"/>
          <w:szCs w:val="20"/>
          <w:color w:val="auto"/>
        </w:rPr>
      </w:pPr>
    </w:p>
    <w:p>
      <w:pPr>
        <w:sectPr>
          <w:pgSz w:w="11900" w:h="16838" w:orient="portrait"/>
          <w:cols w:equalWidth="0" w:num="2">
            <w:col w:w="360" w:space="460"/>
            <w:col w:w="10480"/>
          </w:cols>
          <w:pgMar w:left="240" w:top="415" w:right="359" w:bottom="1440" w:gutter="0" w:footer="0" w:header="0"/>
          <w:type w:val="continuous"/>
        </w:sectPr>
      </w:pPr>
    </w:p>
    <w:p>
      <w:pPr>
        <w:spacing w:after="0" w:line="1" w:lineRule="exact"/>
        <w:rPr>
          <w:sz w:val="20"/>
          <w:szCs w:val="20"/>
          <w:color w:val="auto"/>
        </w:rPr>
      </w:pPr>
    </w:p>
    <w:p>
      <w:pPr>
        <w:ind w:left="820" w:right="20" w:hanging="812"/>
        <w:spacing w:after="0" w:line="275" w:lineRule="auto"/>
        <w:tabs>
          <w:tab w:leader="none" w:pos="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on Form S-1, File No. 333-45496.</w:t>
      </w:r>
    </w:p>
    <w:p>
      <w:pPr>
        <w:spacing w:after="0" w:line="201" w:lineRule="exact"/>
        <w:rPr>
          <w:sz w:val="20"/>
          <w:szCs w:val="20"/>
          <w:color w:val="auto"/>
        </w:rPr>
      </w:pPr>
    </w:p>
    <w:p>
      <w:pPr>
        <w:ind w:left="820" w:hanging="812"/>
        <w:spacing w:after="0" w:line="275" w:lineRule="auto"/>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1" w:lineRule="exact"/>
        <w:rPr>
          <w:sz w:val="20"/>
          <w:szCs w:val="20"/>
          <w:color w:val="auto"/>
        </w:rPr>
      </w:pPr>
    </w:p>
    <w:p>
      <w:pPr>
        <w:ind w:left="820" w:right="500" w:hanging="812"/>
        <w:spacing w:after="0" w:line="275" w:lineRule="auto"/>
        <w:tabs>
          <w:tab w:leader="none" w:pos="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 herein by reference to, the Registrant’s Registration Statement filed on Form S-1 as amended to Form S-3, File No. 333-61726.</w:t>
      </w:r>
    </w:p>
    <w:p>
      <w:pPr>
        <w:spacing w:after="0" w:line="201" w:lineRule="exact"/>
        <w:rPr>
          <w:sz w:val="20"/>
          <w:szCs w:val="20"/>
          <w:color w:val="auto"/>
        </w:rPr>
      </w:pPr>
    </w:p>
    <w:p>
      <w:pPr>
        <w:ind w:left="820" w:right="400" w:hanging="812"/>
        <w:spacing w:after="0" w:line="275" w:lineRule="auto"/>
        <w:tabs>
          <w:tab w:leader="none" w:pos="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Registration Statement filed on Form S-3, File No. 333-75806.</w:t>
      </w:r>
    </w:p>
    <w:p>
      <w:pPr>
        <w:spacing w:after="0" w:line="201" w:lineRule="exact"/>
        <w:rPr>
          <w:sz w:val="20"/>
          <w:szCs w:val="20"/>
          <w:color w:val="auto"/>
        </w:rPr>
      </w:pPr>
    </w:p>
    <w:p>
      <w:pPr>
        <w:ind w:left="820" w:right="460" w:hanging="812"/>
        <w:spacing w:after="0" w:line="275" w:lineRule="auto"/>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April 15, 2003.</w:t>
      </w:r>
    </w:p>
    <w:p>
      <w:pPr>
        <w:spacing w:after="0" w:line="201" w:lineRule="exact"/>
        <w:rPr>
          <w:sz w:val="20"/>
          <w:szCs w:val="20"/>
          <w:color w:val="auto"/>
        </w:rPr>
      </w:pPr>
    </w:p>
    <w:p>
      <w:pPr>
        <w:ind w:left="820" w:right="460" w:hanging="812"/>
        <w:spacing w:after="0" w:line="275" w:lineRule="auto"/>
        <w:tabs>
          <w:tab w:leader="none" w:pos="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May 13, 2003.</w:t>
      </w:r>
    </w:p>
    <w:p>
      <w:pPr>
        <w:spacing w:after="0" w:line="201" w:lineRule="exact"/>
        <w:rPr>
          <w:sz w:val="20"/>
          <w:szCs w:val="20"/>
          <w:color w:val="auto"/>
        </w:rPr>
      </w:pPr>
    </w:p>
    <w:p>
      <w:pPr>
        <w:ind w:left="820" w:right="460" w:hanging="812"/>
        <w:spacing w:after="0" w:line="275"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May 15, 2003.</w:t>
      </w:r>
    </w:p>
    <w:p>
      <w:pPr>
        <w:spacing w:after="0" w:line="201" w:lineRule="exact"/>
        <w:rPr>
          <w:sz w:val="20"/>
          <w:szCs w:val="20"/>
          <w:color w:val="auto"/>
        </w:rPr>
      </w:pPr>
    </w:p>
    <w:p>
      <w:pPr>
        <w:ind w:left="820" w:right="460" w:hanging="812"/>
        <w:spacing w:after="0" w:line="275" w:lineRule="auto"/>
        <w:tabs>
          <w:tab w:leader="none" w:pos="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Commission as an Exhibit to, and incorporated herein by reference to, the Registrant’s current report on Form 8-K on December 10, 2003.</w:t>
      </w:r>
    </w:p>
    <w:p>
      <w:pPr>
        <w:sectPr>
          <w:pgSz w:w="11900" w:h="16838" w:orient="portrait"/>
          <w:cols w:equalWidth="0" w:num="1">
            <w:col w:w="11300"/>
          </w:cols>
          <w:pgMar w:left="240" w:top="415" w:right="359" w:bottom="1440" w:gutter="0" w:footer="0" w:header="0"/>
          <w:type w:val="continuous"/>
        </w:sectPr>
      </w:pPr>
    </w:p>
    <w:bookmarkStart w:id="76" w:name="page77"/>
    <w:bookmarkEnd w:id="76"/>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STEMCELLS</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CODE OF ETHICS AND CONDUCT</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APPROVED: _________________</w:t>
      </w:r>
    </w:p>
    <w:p>
      <w:pPr>
        <w:sectPr>
          <w:pgSz w:w="11900" w:h="16838" w:orient="portrait"/>
          <w:cols w:equalWidth="0" w:num="1">
            <w:col w:w="9019"/>
          </w:cols>
          <w:pgMar w:left="1440" w:top="312"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9840" w:type="dxa"/>
            <w:vAlign w:val="bottom"/>
          </w:tcPr>
          <w:p>
            <w:pPr>
              <w:ind w:left="7800"/>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9840" w:type="dxa"/>
            <w:vAlign w:val="bottom"/>
          </w:tcPr>
          <w:p>
            <w:pPr>
              <w:ind w:left="780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9840" w:type="dxa"/>
            <w:vAlign w:val="bottom"/>
          </w:tcPr>
          <w:p>
            <w:pPr>
              <w:ind w:left="780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96"/>
        </w:trPr>
        <w:tc>
          <w:tcPr>
            <w:tcW w:w="540" w:type="dxa"/>
            <w:vAlign w:val="bottom"/>
          </w:tcPr>
          <w:p>
            <w:pPr>
              <w:spacing w:after="0"/>
              <w:rPr>
                <w:sz w:val="24"/>
                <w:szCs w:val="24"/>
                <w:color w:val="auto"/>
              </w:rPr>
            </w:pPr>
          </w:p>
        </w:tc>
        <w:tc>
          <w:tcPr>
            <w:tcW w:w="9840" w:type="dxa"/>
            <w:vAlign w:val="bottom"/>
          </w:tcPr>
          <w:p>
            <w:pPr>
              <w:ind w:left="284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r>
      <w:tr>
        <w:trPr>
          <w:trHeight w:val="717"/>
        </w:trPr>
        <w:tc>
          <w:tcPr>
            <w:tcW w:w="54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9840" w:type="dxa"/>
            <w:vAlign w:val="bottom"/>
          </w:tcPr>
          <w:p>
            <w:pPr>
              <w:ind w:left="200"/>
              <w:spacing w:after="0"/>
              <w:rPr>
                <w:sz w:val="20"/>
                <w:szCs w:val="20"/>
                <w:color w:val="auto"/>
              </w:rPr>
            </w:pPr>
            <w:r>
              <w:rPr>
                <w:rFonts w:ascii="Courier New" w:cs="Courier New" w:eastAsia="Courier New" w:hAnsi="Courier New"/>
                <w:sz w:val="18"/>
                <w:szCs w:val="18"/>
                <w:color w:val="auto"/>
              </w:rPr>
              <w:t>General Policy...........................................................................</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Compliance with the Law..................................................................</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Company Stock............................................................................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Confidential Information.................................................................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Special Ethical Obligations For Employees With Financial Reporting Responsibilities......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Continuing Disclosure Obligations and Accuracy of Business Records.......................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Protection and Proper Use of Company Assets..............................................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Corporate Opportunities..................................................................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Fair Dealing.............................................................................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Conflicts of Interest....................................................................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Gifts, Meals and Entertainment...........................................................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Interacting with the Government..........................................................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13.</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Market Competition.......................................................................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15.</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Political Contributions..................................................................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16.</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Exports and Imports......................................................................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17.</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Media/Public Relations and Governmental Inquiries........................................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Environmental Compliance.................................................................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19.</w:t>
            </w:r>
          </w:p>
        </w:tc>
        <w:tc>
          <w:tcPr>
            <w:tcW w:w="9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Response to Investigations or Government Inquiries.......................................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9840" w:type="dxa"/>
            <w:vAlign w:val="bottom"/>
          </w:tcPr>
          <w:p>
            <w:pPr>
              <w:ind w:left="200"/>
              <w:spacing w:after="0"/>
              <w:rPr>
                <w:sz w:val="20"/>
                <w:szCs w:val="20"/>
                <w:color w:val="auto"/>
              </w:rPr>
            </w:pPr>
            <w:r>
              <w:rPr>
                <w:rFonts w:ascii="Courier New" w:cs="Courier New" w:eastAsia="Courier New" w:hAnsi="Courier New"/>
                <w:sz w:val="18"/>
                <w:szCs w:val="18"/>
                <w:color w:val="auto"/>
              </w:rPr>
              <w:t>Amendments And Waivers...................................................................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860"/>
          </w:cols>
          <w:pgMar w:left="240" w:top="487" w:right="799" w:bottom="1440" w:gutter="0" w:footer="0" w:header="0"/>
        </w:sectPr>
      </w:pPr>
    </w:p>
    <w:bookmarkStart w:id="78" w:name="page79"/>
    <w:bookmarkEnd w:id="78"/>
    <w:p>
      <w:pPr>
        <w:ind w:left="3800"/>
        <w:spacing w:after="0"/>
        <w:rPr>
          <w:sz w:val="20"/>
          <w:szCs w:val="20"/>
          <w:color w:val="auto"/>
        </w:rPr>
      </w:pPr>
      <w:r>
        <w:rPr>
          <w:rFonts w:ascii="Courier New" w:cs="Courier New" w:eastAsia="Courier New" w:hAnsi="Courier New"/>
          <w:sz w:val="18"/>
          <w:szCs w:val="18"/>
          <w:color w:val="auto"/>
        </w:rPr>
        <w:t>STEMCELLS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Corporate of Conduct</w:t>
      </w:r>
    </w:p>
    <w:p>
      <w:pPr>
        <w:spacing w:after="0" w:line="201" w:lineRule="exact"/>
        <w:rPr>
          <w:sz w:val="20"/>
          <w:szCs w:val="20"/>
          <w:color w:val="auto"/>
        </w:rPr>
      </w:pPr>
    </w:p>
    <w:p>
      <w:pPr>
        <w:ind w:left="640" w:hanging="632"/>
        <w:spacing w:after="0"/>
        <w:tabs>
          <w:tab w:leader="none" w:pos="6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POLICY</w:t>
      </w:r>
    </w:p>
    <w:p>
      <w:pPr>
        <w:spacing w:after="0" w:line="201"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It has always been the policy of StemCells, Inc. and StemCells California, Inc. (collectively, "StemCells" or the "Company") to conduct business in compliance with all applicable laws, rules and regulations and with integrity. This is our obligation to our shareholders, to our community, to those government agencies that regulate StemCells, to the patients who will eventually be treated by our products and to their physicians, and to ourselves. Because of SEC rules under the Sarbanes Oxley Act and NASDAQ requirements, we have restated our policy in this formal way, but our underlying commitment to honorable and lawful conduct has not changed.</w:t>
      </w:r>
    </w:p>
    <w:p>
      <w:pPr>
        <w:spacing w:after="0" w:line="99" w:lineRule="exact"/>
        <w:rPr>
          <w:sz w:val="20"/>
          <w:szCs w:val="20"/>
          <w:color w:val="auto"/>
        </w:rPr>
      </w:pPr>
    </w:p>
    <w:p>
      <w:pPr>
        <w:ind w:right="1779" w:firstLine="632"/>
        <w:spacing w:after="0" w:line="289" w:lineRule="auto"/>
        <w:rPr>
          <w:sz w:val="20"/>
          <w:szCs w:val="20"/>
          <w:color w:val="auto"/>
        </w:rPr>
      </w:pPr>
      <w:r>
        <w:rPr>
          <w:rFonts w:ascii="Courier New" w:cs="Courier New" w:eastAsia="Courier New" w:hAnsi="Courier New"/>
          <w:sz w:val="16"/>
          <w:szCs w:val="16"/>
          <w:color w:val="auto"/>
        </w:rPr>
        <w:t>Each StemCells employee, officer and director must comply with the policies set forth in this Code of Ethics and Conduct (the "Code"). All employees, officer and directors should review this Code or summary materials that may be issued in conjunction with the Code, and make sure that these policies guide their actions. If any employee, officer or director becomes aware of an issue of legal compliance which is not adequately addressed in this Code, the Compliance Officer should be notified. The text of StemCells' Corporate Code of Ethics and Conduct can also be found at www.stemcellsinc.com.</w:t>
      </w:r>
    </w:p>
    <w:p>
      <w:pPr>
        <w:spacing w:after="0" w:line="77" w:lineRule="exact"/>
        <w:rPr>
          <w:sz w:val="20"/>
          <w:szCs w:val="20"/>
          <w:color w:val="auto"/>
        </w:rPr>
      </w:pPr>
    </w:p>
    <w:p>
      <w:pPr>
        <w:ind w:right="1779" w:firstLine="632"/>
        <w:spacing w:after="0" w:line="289" w:lineRule="auto"/>
        <w:rPr>
          <w:sz w:val="20"/>
          <w:szCs w:val="20"/>
          <w:color w:val="auto"/>
        </w:rPr>
      </w:pPr>
      <w:r>
        <w:rPr>
          <w:rFonts w:ascii="Courier New" w:cs="Courier New" w:eastAsia="Courier New" w:hAnsi="Courier New"/>
          <w:sz w:val="16"/>
          <w:szCs w:val="16"/>
          <w:color w:val="auto"/>
        </w:rPr>
        <w:t>StemCells takes compliance with laws, regulations, rules and the Code seriously. Any intentional violation will result in disciplinary action up to and including dismissal from employment. Disciplinary actions may also apply to an employee's supervisor who directs or approves the employee's improper actions or who is aware of those actions, but does not act appropriately to correct them or fails to exercise appropriate supervision. In addition to imposing its own discipline, StemCells may also bring violations of law or suspected violations of law to the attention of appropriate law enforcement personnel.</w:t>
      </w:r>
    </w:p>
    <w:p>
      <w:pPr>
        <w:spacing w:after="0" w:line="77"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This Code includes statements of StemCells' policy in a number of specific areas. We need your help to comply with these policies. To that end, the Company's General Counsel has been named as the Code of Ethics and Conduct Compliance Officer, charged with reviewing the Company's compliance policies and specific compliance situations that may arise.</w:t>
      </w:r>
    </w:p>
    <w:p>
      <w:pPr>
        <w:spacing w:after="0" w:line="90" w:lineRule="exact"/>
        <w:rPr>
          <w:sz w:val="20"/>
          <w:szCs w:val="20"/>
          <w:color w:val="auto"/>
        </w:rPr>
      </w:pPr>
    </w:p>
    <w:p>
      <w:pPr>
        <w:ind w:right="1779" w:firstLine="632"/>
        <w:spacing w:after="0" w:line="247" w:lineRule="auto"/>
        <w:rPr>
          <w:sz w:val="20"/>
          <w:szCs w:val="20"/>
          <w:color w:val="auto"/>
        </w:rPr>
      </w:pPr>
      <w:r>
        <w:rPr>
          <w:rFonts w:ascii="Courier New" w:cs="Courier New" w:eastAsia="Courier New" w:hAnsi="Courier New"/>
          <w:sz w:val="18"/>
          <w:szCs w:val="18"/>
          <w:color w:val="auto"/>
        </w:rPr>
        <w:t>If a question arises as to whether any action complies with StemCells policies or applicable law, an employee, officer or director should present that question to that directly to the Compliance Officer (650.475.3100, extension 106 or iris.brest@stemcellsinc.com. Concerns about violations of any part of this Code may be made anonymously, by sending it to the Compliance Officer at the Company's headquarters, at 3155 Porter Drive, Palo Alto, California 94304. Simply ask your question or give any information you may have. If you are reporting a possible violation, it is important to give the information you have in as much detail as possible, and as accurately as you can, neither overstating it nor omitting any relevant facts. In raising an issue, you may remain anonymous, although you are encouraged to identify yourself. Should you choose to identify yourself, your identity will be kept confidential to the extent feasible or</w:t>
      </w:r>
    </w:p>
    <w:p>
      <w:pPr>
        <w:spacing w:after="0" w:line="1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88" w:right="1440" w:bottom="1440" w:gutter="0" w:footer="0" w:header="0"/>
        </w:sectPr>
      </w:pPr>
    </w:p>
    <w:bookmarkStart w:id="79" w:name="page80"/>
    <w:bookmarkEnd w:id="79"/>
    <w:p>
      <w:pPr>
        <w:ind w:right="1779"/>
        <w:spacing w:after="0" w:line="253" w:lineRule="auto"/>
        <w:rPr>
          <w:sz w:val="20"/>
          <w:szCs w:val="20"/>
          <w:color w:val="auto"/>
        </w:rPr>
      </w:pPr>
      <w:r>
        <w:rPr>
          <w:rFonts w:ascii="Courier New" w:cs="Courier New" w:eastAsia="Courier New" w:hAnsi="Courier New"/>
          <w:sz w:val="18"/>
          <w:szCs w:val="18"/>
          <w:color w:val="auto"/>
        </w:rPr>
        <w:t>permissible under the law. All employees, officers and directors of StemCells have the commitment of the Company and of the Audit Committee of its Board of Directors that they will be protected from retaliation for any report of possible misconduct made in good faith. Knowingly making a false accusation or providing false information to the Company, however, is improper, a violation of this Code, and an action that subjects the actor to discipline. Failure to report known or suspected wrongdoing of which any member of StemCells has knowledge may, by itself, subject that person to disciplinary action.</w:t>
      </w:r>
    </w:p>
    <w:p>
      <w:pPr>
        <w:spacing w:after="0" w:line="104"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This Code generally highlights some of the more important legal principles with which employees, officers and directors are expected to be familiar. The fact that this Code does not specifically reference other applicable laws (some of which may be covered in other StemCells policies), does not diminish their importance or application. There are, of course, other StemCells policies separate from this one; these are made available to, and must be adhered to by, employees of the Company.</w:t>
      </w:r>
    </w:p>
    <w:p>
      <w:pPr>
        <w:spacing w:after="0" w:line="98" w:lineRule="exact"/>
        <w:rPr>
          <w:sz w:val="20"/>
          <w:szCs w:val="20"/>
          <w:color w:val="auto"/>
        </w:rPr>
      </w:pPr>
    </w:p>
    <w:p>
      <w:pPr>
        <w:ind w:left="640" w:hanging="632"/>
        <w:spacing w:after="0"/>
        <w:tabs>
          <w:tab w:leader="none" w:pos="6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LAW</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StemCells seeks to comply with all applicable government laws, rules and regulations. We need the cooperation of all employees, officers and directors to do so and to bring lapses or violations to light. While some regulatory schemes may not carry criminal penalties, they control the licenses and certifications that allow the Company to conduct its business. StemCells' continued ability to operate depends upon your help.</w:t>
      </w:r>
    </w:p>
    <w:p>
      <w:pPr>
        <w:spacing w:after="0" w:line="93" w:lineRule="exact"/>
        <w:rPr>
          <w:sz w:val="20"/>
          <w:szCs w:val="20"/>
          <w:color w:val="auto"/>
        </w:rPr>
      </w:pPr>
    </w:p>
    <w:p>
      <w:pPr>
        <w:ind w:right="2199" w:firstLine="632"/>
        <w:spacing w:after="0" w:line="292" w:lineRule="auto"/>
        <w:rPr>
          <w:sz w:val="20"/>
          <w:szCs w:val="20"/>
          <w:color w:val="auto"/>
        </w:rPr>
      </w:pPr>
      <w:r>
        <w:rPr>
          <w:rFonts w:ascii="Courier New" w:cs="Courier New" w:eastAsia="Courier New" w:hAnsi="Courier New"/>
          <w:sz w:val="18"/>
          <w:szCs w:val="18"/>
          <w:color w:val="auto"/>
        </w:rPr>
        <w:t>Some of the regulatory programs that affect the Company and with which employees may deal with in the course of their duties include, but are not limited to, the following:</w:t>
      </w:r>
    </w:p>
    <w:p>
      <w:pPr>
        <w:spacing w:after="0" w:line="66" w:lineRule="exact"/>
        <w:rPr>
          <w:sz w:val="20"/>
          <w:szCs w:val="20"/>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and Wage &amp; Hour laws.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Occupational Safety and Health regulation.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Antitrust laws.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Building, safety, and fire codes.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Regulations concerning use of animals in research.</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Laws and regulations of hazardous materials and radiation.</w:t>
      </w:r>
    </w:p>
    <w:p>
      <w:pPr>
        <w:spacing w:after="0" w:line="201" w:lineRule="exact"/>
        <w:rPr>
          <w:rFonts w:ascii="Courier New" w:cs="Courier New" w:eastAsia="Courier New" w:hAnsi="Courier New"/>
          <w:sz w:val="18"/>
          <w:szCs w:val="18"/>
          <w:color w:val="auto"/>
        </w:rPr>
      </w:pPr>
    </w:p>
    <w:p>
      <w:pPr>
        <w:ind w:left="1280" w:right="3039" w:hanging="640"/>
        <w:spacing w:after="0" w:line="347" w:lineRule="auto"/>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Laws and regulations covering biotechnology products and pharmaceuticals.</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Healthcare laws and regulations.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Export Control System.</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Programs.</w:t>
      </w:r>
    </w:p>
    <w:p>
      <w:pPr>
        <w:spacing w:after="0" w:line="201" w:lineRule="exact"/>
        <w:rPr>
          <w:sz w:val="20"/>
          <w:szCs w:val="20"/>
          <w:color w:val="auto"/>
        </w:rPr>
      </w:pPr>
    </w:p>
    <w:p>
      <w:pPr>
        <w:ind w:right="2199" w:firstLine="632"/>
        <w:spacing w:after="0" w:line="347" w:lineRule="auto"/>
        <w:rPr>
          <w:sz w:val="20"/>
          <w:szCs w:val="20"/>
          <w:color w:val="auto"/>
        </w:rPr>
      </w:pPr>
      <w:r>
        <w:rPr>
          <w:rFonts w:ascii="Courier New" w:cs="Courier New" w:eastAsia="Courier New" w:hAnsi="Courier New"/>
          <w:sz w:val="18"/>
          <w:szCs w:val="18"/>
          <w:color w:val="auto"/>
        </w:rPr>
        <w:t>The Compliance Officer can provide employees with information on these rules, and can direct questions or concerns to the proper person.</w:t>
      </w:r>
    </w:p>
    <w:p>
      <w:pPr>
        <w:spacing w:after="0" w:line="18" w:lineRule="exact"/>
        <w:rPr>
          <w:sz w:val="20"/>
          <w:szCs w:val="20"/>
          <w:color w:val="auto"/>
        </w:rPr>
      </w:pPr>
    </w:p>
    <w:p>
      <w:pPr>
        <w:ind w:left="640" w:hanging="632"/>
        <w:spacing w:after="0"/>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STOCK</w:t>
      </w:r>
    </w:p>
    <w:p>
      <w:pPr>
        <w:spacing w:after="0" w:line="201"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Because our stock is publicly traded, certain of the Company's activities of are subject to certain provisions of the federal securities laws. These laws govern the dissemination or use of information about the affairs of StemCells or its subsidiaries or affiliates, and other information which might be of interest to persons considering the purchase or sale of the stocks or bonds. Violations of the federal securities laws could subject you and the Company to stiff criminal and</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1440" w:gutter="0" w:footer="0" w:header="0"/>
        </w:sectPr>
      </w:pPr>
    </w:p>
    <w:bookmarkStart w:id="80" w:name="page81"/>
    <w:bookmarkEnd w:id="80"/>
    <w:p>
      <w:pPr>
        <w:ind w:right="1879"/>
        <w:spacing w:after="0" w:line="347" w:lineRule="auto"/>
        <w:rPr>
          <w:sz w:val="20"/>
          <w:szCs w:val="20"/>
          <w:color w:val="auto"/>
        </w:rPr>
      </w:pPr>
      <w:r>
        <w:rPr>
          <w:rFonts w:ascii="Courier New" w:cs="Courier New" w:eastAsia="Courier New" w:hAnsi="Courier New"/>
          <w:sz w:val="18"/>
          <w:szCs w:val="18"/>
          <w:color w:val="auto"/>
        </w:rPr>
        <w:t>civil penalties. Accordingly, StemCells does not sanction and will not tolerate any conduct that risks a violation of these laws.</w:t>
      </w:r>
    </w:p>
    <w:p>
      <w:pPr>
        <w:spacing w:after="0" w:line="18" w:lineRule="exact"/>
        <w:rPr>
          <w:sz w:val="20"/>
          <w:szCs w:val="20"/>
          <w:color w:val="auto"/>
        </w:rPr>
      </w:pPr>
    </w:p>
    <w:p>
      <w:pPr>
        <w:ind w:left="1280" w:hanging="640"/>
        <w:spacing w:after="0"/>
        <w:tabs>
          <w:tab w:leader="none" w:pos="12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OF TRANSACTIONS IN STEMCELLS SECURITIES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The Securities and Exchange Commission ("SEC") requires continuing disclosure of transactions in the Company's publicly traded securities by the Company, its directors, executive officers, major shareholders and certain other affiliated persons. We are committed to complying with obligations related this disclosure. Covered transactions are reported to the SEC and the reports are public; they may be viewed through the StemCells website, www.stemcellsinc.com, by clicking on the "Investor" tab and then selecting "SEC Filings" or SEC Filings Forms 3-5."</w:t>
      </w:r>
    </w:p>
    <w:p>
      <w:pPr>
        <w:spacing w:after="0" w:line="104" w:lineRule="exact"/>
        <w:rPr>
          <w:sz w:val="20"/>
          <w:szCs w:val="20"/>
          <w:color w:val="auto"/>
        </w:rPr>
      </w:pPr>
    </w:p>
    <w:p>
      <w:pPr>
        <w:ind w:left="1280" w:hanging="640"/>
        <w:spacing w:after="0"/>
        <w:tabs>
          <w:tab w:leader="none" w:pos="12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INSIDER TRADING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 is illegal for any person, either personally or on behalf of others,</w:t>
      </w:r>
    </w:p>
    <w:p>
      <w:pPr>
        <w:spacing w:after="0" w:line="31" w:lineRule="exact"/>
        <w:rPr>
          <w:sz w:val="20"/>
          <w:szCs w:val="20"/>
          <w:color w:val="auto"/>
        </w:rPr>
      </w:pPr>
    </w:p>
    <w:p>
      <w:pPr>
        <w:ind w:right="1779" w:firstLine="8"/>
        <w:spacing w:after="0" w:line="252"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buy or sell securities while in possession of material nonpublic information, or (ii) to communicate (to "tip") material nonpublic information to another person who trades in the securities on the basis of the information or who in turn passes the information on to someone who trades. All directors, officers, employees and temporary insiders, such as accountants and lawyers, must comply with these "insider trading" restrictions.</w:t>
      </w:r>
    </w:p>
    <w:p>
      <w:pPr>
        <w:spacing w:after="0" w:line="101"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All information that an investor might consider important in deciding whether to buy, sell, or hold securities is considered "material." Information that is likely to or may affect the price of securities is almost always material. Examples of some types of material information are:</w:t>
      </w:r>
    </w:p>
    <w:p>
      <w:pPr>
        <w:spacing w:after="0" w:line="82" w:lineRule="exact"/>
        <w:rPr>
          <w:sz w:val="20"/>
          <w:szCs w:val="20"/>
          <w:color w:val="auto"/>
        </w:rPr>
      </w:pPr>
    </w:p>
    <w:p>
      <w:pPr>
        <w:ind w:left="1280" w:hanging="640"/>
        <w:spacing w:after="0"/>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and operating results for the month, quarter or year;</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forecasts, including proposed or approved budgets;</w:t>
      </w:r>
    </w:p>
    <w:p>
      <w:pPr>
        <w:spacing w:after="0" w:line="201" w:lineRule="exact"/>
        <w:rPr>
          <w:rFonts w:ascii="Courier New" w:cs="Courier New" w:eastAsia="Courier New" w:hAnsi="Courier New"/>
          <w:sz w:val="18"/>
          <w:szCs w:val="18"/>
          <w:color w:val="auto"/>
        </w:rPr>
      </w:pPr>
    </w:p>
    <w:p>
      <w:pPr>
        <w:ind w:left="1280" w:right="1999" w:hanging="640"/>
        <w:spacing w:after="0" w:line="292" w:lineRule="auto"/>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mergers, acquisitions, joint ventures and other purchases and sales of products, businesses, companies and investments in companies;</w:t>
      </w:r>
    </w:p>
    <w:p>
      <w:pPr>
        <w:spacing w:after="0" w:line="66" w:lineRule="exact"/>
        <w:rPr>
          <w:rFonts w:ascii="Courier New" w:cs="Courier New" w:eastAsia="Courier New" w:hAnsi="Courier New"/>
          <w:sz w:val="18"/>
          <w:szCs w:val="18"/>
          <w:color w:val="auto"/>
        </w:rPr>
      </w:pPr>
    </w:p>
    <w:p>
      <w:pPr>
        <w:ind w:left="1280" w:right="1879" w:hanging="640"/>
        <w:spacing w:after="0" w:line="347" w:lineRule="auto"/>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or losing important contracts, such as critical licensing agreements;</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personnel changes;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litigation developments.</w:t>
      </w:r>
    </w:p>
    <w:p>
      <w:pPr>
        <w:spacing w:after="0" w:line="201" w:lineRule="exact"/>
        <w:rPr>
          <w:sz w:val="20"/>
          <w:szCs w:val="20"/>
          <w:color w:val="auto"/>
        </w:rPr>
      </w:pPr>
    </w:p>
    <w:p>
      <w:pPr>
        <w:ind w:right="1999" w:firstLine="632"/>
        <w:spacing w:after="0" w:line="289" w:lineRule="auto"/>
        <w:rPr>
          <w:sz w:val="20"/>
          <w:szCs w:val="20"/>
          <w:color w:val="auto"/>
        </w:rPr>
      </w:pPr>
      <w:r>
        <w:rPr>
          <w:rFonts w:ascii="Courier New" w:cs="Courier New" w:eastAsia="Courier New" w:hAnsi="Courier New"/>
          <w:sz w:val="16"/>
          <w:szCs w:val="16"/>
          <w:color w:val="auto"/>
        </w:rPr>
        <w:t>All information about StemCells or its business plans is potentially "insider" information until publicly disclosed or made available by StemCells. Thus, StemCells employees, officer or directors may not disclose it to others. This prohibition includes disclosure to relatives, friends, or business or social acquaintances. Information is considered to be nonpublic unless it has been effectively disclosed to the public (e.g., by a press release). Further, the information must not only be publicly disclosed, but there must also be adequate time for the market as a whole to digest the information.</w:t>
      </w:r>
    </w:p>
    <w:p>
      <w:pPr>
        <w:spacing w:after="0" w:line="77"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When an employee, officer or director knows material nonpublic information about StemCells, he or she is prohibited from three activities: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81" w:name="page82"/>
    <w:bookmarkEnd w:id="81"/>
    <w:p>
      <w:pPr>
        <w:ind w:left="1280" w:right="1779" w:hanging="640"/>
        <w:spacing w:after="0" w:line="274" w:lineRule="auto"/>
        <w:tabs>
          <w:tab w:leader="none" w:pos="12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in the stocks or bonds for his or her own account or for the account of another (including any trust of which the employee, officer or director is a trustee, or any other entity that buys or sells securities, such as a mutual fund);</w:t>
      </w:r>
    </w:p>
    <w:p>
      <w:pPr>
        <w:spacing w:after="0" w:line="8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anyone else trade for the employee, officer or director; and</w:t>
      </w:r>
    </w:p>
    <w:p>
      <w:pPr>
        <w:spacing w:after="0" w:line="223" w:lineRule="exact"/>
        <w:rPr>
          <w:rFonts w:ascii="Courier New" w:cs="Courier New" w:eastAsia="Courier New" w:hAnsi="Courier New"/>
          <w:sz w:val="16"/>
          <w:szCs w:val="16"/>
          <w:color w:val="auto"/>
        </w:rPr>
      </w:pPr>
    </w:p>
    <w:p>
      <w:pPr>
        <w:ind w:left="1280" w:right="1779" w:hanging="640"/>
        <w:spacing w:after="0" w:line="347" w:lineRule="auto"/>
        <w:tabs>
          <w:tab w:leader="none" w:pos="12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disclosing the information to anyone else who then trades or in turn "tips" another person who trades.</w:t>
      </w:r>
    </w:p>
    <w:p>
      <w:pPr>
        <w:spacing w:after="0" w:line="18"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Neither the employee nor anyone acting on the employee's behalf, nor anyone who learns the information from the employee, may trade for as long as the information continues to be material and nonpublic.</w:t>
      </w:r>
    </w:p>
    <w:p>
      <w:pPr>
        <w:spacing w:after="0" w:line="66"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If an employee, officer or director is considering buying or selling the stocks or bonds and has a question as to whether the transaction might involve the improper use of material nonpublic information, that individual should obtain specific prior approval from the General Counsel. Consultation with the individual's own attorney is also strongly encouraged.</w:t>
      </w:r>
    </w:p>
    <w:p>
      <w:pPr>
        <w:spacing w:after="0" w:line="90"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On a related point, you should remember that outsiders may be listening or watching and may be able to pick up information they should not have. No discussion of StemCells' material nonpublic information should take place in public areas -- such as corridors, elevators, and restaurants -- and care should be taken in the handling and disposal of papers containing material nonpublic information. Any questions or concerns about disclosure of nonpublic information should be brought to the Acting Chief Financial Officer.</w:t>
      </w:r>
    </w:p>
    <w:p>
      <w:pPr>
        <w:spacing w:after="0" w:line="98" w:lineRule="exact"/>
        <w:rPr>
          <w:sz w:val="20"/>
          <w:szCs w:val="20"/>
          <w:color w:val="auto"/>
        </w:rPr>
      </w:pPr>
    </w:p>
    <w:p>
      <w:pPr>
        <w:ind w:left="640" w:hanging="632"/>
        <w:spacing w:after="0"/>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w:t>
      </w:r>
    </w:p>
    <w:p>
      <w:pPr>
        <w:spacing w:after="0" w:line="201"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You may be entrusted with StemCells' confidential business information. You are required to safeguard and use such information only for Company purposes. Confidential information includes all non-public information that might be of use to competitors or harmful to StemCells, if disclosed. You are expected to maintain the confidentiality of any and all such information entrusted to you by the Company or others with whom we have confidential relationships. Examples of confidential business information include, but are not limited to: the Company's trade secrets, business plans, detailed income, cost and profit figures, new product plans, research and development ideas or information, manufacturing processes, and information about potential acquisitions, divestitures and investments. The Company often enters confidentiality agreements with third parties, such as individuals, universities and companies with which we are doing or considering doing business, and information acquired from those parties is likely to be confidential; in these cases, any employee, consultant or other agent of the Company with access to that information is required to maintain the confidentiality of the other party's information. If you are not sure, you should check with your supervisor or with company counsel. Failure to observe these obligations of confidentiality may compromise our competitive advantage over competitors and may additionally result in a breach of contract or a violation of securities, antitrust or employment laws. You should not discuss confidential Company information outside the Company, even with your own family.</w:t>
      </w:r>
    </w:p>
    <w:p>
      <w:pPr>
        <w:spacing w:after="0" w:line="200" w:lineRule="exact"/>
        <w:rPr>
          <w:sz w:val="20"/>
          <w:szCs w:val="20"/>
          <w:color w:val="auto"/>
        </w:rPr>
      </w:pPr>
    </w:p>
    <w:p>
      <w:pPr>
        <w:spacing w:after="0" w:line="306" w:lineRule="exact"/>
        <w:rPr>
          <w:sz w:val="20"/>
          <w:szCs w:val="20"/>
          <w:color w:val="auto"/>
        </w:rPr>
      </w:pPr>
    </w:p>
    <w:p>
      <w:pPr>
        <w:ind w:right="2619" w:firstLine="632"/>
        <w:spacing w:after="0" w:line="347" w:lineRule="auto"/>
        <w:rPr>
          <w:sz w:val="20"/>
          <w:szCs w:val="20"/>
          <w:color w:val="auto"/>
        </w:rPr>
      </w:pPr>
      <w:r>
        <w:rPr>
          <w:rFonts w:ascii="Courier New" w:cs="Courier New" w:eastAsia="Courier New" w:hAnsi="Courier New"/>
          <w:sz w:val="18"/>
          <w:szCs w:val="18"/>
          <w:color w:val="auto"/>
        </w:rPr>
        <w:t>Consultants retained by StemCells sign appropriate confidentiality agreements with the Company.</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82" w:name="page83"/>
    <w:bookmarkEnd w:id="82"/>
    <w:p>
      <w:pPr>
        <w:ind w:right="2619" w:firstLine="8"/>
        <w:spacing w:after="0" w:line="347"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ETHICAL OBLIGATIONS FOR EMPLOYEES WITH FINANCIAL REPORTING RESPONSIBILITIES</w:t>
      </w:r>
    </w:p>
    <w:p>
      <w:pPr>
        <w:spacing w:after="0" w:line="18"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As a public company, we are also committed to carrying out all continuing disclosure obligations in a full, fair, accurate, timely and understandable manner. Depending on their position with StemCells, employees, officers or directors may be called upon to provide information to assure that the Company's public reports are complete, fair and understandable. StemCells expects all of its personnel to take this responsibility very seriously and to provide prompt and accurate answers to inquiries related to the Company's public disclosure requirements.</w:t>
      </w:r>
    </w:p>
    <w:p>
      <w:pPr>
        <w:spacing w:after="0" w:line="104"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The Finance Department bears a special responsibility for promoting integrity throughout the organization. The Chief Executive Officer and Finance Department personnel have a special role both to adhere to these principles themselves and also to ensure that a culture exists throughout the company as a whole that ensures the fair and timely reporting of StemCells' financial results and condition.</w:t>
      </w:r>
    </w:p>
    <w:p>
      <w:pPr>
        <w:spacing w:after="0" w:line="93"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Because of this special role, the Chief Executive Officer and the members of StemCells' Finance Department are obligated to:</w:t>
      </w:r>
    </w:p>
    <w:p>
      <w:pPr>
        <w:spacing w:after="0" w:line="18" w:lineRule="exact"/>
        <w:rPr>
          <w:sz w:val="20"/>
          <w:szCs w:val="20"/>
          <w:color w:val="auto"/>
        </w:rPr>
      </w:pPr>
    </w:p>
    <w:p>
      <w:pPr>
        <w:ind w:left="1280" w:right="2099" w:hanging="640"/>
        <w:spacing w:after="0" w:line="402" w:lineRule="auto"/>
        <w:tabs>
          <w:tab w:leader="none" w:pos="12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with honesty and integrity, avoiding actual or apparent conflicts of interest in personal and professional relationships.</w:t>
      </w:r>
    </w:p>
    <w:p>
      <w:pPr>
        <w:ind w:left="1280" w:right="1779" w:hanging="640"/>
        <w:spacing w:after="0" w:line="265" w:lineRule="auto"/>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information that is accurate, complete, objective, relevant, timely and understandable to ensure full, fair, accurate, timely, and understandable disclosure in reports and documents that StemCells files with, or submits to, government agencies and in other public communications.</w:t>
      </w:r>
    </w:p>
    <w:p>
      <w:pPr>
        <w:spacing w:after="0" w:line="89" w:lineRule="exact"/>
        <w:rPr>
          <w:rFonts w:ascii="Courier New" w:cs="Courier New" w:eastAsia="Courier New" w:hAnsi="Courier New"/>
          <w:sz w:val="18"/>
          <w:szCs w:val="18"/>
          <w:color w:val="auto"/>
        </w:rPr>
      </w:pPr>
    </w:p>
    <w:p>
      <w:pPr>
        <w:ind w:left="1280" w:right="1879" w:hanging="640"/>
        <w:spacing w:after="0" w:line="292" w:lineRule="auto"/>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rules and regulations of federal, state, provincial and local governments, and other appropriate private and public regulatory agencies.</w:t>
      </w:r>
    </w:p>
    <w:p>
      <w:pPr>
        <w:spacing w:after="0" w:line="66" w:lineRule="exact"/>
        <w:rPr>
          <w:rFonts w:ascii="Courier New" w:cs="Courier New" w:eastAsia="Courier New" w:hAnsi="Courier New"/>
          <w:sz w:val="18"/>
          <w:szCs w:val="18"/>
          <w:color w:val="auto"/>
        </w:rPr>
      </w:pPr>
    </w:p>
    <w:p>
      <w:pPr>
        <w:ind w:left="1280" w:right="1779" w:hanging="640"/>
        <w:spacing w:after="0" w:line="274" w:lineRule="auto"/>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the confidentiality of information acquired in the course of work except when authorized or otherwise legally obligated to disclose. Confidential information acquired in the course of work is not to be used for personal advantage.</w:t>
      </w:r>
    </w:p>
    <w:p>
      <w:pPr>
        <w:spacing w:after="0" w:line="81" w:lineRule="exact"/>
        <w:rPr>
          <w:rFonts w:ascii="Courier New" w:cs="Courier New" w:eastAsia="Courier New" w:hAnsi="Courier New"/>
          <w:sz w:val="18"/>
          <w:szCs w:val="18"/>
          <w:color w:val="auto"/>
        </w:rPr>
      </w:pPr>
    </w:p>
    <w:p>
      <w:pPr>
        <w:ind w:left="1280" w:right="2319" w:hanging="640"/>
        <w:spacing w:after="0" w:line="402" w:lineRule="auto"/>
        <w:tabs>
          <w:tab w:leader="none" w:pos="12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be an example of ethical behavior as a responsible partner among peers, in the work environment and the community.</w:t>
      </w:r>
    </w:p>
    <w:p>
      <w:pPr>
        <w:ind w:left="1280" w:hanging="640"/>
        <w:spacing w:after="0"/>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Promote the responsible use of and control over Company assets.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Employees, officers and directors should promptly report to the Compliance Officer and/or the Chairman of the Audit Committee any conduct that the individual believes to be a violation of law or business ethics or of any provision of the Code, including any transaction or relationship that reasonably could be expected to give rise to such a conflict. Violations, including failures to report potential violations by others, will be viewed as a severe disciplinary matter that may result in personnel action, including termination of employment.</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488" w:right="1440" w:bottom="1440" w:gutter="0" w:footer="0" w:header="0"/>
        </w:sectPr>
      </w:pPr>
    </w:p>
    <w:bookmarkStart w:id="83" w:name="page84"/>
    <w:bookmarkEnd w:id="83"/>
    <w:p>
      <w:pPr>
        <w:ind w:left="640" w:hanging="632"/>
        <w:spacing w:after="0"/>
        <w:tabs>
          <w:tab w:leader="none" w:pos="6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DISCLOSURE OBLIGATIONS AND ACCURACY OF BUSINESS RECORDS</w:t>
      </w:r>
    </w:p>
    <w:p>
      <w:pPr>
        <w:spacing w:after="0" w:line="201" w:lineRule="exact"/>
        <w:rPr>
          <w:sz w:val="20"/>
          <w:szCs w:val="20"/>
          <w:color w:val="auto"/>
        </w:rPr>
      </w:pPr>
    </w:p>
    <w:p>
      <w:pPr>
        <w:ind w:right="2199" w:firstLine="632"/>
        <w:spacing w:after="0" w:line="318" w:lineRule="auto"/>
        <w:rPr>
          <w:sz w:val="20"/>
          <w:szCs w:val="20"/>
          <w:color w:val="auto"/>
        </w:rPr>
      </w:pPr>
      <w:r>
        <w:rPr>
          <w:rFonts w:ascii="Courier New" w:cs="Courier New" w:eastAsia="Courier New" w:hAnsi="Courier New"/>
          <w:sz w:val="16"/>
          <w:szCs w:val="16"/>
          <w:color w:val="auto"/>
        </w:rPr>
        <w:t>In order to support all our disclosure obligations, it is StemCells' policy to record and report our factual information honestly and accurately. Failure to do so is a grave offense and will subject an individual to severe discipline by the Company, as well as possible criminal and civil penalties.</w:t>
      </w:r>
    </w:p>
    <w:p>
      <w:pPr>
        <w:spacing w:after="0" w:line="52"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Investors count on StemCells to provide accurate information about our business and to make responsible business decisions based on reliable records. Every individual involved in creating, transmitting or entering information into StemCells' financial and operational records is responsible for doing so fully, fairly, accurately and timely, and with appropriate supporting documentation. No employee, officer or director may make any entry that intentionally hides or disguises the true nature of any transaction. For example, no individual may understate or overstate known liabilities and assets, record false revenues or revenues early, defer or accelerate the proper period for recording items that should be expensed, falsify quality or safety results, or process and submit false or inaccurate invoices.</w:t>
      </w:r>
    </w:p>
    <w:p>
      <w:pPr>
        <w:spacing w:after="0" w:line="104" w:lineRule="exact"/>
        <w:rPr>
          <w:sz w:val="20"/>
          <w:szCs w:val="20"/>
          <w:color w:val="auto"/>
        </w:rPr>
      </w:pPr>
    </w:p>
    <w:p>
      <w:pPr>
        <w:ind w:right="1779" w:firstLine="632"/>
        <w:spacing w:after="0" w:line="285" w:lineRule="auto"/>
        <w:rPr>
          <w:sz w:val="20"/>
          <w:szCs w:val="20"/>
          <w:color w:val="auto"/>
        </w:rPr>
      </w:pPr>
      <w:r>
        <w:rPr>
          <w:rFonts w:ascii="Courier New" w:cs="Courier New" w:eastAsia="Courier New" w:hAnsi="Courier New"/>
          <w:sz w:val="16"/>
          <w:szCs w:val="16"/>
          <w:color w:val="auto"/>
        </w:rPr>
        <w:t>Compliance with established accounting procedures, StemCells' system of internal controls, and generally accepted accounting principles is necessary at all times. In order to achieve such compliance, the Company's records, books and documents must accurately reflect the transactions and provide a full account of the Company's assets, liabilities, revenues and expenses. Knowingly entering inaccurate or fraudulent information into StemCells' accounting system is unacceptable and may be illegal. Any individual who has knowledge that an entry or process is false and material is expected to consult the Compliance Officer. In addition, it is the responsibility of each employee, officer and director to cooperate with the Company's authorized auditors.</w:t>
      </w:r>
    </w:p>
    <w:p>
      <w:pPr>
        <w:spacing w:after="0" w:line="291"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When billing others for the Company's services, StemCells has an obligation to exercise diligence, care, and integrity. StemCells is committed to maintaining the accuracy of every invoice it processes and submits. Each employee who is involved in submitting charges, preparing claims, billing, and documenting services is expected to monitor compliance with applicable rules and maintain the highest standards of personal, professional, and institutional responsibility. By the same token, each employee who is involved with processing and documenting vendors' or contractors' claims for payment is similarly expected to maintain the highest standards of professionalism and ethics. Any false, inaccurate, or questionable practices relating to billing others or to processing claims made by others for payment should be reported immediately to a supervisor, the Controller, or the Compliance Officer.</w:t>
      </w:r>
    </w:p>
    <w:p>
      <w:pPr>
        <w:spacing w:after="0" w:line="105"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Every individual should also be aware that almost all business records of the Company may become subject to public disclosure in the course of litigation or governmental investigation. Records are also often obtained by outside parties or the media. Employees should therefore attempt to be as clear, concise, truthful and accurate as possible when recording any information. They must refrain from making legal conclusions or commenting on legal positions taken by the Company or others. They must also avoid exaggeration, colorful language, and derogatory characterizations of people and their motives. StemCells will not tolerate any conduct that creates an inaccurate impression of the Company's business operations.</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488" w:right="1440" w:bottom="1440" w:gutter="0" w:footer="0" w:header="0"/>
        </w:sectPr>
      </w:pPr>
    </w:p>
    <w:bookmarkStart w:id="84" w:name="page85"/>
    <w:bookmarkEnd w:id="84"/>
    <w:p>
      <w:pPr>
        <w:ind w:left="640" w:hanging="632"/>
        <w:spacing w:after="0"/>
        <w:tabs>
          <w:tab w:leader="none" w:pos="6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PROTECTION AND PROPER USE OF COMPANY ASSETS</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Employees, officers and directors should protect the Company's assets and ensure their efficient use. Theft, carelessness and waste have a direct impact on the Company's profitability. All Company assets should be used for legitimate business purposes.</w:t>
      </w:r>
    </w:p>
    <w:p>
      <w:pPr>
        <w:spacing w:after="0" w:line="82" w:lineRule="exact"/>
        <w:rPr>
          <w:sz w:val="20"/>
          <w:szCs w:val="20"/>
          <w:color w:val="auto"/>
        </w:rPr>
      </w:pPr>
    </w:p>
    <w:p>
      <w:pPr>
        <w:ind w:left="1280" w:hanging="640"/>
        <w:spacing w:after="0"/>
        <w:tabs>
          <w:tab w:leader="none" w:pos="12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COMPUTERS, THE INTERNET AND E-MAIL</w:t>
      </w:r>
    </w:p>
    <w:p>
      <w:pPr>
        <w:spacing w:after="0" w:line="201"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Everyone who works with the Company's computer-based resources is responsible complying with StemCells' policy on Use of Technology and the Internet, which appears in the Employee Handbook. Employees should take care to understand the risks and ensure that the security features of the computer-based resources are not compromised. Information created, transmitted or accessed on Company networks is Company property, and StemCells reserves the right to monitor or restrict access to it. Individual supervisors are responsible for ensuring that Company resources are used productively or to enhance employees' skills and job performance.</w:t>
      </w:r>
    </w:p>
    <w:p>
      <w:pPr>
        <w:spacing w:after="0" w:line="99" w:lineRule="exact"/>
        <w:rPr>
          <w:sz w:val="20"/>
          <w:szCs w:val="20"/>
          <w:color w:val="auto"/>
        </w:rPr>
      </w:pPr>
    </w:p>
    <w:p>
      <w:pPr>
        <w:ind w:right="1879" w:firstLine="632"/>
        <w:spacing w:after="0" w:line="306" w:lineRule="auto"/>
        <w:rPr>
          <w:sz w:val="20"/>
          <w:szCs w:val="20"/>
          <w:color w:val="auto"/>
        </w:rPr>
      </w:pPr>
      <w:r>
        <w:rPr>
          <w:rFonts w:ascii="Courier New" w:cs="Courier New" w:eastAsia="Courier New" w:hAnsi="Courier New"/>
          <w:sz w:val="16"/>
          <w:szCs w:val="16"/>
          <w:color w:val="auto"/>
        </w:rPr>
        <w:t>Computer software used in connection with StemCells' business must be properly licensed and used only in accordance with that license. Using unlicensed software could constitute copyright infringement. If an employee has any questions as to whether his or her use of computer software is licensed, he or she should consult with the IT Manager or the Compliance Officer.</w:t>
      </w:r>
    </w:p>
    <w:p>
      <w:pPr>
        <w:spacing w:after="0" w:line="60"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The same level of care should be taken when using StemCells' e-mail, internet and voice mail systems as is used in written documents. For example, confidential information about StemCells should not be disclosed on electronic bulletin boards, in chat rooms or posted on an internet website.</w:t>
      </w:r>
    </w:p>
    <w:p>
      <w:pPr>
        <w:spacing w:after="0" w:line="82" w:lineRule="exact"/>
        <w:rPr>
          <w:sz w:val="20"/>
          <w:szCs w:val="20"/>
          <w:color w:val="auto"/>
        </w:rPr>
      </w:pPr>
    </w:p>
    <w:p>
      <w:pPr>
        <w:ind w:left="640" w:hanging="632"/>
        <w:spacing w:after="0"/>
        <w:tabs>
          <w:tab w:leader="none" w:pos="6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OPPORTUNITIES</w:t>
      </w:r>
    </w:p>
    <w:p>
      <w:pPr>
        <w:spacing w:after="0" w:line="201" w:lineRule="exact"/>
        <w:rPr>
          <w:sz w:val="20"/>
          <w:szCs w:val="20"/>
          <w:color w:val="auto"/>
        </w:rPr>
      </w:pPr>
    </w:p>
    <w:p>
      <w:pPr>
        <w:ind w:right="1999" w:firstLine="632"/>
        <w:spacing w:after="0" w:line="260" w:lineRule="auto"/>
        <w:rPr>
          <w:sz w:val="20"/>
          <w:szCs w:val="20"/>
          <w:color w:val="auto"/>
        </w:rPr>
      </w:pPr>
      <w:r>
        <w:rPr>
          <w:rFonts w:ascii="Courier New" w:cs="Courier New" w:eastAsia="Courier New" w:hAnsi="Courier New"/>
          <w:sz w:val="18"/>
          <w:szCs w:val="18"/>
          <w:color w:val="auto"/>
        </w:rPr>
        <w:t>Employees, officers and directors are prohibited from (a) taking for themselves personally opportunities that they discover through the use of Company property, information or position, (b) using Company property, information or position for personal gain, and (c) competing with the Company. An employee, officer or director owes a duty to the Company to advance its legitimate interests when the opportunity to do so arises.</w:t>
      </w:r>
    </w:p>
    <w:p>
      <w:pPr>
        <w:spacing w:after="0" w:line="93" w:lineRule="exact"/>
        <w:rPr>
          <w:sz w:val="20"/>
          <w:szCs w:val="20"/>
          <w:color w:val="auto"/>
        </w:rPr>
      </w:pPr>
    </w:p>
    <w:p>
      <w:pPr>
        <w:ind w:left="640" w:hanging="632"/>
        <w:spacing w:after="0"/>
        <w:tabs>
          <w:tab w:leader="none" w:pos="6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DEALING</w:t>
      </w:r>
    </w:p>
    <w:p>
      <w:pPr>
        <w:spacing w:after="0" w:line="201"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Employees, officers and directors should endeavor to deal fairly with the Company's suppliers, competitors and employees, and should not take unfair advantage of anyone through manipulation, concealment, abuse of privileged information, misrepresentation of material facts, or any other unfair-dealing practices.</w:t>
      </w:r>
    </w:p>
    <w:p>
      <w:pPr>
        <w:spacing w:after="0" w:line="90" w:lineRule="exact"/>
        <w:rPr>
          <w:sz w:val="20"/>
          <w:szCs w:val="20"/>
          <w:color w:val="auto"/>
        </w:rPr>
      </w:pPr>
    </w:p>
    <w:p>
      <w:pPr>
        <w:ind w:left="640" w:hanging="632"/>
        <w:spacing w:after="0"/>
        <w:tabs>
          <w:tab w:leader="none" w:pos="6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CONFLICTS OF INTEREST</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StemCells employees, officers and directors should avoid all potential conflicts of interest or situations that give the appearance of such conflict of interest. A conflict of interest occurs when the private interest of a StemCells employee (or an immediate family or household member or someone with whom you have an intimate relationship) interferes, in any way -- or</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488" w:right="1440" w:bottom="1440" w:gutter="0" w:footer="0" w:header="0"/>
        </w:sectPr>
      </w:pPr>
    </w:p>
    <w:bookmarkStart w:id="85" w:name="page86"/>
    <w:bookmarkEnd w:id="85"/>
    <w:p>
      <w:pPr>
        <w:ind w:right="1779"/>
        <w:spacing w:after="0" w:line="253" w:lineRule="auto"/>
        <w:rPr>
          <w:sz w:val="20"/>
          <w:szCs w:val="20"/>
          <w:color w:val="auto"/>
        </w:rPr>
      </w:pPr>
      <w:r>
        <w:rPr>
          <w:rFonts w:ascii="Courier New" w:cs="Courier New" w:eastAsia="Courier New" w:hAnsi="Courier New"/>
          <w:sz w:val="18"/>
          <w:szCs w:val="18"/>
          <w:color w:val="auto"/>
        </w:rPr>
        <w:t>even appears to interfere -- with the duties performed by the employee or with the interests of the Company as a whole. A conflict situation can arise when an employee, officer or director takes actions or has interests that may make it difficult to perform his or her work objectively and effectively. Conflicts of interest also arise when an employee, officer or director, or a member of his or her family, receives improper personal benefits as a result of his or her position in the Company. Loans to, or guarantees of obligations of, such persons are of special concern.</w:t>
      </w:r>
    </w:p>
    <w:p>
      <w:pPr>
        <w:spacing w:after="0" w:line="104" w:lineRule="exact"/>
        <w:rPr>
          <w:sz w:val="20"/>
          <w:szCs w:val="20"/>
          <w:color w:val="auto"/>
        </w:rPr>
      </w:pPr>
    </w:p>
    <w:p>
      <w:pPr>
        <w:ind w:right="1779" w:firstLine="632"/>
        <w:spacing w:after="0" w:line="277" w:lineRule="auto"/>
        <w:rPr>
          <w:sz w:val="20"/>
          <w:szCs w:val="20"/>
          <w:color w:val="auto"/>
        </w:rPr>
      </w:pPr>
      <w:r>
        <w:rPr>
          <w:rFonts w:ascii="Courier New" w:cs="Courier New" w:eastAsia="Courier New" w:hAnsi="Courier New"/>
          <w:sz w:val="16"/>
          <w:szCs w:val="16"/>
          <w:color w:val="auto"/>
        </w:rPr>
        <w:t>In order to avoid conflicts of interest, StemCells employees, officers or directors may not be employed by, act as a consultant to, or have an independent business relationship with any of StemCells' competitors or suppliers. Nor may employees, officers or directors invest in any customer, supplier, or competitor (other than through mutual funds or through holdings of less than one-half percent of the outstanding shares of publicly traded securities) unless they first obtain written permission from the Chief Executive Officer. Employees, officers or directors should not have other outside employment or business interests that place them in the position of (i) appearing to represent StemCells, (ii) providing goods or services substantially similar to those StemCells provides or is considering making available, or (iii) lessening their efficiency, productivity, or dedication to StemCells in performing their everyday duties. Employees, officers and directors may not have an interest in or speculate in anything of value which may be affected by StemCells' business. Employees, officers or directors may not divulge or use StemCells' confidential information -- such as financial data, computer programs, technical methods or scientific discoveries -- for their own personal or business purposes.</w:t>
      </w:r>
    </w:p>
    <w:p>
      <w:pPr>
        <w:spacing w:after="0" w:line="299"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Any personal or business activities by an employee, officer or director that may raise concerns about conflict, potential conflict or apparent conflict of interest must be disclosed to and approved in advance by the Compliance Officer. You should also obtain the approval of a supervising officer when accepting a board position with a not-for-profit entity, when there may be a StemCells business relationship with the entity or an expectation of financial or other support from StemCells.</w:t>
      </w:r>
    </w:p>
    <w:p>
      <w:pPr>
        <w:spacing w:after="0" w:line="98" w:lineRule="exact"/>
        <w:rPr>
          <w:sz w:val="20"/>
          <w:szCs w:val="20"/>
          <w:color w:val="auto"/>
        </w:rPr>
      </w:pPr>
    </w:p>
    <w:p>
      <w:pPr>
        <w:ind w:left="640" w:hanging="632"/>
        <w:spacing w:after="0"/>
        <w:tabs>
          <w:tab w:leader="none" w:pos="6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GIFTS, MEALS AND ENTERTAINMENT</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r>
        <w:rPr>
          <w:rFonts w:ascii="Courier New" w:cs="Courier New" w:eastAsia="Courier New" w:hAnsi="Courier New"/>
          <w:sz w:val="16"/>
          <w:szCs w:val="16"/>
          <w:color w:val="auto"/>
        </w:rPr>
        <w:t>ENTERTAINMENT AND GIFTS</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StemCells recognizes that in some instances, gifts, favors and entertainment can provide an entirely appropriate means of furthering a business relationship. These are permitted only when all of the following conditions are met:</w:t>
      </w:r>
    </w:p>
    <w:p>
      <w:pPr>
        <w:spacing w:after="0" w:line="82" w:lineRule="exact"/>
        <w:rPr>
          <w:sz w:val="20"/>
          <w:szCs w:val="20"/>
          <w:color w:val="auto"/>
        </w:rPr>
      </w:pPr>
    </w:p>
    <w:p>
      <w:pPr>
        <w:ind w:left="1280" w:hanging="640"/>
        <w:spacing w:after="0"/>
        <w:tabs>
          <w:tab w:leader="none" w:pos="128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disclosure would not embarrass StemCells.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of limited value ($50.00 or less).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consistent with our business practices.</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No employee, officer or director should accept or provide gifts of more than $50 in connection with their business dealings. The offer or receipt of any such gift over $50 should be reported immediately to the Compliance Officer. Normal business courtesies involving no more than ordinary amenities (such as lunch, dinner, a spectator event, or a golf game) are permitted, as are</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488" w:right="1440" w:bottom="1440" w:gutter="0" w:footer="0" w:header="0"/>
        </w:sectPr>
      </w:pPr>
    </w:p>
    <w:bookmarkStart w:id="86" w:name="page87"/>
    <w:bookmarkEnd w:id="86"/>
    <w:p>
      <w:pPr>
        <w:ind w:right="1779"/>
        <w:spacing w:after="0" w:line="260" w:lineRule="auto"/>
        <w:rPr>
          <w:sz w:val="20"/>
          <w:szCs w:val="20"/>
          <w:color w:val="auto"/>
        </w:rPr>
      </w:pPr>
      <w:r>
        <w:rPr>
          <w:rFonts w:ascii="Courier New" w:cs="Courier New" w:eastAsia="Courier New" w:hAnsi="Courier New"/>
          <w:sz w:val="18"/>
          <w:szCs w:val="18"/>
          <w:color w:val="auto"/>
        </w:rPr>
        <w:t>token non-cash gifts of nominal value. The guiding principle is that no gift, favor or entertainment should be accepted or provided if it will obligate, or appear to obligate, the recipient. If you are uncertain about the propriety of a gift, you should contact the Compliance Officer for guidance. StemCells employees may not offer, give, solicit, or receive any payment that could appear to be a bribe, kickback, payoff, or other irregular type of payment.</w:t>
      </w:r>
    </w:p>
    <w:p>
      <w:pPr>
        <w:spacing w:after="0" w:line="93" w:lineRule="exact"/>
        <w:rPr>
          <w:sz w:val="20"/>
          <w:szCs w:val="20"/>
          <w:color w:val="auto"/>
        </w:rPr>
      </w:pPr>
    </w:p>
    <w:p>
      <w:pPr>
        <w:ind w:left="1280" w:hanging="640"/>
        <w:spacing w:after="0"/>
        <w:tabs>
          <w:tab w:leader="none" w:pos="128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RELATIONSHIPS WITH GOVERNMENT PERSONNEL</w:t>
      </w:r>
    </w:p>
    <w:p>
      <w:pPr>
        <w:spacing w:after="0" w:line="201"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Separate and more stringent gift, meals, and entertainment rules apply to dealings with government officials. Federal and state anti-kickback laws prohibit StemCells and its representatives from knowingly and willfully offering, paying, requesting, or receiving any money or other benefit, directly or indirectly, in return for obtaining or rewarding favorable treatment in connection with the award of a government contract. Any employee who becomes aware of any such conduct should immediately report it to the Compliance Officer.</w:t>
      </w:r>
    </w:p>
    <w:p>
      <w:pPr>
        <w:spacing w:after="0" w:line="104" w:lineRule="exact"/>
        <w:rPr>
          <w:sz w:val="20"/>
          <w:szCs w:val="20"/>
          <w:color w:val="auto"/>
        </w:rPr>
      </w:pPr>
    </w:p>
    <w:p>
      <w:pPr>
        <w:ind w:right="1999" w:firstLine="632"/>
        <w:spacing w:after="0" w:line="256" w:lineRule="auto"/>
        <w:rPr>
          <w:sz w:val="20"/>
          <w:szCs w:val="20"/>
          <w:color w:val="auto"/>
        </w:rPr>
      </w:pPr>
      <w:r>
        <w:rPr>
          <w:rFonts w:ascii="Courier New" w:cs="Courier New" w:eastAsia="Courier New" w:hAnsi="Courier New"/>
          <w:sz w:val="18"/>
          <w:szCs w:val="18"/>
          <w:color w:val="auto"/>
        </w:rPr>
        <w:t>The anti-kickback laws must be considered whenever something of value is given or received by StemCells or its representatives or affiliates that is in any way connected to work performed for the government. There are many transactions that may violate the anti-kickback rules. As a result, no one acting on behalf of StemCells may offer or accept gifts, loans, rebates, services, or payment of any kind to or from government suppliers and vendors without first consulting the Compliance Officer.</w:t>
      </w:r>
    </w:p>
    <w:p>
      <w:pPr>
        <w:spacing w:after="0" w:line="98" w:lineRule="exact"/>
        <w:rPr>
          <w:sz w:val="20"/>
          <w:szCs w:val="20"/>
          <w:color w:val="auto"/>
        </w:rPr>
      </w:pPr>
    </w:p>
    <w:p>
      <w:pPr>
        <w:ind w:left="1280" w:hanging="640"/>
        <w:spacing w:after="0"/>
        <w:tabs>
          <w:tab w:leader="none" w:pos="12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DEALINGS IN FOREIGN COUNTRIES</w:t>
      </w:r>
    </w:p>
    <w:p>
      <w:pPr>
        <w:spacing w:after="0" w:line="201"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Federal law prohibits U.S. companies, and those acting on their behalf, from bribing foreign officials to obtain or retain business. Foreign officials include officers and employees of a foreign government or of a foreign governmental department or agency. Indirect payments including those to agents or third parties with the knowledge that at least a portion of the payment will be given to a foreign official for an illegal purpose are prohibited. StemCells will not tolerate any conduct that violates this law.</w:t>
      </w:r>
    </w:p>
    <w:p>
      <w:pPr>
        <w:spacing w:after="0" w:line="98" w:lineRule="exact"/>
        <w:rPr>
          <w:sz w:val="20"/>
          <w:szCs w:val="20"/>
          <w:color w:val="auto"/>
        </w:rPr>
      </w:pPr>
    </w:p>
    <w:p>
      <w:pPr>
        <w:ind w:left="640" w:hanging="632"/>
        <w:spacing w:after="0"/>
        <w:tabs>
          <w:tab w:leader="none" w:pos="6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INTERACTING WITH THE GOVERNMENT</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r>
        <w:rPr>
          <w:rFonts w:ascii="Courier New" w:cs="Courier New" w:eastAsia="Courier New" w:hAnsi="Courier New"/>
          <w:sz w:val="16"/>
          <w:szCs w:val="16"/>
          <w:color w:val="auto"/>
        </w:rPr>
        <w:t>RELATIONS WITH GOVERNMENT</w:t>
      </w:r>
    </w:p>
    <w:p>
      <w:pPr>
        <w:spacing w:after="0" w:line="201" w:lineRule="exact"/>
        <w:rPr>
          <w:sz w:val="20"/>
          <w:szCs w:val="20"/>
          <w:color w:val="auto"/>
        </w:rPr>
      </w:pPr>
    </w:p>
    <w:p>
      <w:pPr>
        <w:ind w:right="1779" w:firstLine="632"/>
        <w:spacing w:after="0" w:line="344" w:lineRule="auto"/>
        <w:rPr>
          <w:sz w:val="20"/>
          <w:szCs w:val="20"/>
          <w:color w:val="auto"/>
        </w:rPr>
      </w:pPr>
      <w:r>
        <w:rPr>
          <w:rFonts w:ascii="Courier New" w:cs="Courier New" w:eastAsia="Courier New" w:hAnsi="Courier New"/>
          <w:sz w:val="16"/>
          <w:szCs w:val="16"/>
          <w:color w:val="auto"/>
        </w:rPr>
        <w:t>StemCells values its good relations with local, state, federal and foreign governments. We are committed to being a "good corporate citizen" and are proud of the contributions we have made to help the communities where we do business.</w:t>
      </w:r>
    </w:p>
    <w:p>
      <w:pPr>
        <w:spacing w:after="0" w:line="31"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It is StemCells' policy is to maintain good relations with local, state and federal governments and government agencies, to deal honestly and fairly with government representatives and agents, and to comply with valid and reasonable governmental requests and processes. It is a violation of the Company's policy to provide false or misleading information to any government agent or representative, or to encourage anyone else to do so. It is a violation of the Company's policy to destroy records relevant to a fact-finding process, or to direct or encourage anyone else to do so. As noted elsewhere, violations of this policy will give rise to disciplinary action up to and including termination of employment. See Paragraph 19 for instructions on how to deal with government investigations or inquiries.</w:t>
      </w:r>
    </w:p>
    <w:p>
      <w:pPr>
        <w:spacing w:after="0" w:line="200" w:lineRule="exact"/>
        <w:rPr>
          <w:sz w:val="20"/>
          <w:szCs w:val="20"/>
          <w:color w:val="auto"/>
        </w:rPr>
      </w:pP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488" w:right="1440" w:bottom="1440" w:gutter="0" w:footer="0" w:header="0"/>
        </w:sectPr>
      </w:pPr>
    </w:p>
    <w:bookmarkStart w:id="87" w:name="page88"/>
    <w:bookmarkEnd w:id="87"/>
    <w:p>
      <w:pPr>
        <w:ind w:left="640" w:hanging="632"/>
        <w:spacing w:after="0"/>
        <w:tabs>
          <w:tab w:leader="none" w:pos="6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COMPETITION</w:t>
      </w:r>
    </w:p>
    <w:p>
      <w:pPr>
        <w:spacing w:after="0" w:line="20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StemCells is committed to complying with all state and federal antitrust laws. These laws cover matters like prohibitions on price-fixing, dividing markets or territories, and other unlawful agreements. Any questions that arise in this area should be addressed to the Compliance Officer.</w:t>
      </w:r>
    </w:p>
    <w:p>
      <w:pPr>
        <w:spacing w:after="0" w:line="82" w:lineRule="exact"/>
        <w:rPr>
          <w:sz w:val="20"/>
          <w:szCs w:val="20"/>
          <w:color w:val="auto"/>
        </w:rPr>
      </w:pPr>
    </w:p>
    <w:p>
      <w:pPr>
        <w:ind w:left="640" w:hanging="632"/>
        <w:spacing w:after="0"/>
        <w:tabs>
          <w:tab w:leader="none" w:pos="6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PURCHASING</w:t>
      </w:r>
    </w:p>
    <w:p>
      <w:pPr>
        <w:spacing w:after="0" w:line="201"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Purchasing decisions must be made in accordance with applicable StemCells policy. In addition, the prohibitions discussed in Section 11 of this Code, entitled "Gifts, Meals and Entertainment" apply to purchasing decisions. Purchasing decisions must in all instances be made free from any conflicts of interest that could affect the outcome. StemCells is committed to a fair and objective procurement system which results in the acquisition of quality goods and services at a fair price.</w:t>
      </w:r>
    </w:p>
    <w:p>
      <w:pPr>
        <w:spacing w:after="0" w:line="98" w:lineRule="exact"/>
        <w:rPr>
          <w:sz w:val="20"/>
          <w:szCs w:val="20"/>
          <w:color w:val="auto"/>
        </w:rPr>
      </w:pPr>
    </w:p>
    <w:p>
      <w:pPr>
        <w:ind w:left="640" w:hanging="632"/>
        <w:spacing w:after="0"/>
        <w:tabs>
          <w:tab w:leader="none" w:pos="6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CONTRIBUTIONS</w:t>
      </w:r>
    </w:p>
    <w:p>
      <w:pPr>
        <w:spacing w:after="0" w:line="201"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StemCells employees are free to participate in civic and political activities to the extent they wish to do so. The Company's direct political activities are, however, limited by law. Corporations may not make any contributions -- whether direct or indirect -- to candidates for federal office. Thus, StemCells may not contribute any money or products, or lend the use of vehicles, equipment, or facilities, to candidates for federal office. Nor may StemCells make contributions to political action committees that make contributions to candidates for federal office. Neither StemCells, nor supervisory personnel within StemCells, may require any employees to make any such contribution. Finally, StemCells cannot reimburse its employees for any money they contribute to political candidates or campaigns.</w:t>
      </w:r>
    </w:p>
    <w:p>
      <w:pPr>
        <w:spacing w:after="0" w:line="104" w:lineRule="exact"/>
        <w:rPr>
          <w:sz w:val="20"/>
          <w:szCs w:val="20"/>
          <w:color w:val="auto"/>
        </w:rPr>
      </w:pPr>
    </w:p>
    <w:p>
      <w:pPr>
        <w:ind w:right="2419" w:firstLine="632"/>
        <w:spacing w:after="0" w:line="274" w:lineRule="auto"/>
        <w:rPr>
          <w:sz w:val="20"/>
          <w:szCs w:val="20"/>
          <w:color w:val="auto"/>
        </w:rPr>
      </w:pPr>
      <w:r>
        <w:rPr>
          <w:rFonts w:ascii="Courier New" w:cs="Courier New" w:eastAsia="Courier New" w:hAnsi="Courier New"/>
          <w:sz w:val="18"/>
          <w:szCs w:val="18"/>
          <w:color w:val="auto"/>
        </w:rPr>
        <w:t>California law also limits the extent to which corporations and individuals may contribute to political candidates. Any question about the propriety of political activity or contribution should be directed to the Compliance Officer.</w:t>
      </w:r>
    </w:p>
    <w:p>
      <w:pPr>
        <w:spacing w:after="0" w:line="82" w:lineRule="exact"/>
        <w:rPr>
          <w:sz w:val="20"/>
          <w:szCs w:val="20"/>
          <w:color w:val="auto"/>
        </w:rPr>
      </w:pPr>
    </w:p>
    <w:p>
      <w:pPr>
        <w:ind w:left="640" w:hanging="632"/>
        <w:spacing w:after="0"/>
        <w:tabs>
          <w:tab w:leader="none" w:pos="6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EXPORTS AND IMPORTS</w:t>
      </w:r>
    </w:p>
    <w:p>
      <w:pPr>
        <w:spacing w:after="0" w:line="201"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StemCells employees and agents should be aware that there are also many U.S. laws that govern the import of items into the United States. Among other things, these laws control what can be imported into the United States, how the articles should be marked, and the amount of duty to be paid. StemCells complies with all U.S. import laws. If an employee or agent is uncertain about whether a transaction involving the importation of items into the United States complies with these laws, he or she must contact the Compliance Officer for guidance.</w:t>
      </w:r>
    </w:p>
    <w:p>
      <w:pPr>
        <w:spacing w:after="0" w:line="72"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There are also many U.S. laws and regulations governing international trade and commerce which serve to limit the export of certain products to certain countries. StemCells is committed to complying with those laws. Because these rules are complicated and change periodically, at such time as the Company has products, its employees and agents seeking to export a product will first confirm the legal trade status of that country and, if uncertain about whether a foreign sale complies with U.S. export laws, contact the Compliance Officer for guidance.</w:t>
      </w:r>
    </w:p>
    <w:p>
      <w:pPr>
        <w:spacing w:after="0" w:line="200" w:lineRule="exact"/>
        <w:rPr>
          <w:sz w:val="20"/>
          <w:szCs w:val="20"/>
          <w:color w:val="auto"/>
        </w:rPr>
      </w:pP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488" w:right="1440" w:bottom="1440" w:gutter="0" w:footer="0" w:header="0"/>
        </w:sectPr>
      </w:pPr>
    </w:p>
    <w:bookmarkStart w:id="88" w:name="page89"/>
    <w:bookmarkEnd w:id="88"/>
    <w:p>
      <w:pPr>
        <w:ind w:left="640" w:hanging="632"/>
        <w:spacing w:after="0"/>
        <w:tabs>
          <w:tab w:leader="none" w:pos="6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MEDIA/PUBLIC RELATIONS AND GOVERNMENTAL INQUIRIES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When StemCells provides information to the news media, securities analysts and stockholders, it has an obligation to do so accurately and completely. In order to ensure that StemCells complies with its obligations, employees receiving inquiries regarding StemCells' activities, results, plans or position on public issues should refer the request to the Company's President and Chief Executive Officer, unless he has designated another person to act as corporate spokesperson. StemCells employees may not speak publicly for the company unless specifically authorized by senior management.</w:t>
      </w:r>
    </w:p>
    <w:p>
      <w:pPr>
        <w:spacing w:after="0" w:line="104" w:lineRule="exact"/>
        <w:rPr>
          <w:sz w:val="20"/>
          <w:szCs w:val="20"/>
          <w:color w:val="auto"/>
        </w:rPr>
      </w:pPr>
    </w:p>
    <w:p>
      <w:pPr>
        <w:ind w:right="1879" w:firstLine="632"/>
        <w:spacing w:after="0" w:line="344" w:lineRule="auto"/>
        <w:rPr>
          <w:sz w:val="20"/>
          <w:szCs w:val="20"/>
          <w:color w:val="auto"/>
        </w:rPr>
      </w:pPr>
      <w:r>
        <w:rPr>
          <w:rFonts w:ascii="Courier New" w:cs="Courier New" w:eastAsia="Courier New" w:hAnsi="Courier New"/>
          <w:sz w:val="16"/>
          <w:szCs w:val="16"/>
          <w:color w:val="auto"/>
        </w:rPr>
        <w:t>In the unlikely event that a government representative seeks to interview an employee regarding StemCells' business activities or an employee's work at the Company, the employee should contact the General Counsel.</w:t>
      </w:r>
    </w:p>
    <w:p>
      <w:pPr>
        <w:spacing w:after="0" w:line="3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Occasionally, someone will arrive unexpectedly or a government representative may seek to inspect the Company's facility. If this happens, an employee should immediately notify his or her Manager or Supervisor and contact the General Counsel.</w:t>
      </w:r>
    </w:p>
    <w:p>
      <w:pPr>
        <w:spacing w:after="0" w:line="82" w:lineRule="exact"/>
        <w:rPr>
          <w:sz w:val="20"/>
          <w:szCs w:val="20"/>
          <w:color w:val="auto"/>
        </w:rPr>
      </w:pPr>
    </w:p>
    <w:p>
      <w:pPr>
        <w:ind w:left="640" w:hanging="632"/>
        <w:spacing w:after="0"/>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COMPLIANCE</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In conducting its business, StemCells is committed to compliance with all applicable laws and regulations relating to the protection of the environment, and in particular those governing the incineration, treatment, storage, disposal, and discharge of waste. Failure to comply, even if unintentional, could result in significant penalties for StemCells. Accordingly, if an employee suspects noncompliance or violation of these laws and regulations, the circumstances should be reported immediately to the Health Safety Officer or the Compliance Officer.</w:t>
      </w:r>
    </w:p>
    <w:p>
      <w:pPr>
        <w:spacing w:after="0" w:line="104" w:lineRule="exact"/>
        <w:rPr>
          <w:sz w:val="20"/>
          <w:szCs w:val="20"/>
          <w:color w:val="auto"/>
        </w:rPr>
      </w:pPr>
    </w:p>
    <w:p>
      <w:pPr>
        <w:ind w:left="640" w:hanging="632"/>
        <w:spacing w:after="0"/>
        <w:tabs>
          <w:tab w:leader="none" w:pos="6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RESPONSE TO INVESTIGATIONS OR GOVERNMENT INQUIRIES</w:t>
      </w:r>
    </w:p>
    <w:p>
      <w:pPr>
        <w:spacing w:after="0" w:line="201" w:lineRule="exact"/>
        <w:rPr>
          <w:sz w:val="20"/>
          <w:szCs w:val="20"/>
          <w:color w:val="auto"/>
        </w:rPr>
      </w:pPr>
    </w:p>
    <w:p>
      <w:pPr>
        <w:ind w:right="2199" w:firstLine="632"/>
        <w:spacing w:after="0" w:line="265" w:lineRule="auto"/>
        <w:rPr>
          <w:sz w:val="20"/>
          <w:szCs w:val="20"/>
          <w:color w:val="auto"/>
        </w:rPr>
      </w:pPr>
      <w:r>
        <w:rPr>
          <w:rFonts w:ascii="Courier New" w:cs="Courier New" w:eastAsia="Courier New" w:hAnsi="Courier New"/>
          <w:sz w:val="18"/>
          <w:szCs w:val="18"/>
          <w:color w:val="auto"/>
        </w:rPr>
        <w:t>Numerous state and federal agencies have broad legal authority to investigate StemCells and review its records. StemCells will comply with subpoenas and respond to governmental investigations as required by law. The Compliance Officer is responsible for coordinating StemCells' response to investigations and the release of any information.</w:t>
      </w:r>
    </w:p>
    <w:p>
      <w:pPr>
        <w:spacing w:after="0" w:line="90" w:lineRule="exact"/>
        <w:rPr>
          <w:sz w:val="20"/>
          <w:szCs w:val="20"/>
          <w:color w:val="auto"/>
        </w:rPr>
      </w:pPr>
    </w:p>
    <w:p>
      <w:pPr>
        <w:ind w:right="1779" w:firstLine="632"/>
        <w:spacing w:after="0" w:line="245" w:lineRule="auto"/>
        <w:rPr>
          <w:sz w:val="20"/>
          <w:szCs w:val="20"/>
          <w:color w:val="auto"/>
        </w:rPr>
      </w:pPr>
      <w:r>
        <w:rPr>
          <w:rFonts w:ascii="Courier New" w:cs="Courier New" w:eastAsia="Courier New" w:hAnsi="Courier New"/>
          <w:sz w:val="18"/>
          <w:szCs w:val="18"/>
          <w:color w:val="auto"/>
        </w:rPr>
        <w:t>If an employee or officer receives an investigative demand, subpoena, or search warrant involving StemCells, it should be brought immediately to the General Counsel. No documents should be released or copied without authorization from the General Counsel. If an investigator, agent, or government auditor comes to StemCells' facility, contact the President and CEO or his designee immediately. In the absence of the Chief Executive Officer, contact StemCells' General Counsel. Ask the investigator to wait until the contacted individual arrives before reviewing any documents or conducting any interviews. The Compliance Officer or the General Counsel is responsible for assisting with any interviews. If StemCells employees are approached by government investigators and agents while they are away from StemCells' premises and asked to discuss Company affairs, the employee has the right to insist on being interviewed during business hours with a supervisor or counsel present. Alternatively, any employee may choose to be interviewed or not to be interviewed at all. The Company recognizes the choice of how to proceed in these circumstances is left entirely the employees. If an employee chooses to</w:t>
      </w:r>
    </w:p>
    <w:p>
      <w:pPr>
        <w:spacing w:after="0" w:line="200" w:lineRule="exact"/>
        <w:rPr>
          <w:sz w:val="20"/>
          <w:szCs w:val="20"/>
          <w:color w:val="auto"/>
        </w:rPr>
      </w:pPr>
    </w:p>
    <w:p>
      <w:pPr>
        <w:spacing w:after="0" w:line="3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488"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6"/>
          <w:szCs w:val="16"/>
          <w:color w:val="auto"/>
        </w:rPr>
        <w:t>speak with government personnel, it is essential that the employee be truthful.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Questions may be directed to the Compliance Officer.</w:t>
      </w:r>
    </w:p>
    <w:p>
      <w:pPr>
        <w:spacing w:after="0" w:line="169"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StemCells employees are not permitted to alter, remove, or destroy documents or records of StemCells except in accordance with regular document retention and destruction practices. If a government investigation should be conducted, it is essential that no documents or records be destroyed or damaged during its course.</w:t>
      </w:r>
    </w:p>
    <w:p>
      <w:pPr>
        <w:spacing w:after="0" w:line="90" w:lineRule="exact"/>
        <w:rPr>
          <w:sz w:val="20"/>
          <w:szCs w:val="20"/>
          <w:color w:val="auto"/>
        </w:rPr>
      </w:pPr>
    </w:p>
    <w:p>
      <w:pPr>
        <w:ind w:left="640" w:hanging="632"/>
        <w:spacing w:after="0"/>
        <w:tabs>
          <w:tab w:leader="none" w:pos="6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w:t>
      </w:r>
    </w:p>
    <w:p>
      <w:pPr>
        <w:spacing w:after="0" w:line="201" w:lineRule="exact"/>
        <w:rPr>
          <w:sz w:val="20"/>
          <w:szCs w:val="20"/>
          <w:color w:val="auto"/>
        </w:rPr>
      </w:pPr>
    </w:p>
    <w:p>
      <w:pPr>
        <w:ind w:right="2099" w:firstLine="632"/>
        <w:spacing w:after="0" w:line="260" w:lineRule="auto"/>
        <w:rPr>
          <w:sz w:val="20"/>
          <w:szCs w:val="20"/>
          <w:color w:val="auto"/>
        </w:rPr>
      </w:pPr>
      <w:r>
        <w:rPr>
          <w:rFonts w:ascii="Courier New" w:cs="Courier New" w:eastAsia="Courier New" w:hAnsi="Courier New"/>
          <w:sz w:val="18"/>
          <w:szCs w:val="18"/>
          <w:color w:val="auto"/>
        </w:rPr>
        <w:t>This Code applies to all StemCells employees, officers and directors. There shall be no substantive amendment or waiver of any part of the Code affecting the directors, senior financial officers, or executive officers, except by a vote of the Board of Directors, which will ascertain whether an amendment or waiver is appropriate and ensure that the amendment or waiver is accompanied by appropriate controls designed to protect StemCells.</w:t>
      </w:r>
    </w:p>
    <w:p>
      <w:pPr>
        <w:spacing w:after="0" w:line="93" w:lineRule="exact"/>
        <w:rPr>
          <w:sz w:val="20"/>
          <w:szCs w:val="20"/>
          <w:color w:val="auto"/>
        </w:rPr>
      </w:pPr>
    </w:p>
    <w:p>
      <w:pPr>
        <w:ind w:right="1999" w:firstLine="632"/>
        <w:spacing w:after="0" w:line="318" w:lineRule="auto"/>
        <w:rPr>
          <w:sz w:val="20"/>
          <w:szCs w:val="20"/>
          <w:color w:val="auto"/>
        </w:rPr>
      </w:pPr>
      <w:r>
        <w:rPr>
          <w:rFonts w:ascii="Courier New" w:cs="Courier New" w:eastAsia="Courier New" w:hAnsi="Courier New"/>
          <w:sz w:val="16"/>
          <w:szCs w:val="16"/>
          <w:color w:val="auto"/>
        </w:rPr>
        <w:t>In the event that any substantive amendment is made or any waiver of the type requiring disclosure is granted, the waiver will be posted on the StemCells' website and/or filed with the SEC as appropriate, thereby allowing the StemCells shareholders to evaluate the merits of the particular waiver.</w:t>
      </w:r>
    </w:p>
    <w:p>
      <w:pPr>
        <w:spacing w:after="0" w:line="200" w:lineRule="exact"/>
        <w:rPr>
          <w:sz w:val="20"/>
          <w:szCs w:val="20"/>
          <w:color w:val="auto"/>
        </w:rPr>
      </w:pPr>
    </w:p>
    <w:p>
      <w:pPr>
        <w:spacing w:after="0" w:line="25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488" w:right="1440" w:bottom="1440" w:gutter="0" w:footer="0" w:header="0"/>
        </w:sectPr>
      </w:pPr>
    </w:p>
    <w:bookmarkStart w:id="90" w:name="page91"/>
    <w:bookmarkEnd w:id="90"/>
    <w:p>
      <w:pPr>
        <w:ind w:left="1580"/>
        <w:spacing w:after="0"/>
        <w:rPr>
          <w:sz w:val="20"/>
          <w:szCs w:val="20"/>
          <w:color w:val="auto"/>
        </w:rPr>
      </w:pPr>
      <w:r>
        <w:rPr>
          <w:rFonts w:ascii="Courier New" w:cs="Courier New" w:eastAsia="Courier New" w:hAnsi="Courier New"/>
          <w:sz w:val="18"/>
          <w:szCs w:val="18"/>
          <w:color w:val="auto"/>
        </w:rPr>
        <w:t>EMPLOYEE CERTIFICATION AND AGREEMENT OF COMPLIANCE</w:t>
      </w:r>
    </w:p>
    <w:p>
      <w:pPr>
        <w:spacing w:after="0" w:line="201"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I certify that I have read StemCells' "Corporate Code of Ethics and Conduct" (the "Code") and fully understand the obligations set forth in those documents.</w:t>
      </w:r>
    </w:p>
    <w:p>
      <w:pPr>
        <w:spacing w:after="0" w:line="66"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The Code includes a statement of StemCells' policies, which are designed to ensure that the Company and its employees conduct StemCells' business in compliance with all federal and state laws governing its operations and the conduct is consistent with the highest standards of business and professional ethics.</w:t>
      </w:r>
    </w:p>
    <w:p>
      <w:pPr>
        <w:spacing w:after="0" w:line="90"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I understand that the Code obligates all employees to carry out their duties for StemCells in accordance with these policies and with applicable laws. I further understand that any violation of these policies or applicable laws, or any deviation from appropriate ethical standards, will subject an employee to disciplinary action. Indeed, I understand that even a failure to report such a violation or deviation may, by itself, subject an employee to disciplinary action.</w:t>
      </w:r>
    </w:p>
    <w:p>
      <w:pPr>
        <w:spacing w:after="0" w:line="98"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I am also aware that in the event that I have any question about whether an action complies with StemCells' policies or applicable law, I should present that question to my supervisor, the Compliance Coordinator at my facility, or, if appropriate, directly to the Company's Compliance Officer or other members of the Compliance Committee.</w:t>
      </w:r>
    </w:p>
    <w:p>
      <w:pPr>
        <w:spacing w:after="0" w:line="90" w:lineRule="exact"/>
        <w:rPr>
          <w:sz w:val="20"/>
          <w:szCs w:val="20"/>
          <w:color w:val="auto"/>
        </w:rPr>
      </w:pPr>
    </w:p>
    <w:p>
      <w:pPr>
        <w:ind w:right="1879" w:firstLine="632"/>
        <w:spacing w:after="0" w:line="318" w:lineRule="auto"/>
        <w:rPr>
          <w:sz w:val="20"/>
          <w:szCs w:val="20"/>
          <w:color w:val="auto"/>
        </w:rPr>
      </w:pPr>
      <w:r>
        <w:rPr>
          <w:rFonts w:ascii="Courier New" w:cs="Courier New" w:eastAsia="Courier New" w:hAnsi="Courier New"/>
          <w:sz w:val="16"/>
          <w:szCs w:val="16"/>
          <w:color w:val="auto"/>
        </w:rPr>
        <w:t>With these understandings of my obligations, I agree to act in accordance with the StemCells policies set forth in the Code. Having read the Code, I am not currently aware of any matter that should be brought to the attention of Compliance personnel as a violation or suspected violation of this Code.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_________________________</w:t>
      </w:r>
    </w:p>
    <w:p>
      <w:pPr>
        <w:sectPr>
          <w:pgSz w:w="11900" w:h="16838" w:orient="portrait"/>
          <w:cols w:equalWidth="0" w:num="1">
            <w:col w:w="10219"/>
          </w:cols>
          <w:pgMar w:left="240" w:top="488" w:right="1440" w:bottom="1440" w:gutter="0" w:footer="0" w:header="0"/>
        </w:sectPr>
      </w:pPr>
    </w:p>
    <w:bookmarkStart w:id="91" w:name="page92"/>
    <w:bookmarkEnd w:id="9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1" w:lineRule="exact"/>
        <w:rPr>
          <w:sz w:val="20"/>
          <w:szCs w:val="20"/>
          <w:color w:val="auto"/>
        </w:rPr>
      </w:pPr>
    </w:p>
    <w:p>
      <w:pPr>
        <w:ind w:right="1779" w:firstLine="1264"/>
        <w:spacing w:after="0" w:line="276"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w:t>
      </w:r>
    </w:p>
    <w:p>
      <w:pPr>
        <w:spacing w:after="0" w:line="182"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333-83992) of Stemcells, Inc. and in the Registration Statements (Form S-3 No. 333-68900 and No. 333-91228) of CytoTherapeutics, Inc. and in the related Prospectuses of our report dated March 4, 2003, except for Note 1 - Restatement of Consolidated Financial Statements, as to which the date is March 31, 2004, with respect to the consolidated financial statements of StemCells, Inc. included in the Annual Report (Form 10-K) for the year ended December 31, 2003.</w:t>
      </w:r>
    </w:p>
    <w:p>
      <w:pPr>
        <w:spacing w:after="0" w:line="7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2004</w:t>
      </w:r>
    </w:p>
    <w:p>
      <w:pPr>
        <w:sectPr>
          <w:pgSz w:w="11900" w:h="16838" w:orient="portrait"/>
          <w:cols w:equalWidth="0" w:num="1">
            <w:col w:w="10219"/>
          </w:cols>
          <w:pgMar w:left="240" w:top="515" w:right="1440" w:bottom="1440" w:gutter="0" w:footer="0" w:header="0"/>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GRANT THORNTON LLP, INDEPENDENT AUDITORS</w:t>
      </w:r>
    </w:p>
    <w:p>
      <w:pPr>
        <w:spacing w:after="0" w:line="201"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We consent to the incorporation by reference in this Annual Report on Form 10-K for the year ended December 31, 2003, of our report dated March 26, 2004, appearing in the Registration Statement (Form S-8 No. 333-66700) pertaining to the 2001 Equity Incentive Plan, in the Registration Statements (Form S-8 No.</w:t>
      </w:r>
    </w:p>
    <w:p>
      <w:pPr>
        <w:spacing w:after="0" w:line="3"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333-49524 and 333-29335) pertaining to the 1998 Incentive Stock Plan, 1992 Equity Incentive Plan, 1992 Employee Stock Purchase Plan and 1992 Stock Option Plan for Non-Employee Directors, in the Registration Statement (Form S-8 No.</w:t>
      </w:r>
    </w:p>
    <w:p>
      <w:pPr>
        <w:spacing w:after="0" w:line="1"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 333-83992) of Stemcells, Inc. and in the Registration Statements (Form S-3 No. 333-68900 and No. 333-91228) of CytoTherapeutics, Inc.</w:t>
      </w:r>
    </w:p>
    <w:p>
      <w:pPr>
        <w:spacing w:after="0" w:line="7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2004</w:t>
      </w:r>
    </w:p>
    <w:p>
      <w:pPr>
        <w:sectPr>
          <w:pgSz w:w="11900" w:h="16838" w:orient="portrait"/>
          <w:cols w:equalWidth="0" w:num="1">
            <w:col w:w="10219"/>
          </w:cols>
          <w:pgMar w:left="240" w:top="312" w:right="1440" w:bottom="1440" w:gutter="0" w:footer="0" w:header="0"/>
        </w:sectPr>
      </w:pPr>
    </w:p>
    <w:bookmarkStart w:id="93" w:name="page94"/>
    <w:bookmarkEnd w:id="9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UNDER SECTION 302 OF THE SARBANES-OXLEY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1" w:lineRule="exact"/>
        <w:rPr>
          <w:sz w:val="20"/>
          <w:szCs w:val="20"/>
          <w:color w:val="auto"/>
        </w:rPr>
      </w:pPr>
    </w:p>
    <w:p>
      <w:pPr>
        <w:ind w:left="1280" w:hanging="640"/>
        <w:spacing w:after="0"/>
        <w:tabs>
          <w:tab w:leader="none" w:pos="12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StemCells, Inc.;</w:t>
      </w:r>
    </w:p>
    <w:p>
      <w:pPr>
        <w:spacing w:after="0" w:line="223" w:lineRule="exact"/>
        <w:rPr>
          <w:rFonts w:ascii="Courier New" w:cs="Courier New" w:eastAsia="Courier New" w:hAnsi="Courier New"/>
          <w:sz w:val="16"/>
          <w:szCs w:val="16"/>
          <w:color w:val="auto"/>
        </w:rPr>
      </w:pPr>
    </w:p>
    <w:p>
      <w:pPr>
        <w:ind w:left="1280" w:right="1779" w:hanging="640"/>
        <w:spacing w:after="0" w:line="265" w:lineRule="auto"/>
        <w:tabs>
          <w:tab w:leader="none" w:pos="12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280" w:right="1779" w:hanging="640"/>
        <w:spacing w:after="0" w:line="274" w:lineRule="auto"/>
        <w:tabs>
          <w:tab w:leader="none" w:pos="12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1" w:lineRule="exact"/>
        <w:rPr>
          <w:rFonts w:ascii="Courier New" w:cs="Courier New" w:eastAsia="Courier New" w:hAnsi="Courier New"/>
          <w:sz w:val="18"/>
          <w:szCs w:val="18"/>
          <w:color w:val="auto"/>
        </w:rPr>
      </w:pPr>
    </w:p>
    <w:p>
      <w:pPr>
        <w:ind w:left="1900" w:right="1779" w:hanging="628"/>
        <w:spacing w:after="0" w:line="298" w:lineRule="auto"/>
        <w:tabs>
          <w:tab w:leader="none" w:pos="190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Courier New" w:cs="Courier New" w:eastAsia="Courier New" w:hAnsi="Courier New"/>
          <w:sz w:val="16"/>
          <w:szCs w:val="16"/>
          <w:color w:val="auto"/>
        </w:rPr>
      </w:pPr>
    </w:p>
    <w:p>
      <w:pPr>
        <w:ind w:left="1900" w:right="1779" w:hanging="628"/>
        <w:spacing w:after="0" w:line="265" w:lineRule="auto"/>
        <w:tabs>
          <w:tab w:leader="none" w:pos="190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Courier New" w:cs="Courier New" w:eastAsia="Courier New" w:hAnsi="Courier New"/>
          <w:sz w:val="18"/>
          <w:szCs w:val="18"/>
          <w:color w:val="auto"/>
        </w:rPr>
      </w:pPr>
    </w:p>
    <w:p>
      <w:pPr>
        <w:ind w:left="1900" w:right="1779" w:hanging="628"/>
        <w:spacing w:after="0" w:line="256" w:lineRule="auto"/>
        <w:tabs>
          <w:tab w:leader="none" w:pos="190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Courier New" w:cs="Courier New" w:eastAsia="Courier New" w:hAnsi="Courier New"/>
          <w:sz w:val="18"/>
          <w:szCs w:val="18"/>
          <w:color w:val="auto"/>
        </w:rPr>
      </w:pPr>
    </w:p>
    <w:p>
      <w:pPr>
        <w:ind w:left="1280" w:right="1879" w:hanging="640"/>
        <w:spacing w:after="0" w:line="265" w:lineRule="auto"/>
        <w:tabs>
          <w:tab w:leader="none" w:pos="12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1900" w:right="1779" w:hanging="628"/>
        <w:spacing w:after="0" w:line="265" w:lineRule="auto"/>
        <w:tabs>
          <w:tab w:leader="none" w:pos="190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89" w:lineRule="exact"/>
        <w:rPr>
          <w:rFonts w:ascii="Courier New" w:cs="Courier New" w:eastAsia="Courier New" w:hAnsi="Courier New"/>
          <w:sz w:val="18"/>
          <w:szCs w:val="18"/>
          <w:color w:val="auto"/>
        </w:rPr>
      </w:pPr>
    </w:p>
    <w:p>
      <w:pPr>
        <w:ind w:left="1900" w:right="1999" w:hanging="628"/>
        <w:spacing w:after="0" w:line="344" w:lineRule="auto"/>
        <w:tabs>
          <w:tab w:leader="none" w:pos="190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spacing w:after="0" w:line="29"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15" w:right="1440" w:bottom="1440" w:gutter="0" w:footer="0" w:header="0"/>
        </w:sectPr>
      </w:pPr>
    </w:p>
    <w:bookmarkStart w:id="94" w:name="page95"/>
    <w:bookmarkEnd w:id="9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SECTION 302 OF THE SARBANES-OXLEY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1" w:lineRule="exact"/>
        <w:rPr>
          <w:sz w:val="20"/>
          <w:szCs w:val="20"/>
          <w:color w:val="auto"/>
        </w:rPr>
      </w:pPr>
    </w:p>
    <w:p>
      <w:pPr>
        <w:ind w:left="1280" w:hanging="640"/>
        <w:spacing w:after="0"/>
        <w:tabs>
          <w:tab w:leader="none" w:pos="12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StemCells, Inc.;</w:t>
      </w:r>
    </w:p>
    <w:p>
      <w:pPr>
        <w:spacing w:after="0" w:line="223" w:lineRule="exact"/>
        <w:rPr>
          <w:rFonts w:ascii="Courier New" w:cs="Courier New" w:eastAsia="Courier New" w:hAnsi="Courier New"/>
          <w:sz w:val="16"/>
          <w:szCs w:val="16"/>
          <w:color w:val="auto"/>
        </w:rPr>
      </w:pPr>
    </w:p>
    <w:p>
      <w:pPr>
        <w:ind w:left="1280" w:right="1779" w:hanging="640"/>
        <w:spacing w:after="0" w:line="265" w:lineRule="auto"/>
        <w:tabs>
          <w:tab w:leader="none" w:pos="12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ind w:left="1280" w:right="1779" w:hanging="640"/>
        <w:spacing w:after="0" w:line="265" w:lineRule="auto"/>
        <w:tabs>
          <w:tab w:leader="none" w:pos="12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89" w:lineRule="exact"/>
        <w:rPr>
          <w:rFonts w:ascii="Courier New" w:cs="Courier New" w:eastAsia="Courier New" w:hAnsi="Courier New"/>
          <w:sz w:val="18"/>
          <w:szCs w:val="18"/>
          <w:color w:val="auto"/>
        </w:rPr>
      </w:pPr>
    </w:p>
    <w:p>
      <w:pPr>
        <w:ind w:left="1280" w:right="1779" w:hanging="640"/>
        <w:spacing w:after="0" w:line="274" w:lineRule="auto"/>
        <w:tabs>
          <w:tab w:leader="none" w:pos="12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1" w:lineRule="exact"/>
        <w:rPr>
          <w:rFonts w:ascii="Courier New" w:cs="Courier New" w:eastAsia="Courier New" w:hAnsi="Courier New"/>
          <w:sz w:val="18"/>
          <w:szCs w:val="18"/>
          <w:color w:val="auto"/>
        </w:rPr>
      </w:pPr>
    </w:p>
    <w:p>
      <w:pPr>
        <w:ind w:left="1900" w:right="1779" w:hanging="628"/>
        <w:spacing w:after="0" w:line="298" w:lineRule="auto"/>
        <w:tabs>
          <w:tab w:leader="none" w:pos="190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Courier New" w:cs="Courier New" w:eastAsia="Courier New" w:hAnsi="Courier New"/>
          <w:sz w:val="16"/>
          <w:szCs w:val="16"/>
          <w:color w:val="auto"/>
        </w:rPr>
      </w:pPr>
    </w:p>
    <w:p>
      <w:pPr>
        <w:ind w:left="1900" w:right="1779" w:hanging="628"/>
        <w:spacing w:after="0" w:line="265" w:lineRule="auto"/>
        <w:tabs>
          <w:tab w:leader="none" w:pos="1900"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Courier New" w:cs="Courier New" w:eastAsia="Courier New" w:hAnsi="Courier New"/>
          <w:sz w:val="18"/>
          <w:szCs w:val="18"/>
          <w:color w:val="auto"/>
        </w:rPr>
      </w:pPr>
    </w:p>
    <w:p>
      <w:pPr>
        <w:ind w:left="1900" w:right="1779" w:hanging="628"/>
        <w:spacing w:after="0" w:line="256" w:lineRule="auto"/>
        <w:tabs>
          <w:tab w:leader="none" w:pos="1900"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Courier New" w:cs="Courier New" w:eastAsia="Courier New" w:hAnsi="Courier New"/>
          <w:sz w:val="18"/>
          <w:szCs w:val="18"/>
          <w:color w:val="auto"/>
        </w:rPr>
      </w:pPr>
    </w:p>
    <w:p>
      <w:pPr>
        <w:ind w:left="1280" w:right="1879" w:hanging="640"/>
        <w:spacing w:after="0" w:line="265" w:lineRule="auto"/>
        <w:tabs>
          <w:tab w:leader="none" w:pos="12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Courier New" w:cs="Courier New" w:eastAsia="Courier New" w:hAnsi="Courier New"/>
          <w:sz w:val="18"/>
          <w:szCs w:val="18"/>
          <w:color w:val="auto"/>
        </w:rPr>
      </w:pPr>
    </w:p>
    <w:p>
      <w:pPr>
        <w:ind w:left="1900" w:right="1779" w:hanging="628"/>
        <w:spacing w:after="0" w:line="265" w:lineRule="auto"/>
        <w:tabs>
          <w:tab w:leader="none" w:pos="1900"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89" w:lineRule="exact"/>
        <w:rPr>
          <w:rFonts w:ascii="Courier New" w:cs="Courier New" w:eastAsia="Courier New" w:hAnsi="Courier New"/>
          <w:sz w:val="18"/>
          <w:szCs w:val="18"/>
          <w:color w:val="auto"/>
        </w:rPr>
      </w:pPr>
    </w:p>
    <w:p>
      <w:pPr>
        <w:ind w:left="1900" w:right="1999" w:hanging="628"/>
        <w:spacing w:after="0" w:line="344" w:lineRule="auto"/>
        <w:tabs>
          <w:tab w:leader="none" w:pos="190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spacing w:after="0" w:line="29"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15" w:right="1440" w:bottom="1440" w:gutter="0" w:footer="0" w:header="0"/>
        </w:sectPr>
      </w:pPr>
    </w:p>
    <w:bookmarkStart w:id="95" w:name="page96"/>
    <w:bookmarkEnd w:id="95"/>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2003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spacing w:after="0" w:line="31"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169" w:lineRule="exact"/>
        <w:rPr>
          <w:sz w:val="20"/>
          <w:szCs w:val="20"/>
          <w:color w:val="auto"/>
        </w:rPr>
      </w:pPr>
    </w:p>
    <w:p>
      <w:pPr>
        <w:ind w:left="1280" w:right="1779" w:hanging="631"/>
        <w:spacing w:after="0" w:line="292"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spacing w:after="0" w:line="29"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717" w:right="1440" w:bottom="1440" w:gutter="0" w:footer="0" w:header="0"/>
        </w:sectPr>
      </w:pPr>
    </w:p>
    <w:bookmarkStart w:id="96" w:name="page97"/>
    <w:bookmarkEnd w:id="96"/>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2003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93"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spacing w:after="0" w:line="31"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169" w:lineRule="exact"/>
        <w:rPr>
          <w:sz w:val="20"/>
          <w:szCs w:val="20"/>
          <w:color w:val="auto"/>
        </w:rPr>
      </w:pPr>
    </w:p>
    <w:p>
      <w:pPr>
        <w:ind w:left="1280" w:right="1779" w:hanging="631"/>
        <w:spacing w:after="0" w:line="292"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spacing w:after="0" w:line="29"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15" w:right="1440" w:bottom="1440" w:gutter="0" w:footer="0" w:header="0"/>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82" w:lineRule="exact"/>
        <w:rPr>
          <w:sz w:val="20"/>
          <w:szCs w:val="20"/>
          <w:color w:val="auto"/>
        </w:rPr>
      </w:pPr>
    </w:p>
    <w:p>
      <w:pPr>
        <w:ind w:right="1779" w:firstLine="1159"/>
        <w:spacing w:after="0" w:line="274"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82"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OUR FINANCIAL SITUATION IS PRECARIOUS AND, BASED ON CURRENTLY ESTIMATED OPERATING EXPENSES OUR EXISTING CAPITAL RESOURCES ARE ONLY SUFFICIENT TO FUND OUR OPERATIONS THROUGH THE END OF 2004.</w:t>
      </w:r>
    </w:p>
    <w:p>
      <w:pPr>
        <w:spacing w:after="0" w:line="66" w:lineRule="exact"/>
        <w:rPr>
          <w:sz w:val="20"/>
          <w:szCs w:val="20"/>
          <w:color w:val="auto"/>
        </w:rPr>
      </w:pPr>
    </w:p>
    <w:p>
      <w:pPr>
        <w:ind w:right="1779" w:firstLine="1159"/>
        <w:spacing w:after="0" w:line="242" w:lineRule="auto"/>
        <w:rPr>
          <w:sz w:val="20"/>
          <w:szCs w:val="20"/>
          <w:color w:val="auto"/>
        </w:rPr>
      </w:pPr>
      <w:r>
        <w:rPr>
          <w:rFonts w:ascii="Courier New" w:cs="Courier New" w:eastAsia="Courier New" w:hAnsi="Courier New"/>
          <w:sz w:val="18"/>
          <w:szCs w:val="18"/>
          <w:color w:val="auto"/>
        </w:rPr>
        <w:t>The Company has incurred significant operating losses and negative cash flows since inception. The Company has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are only sufficient to fund our operations through the end of 2004, based on our current estimates of operating expenses for this year. These conditions raise doubt about StemCells'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27" w:lineRule="exact"/>
        <w:rPr>
          <w:sz w:val="20"/>
          <w:szCs w:val="20"/>
          <w:color w:val="auto"/>
        </w:rPr>
      </w:pPr>
    </w:p>
    <w:p>
      <w:pPr>
        <w:ind w:right="1779" w:firstLine="1159"/>
        <w:spacing w:after="0" w:line="252"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Our existing capital resources are not sufficient to fund our operations through the end of 2004. Lack of necessary funds may require us to delay,</w:t>
      </w:r>
    </w:p>
    <w:p>
      <w:pPr>
        <w:sectPr>
          <w:pgSz w:w="11900" w:h="16838" w:orient="portrait"/>
          <w:cols w:equalWidth="0" w:num="1">
            <w:col w:w="10219"/>
          </w:cols>
          <w:pgMar w:left="240" w:top="312" w:right="1440" w:bottom="1440" w:gutter="0" w:footer="0" w:header="0"/>
        </w:sectPr>
      </w:pPr>
    </w:p>
    <w:bookmarkStart w:id="98" w:name="page99"/>
    <w:bookmarkEnd w:id="98"/>
    <w:p>
      <w:pPr>
        <w:ind w:right="1779"/>
        <w:spacing w:after="0" w:line="292" w:lineRule="auto"/>
        <w:rPr>
          <w:sz w:val="20"/>
          <w:szCs w:val="20"/>
          <w:color w:val="auto"/>
        </w:rPr>
      </w:pPr>
      <w:r>
        <w:rPr>
          <w:rFonts w:ascii="Courier New" w:cs="Courier New" w:eastAsia="Courier New" w:hAnsi="Courier New"/>
          <w:sz w:val="18"/>
          <w:szCs w:val="18"/>
          <w:color w:val="auto"/>
        </w:rPr>
        <w:t>scale back or eliminate some or all of our research and product development programs and/or our capital expenditures or to license our potential products or technologies to third parties.</w:t>
      </w:r>
    </w:p>
    <w:p>
      <w:pPr>
        <w:spacing w:after="0" w:line="66"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18" w:lineRule="exact"/>
        <w:rPr>
          <w:sz w:val="20"/>
          <w:szCs w:val="20"/>
          <w:color w:val="auto"/>
        </w:rPr>
      </w:pPr>
    </w:p>
    <w:p>
      <w:pPr>
        <w:ind w:right="1779" w:firstLine="1159"/>
        <w:spacing w:after="0" w:line="260" w:lineRule="auto"/>
        <w:rPr>
          <w:sz w:val="20"/>
          <w:szCs w:val="20"/>
          <w:color w:val="auto"/>
        </w:rPr>
      </w:pPr>
      <w:r>
        <w:rPr>
          <w:rFonts w:ascii="Courier New" w:cs="Courier New" w:eastAsia="Courier New" w:hAnsi="Courier New"/>
          <w:sz w:val="18"/>
          <w:szCs w:val="18"/>
          <w:color w:val="auto"/>
        </w:rPr>
        <w:t>Our stem cell technology still in the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93" w:lineRule="exact"/>
        <w:rPr>
          <w:sz w:val="20"/>
          <w:szCs w:val="20"/>
          <w:color w:val="auto"/>
        </w:rPr>
      </w:pPr>
    </w:p>
    <w:p>
      <w:pPr>
        <w:ind w:left="1380" w:hanging="213"/>
        <w:spacing w:after="0"/>
        <w:tabs>
          <w:tab w:leader="none" w:pos="13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1380" w:hanging="213"/>
        <w:spacing w:after="0"/>
        <w:tabs>
          <w:tab w:leader="none" w:pos="13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1380" w:hanging="213"/>
        <w:spacing w:after="0"/>
        <w:tabs>
          <w:tab w:leader="none" w:pos="13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1" w:lineRule="exact"/>
        <w:rPr>
          <w:rFonts w:ascii="Courier New" w:cs="Courier New" w:eastAsia="Courier New" w:hAnsi="Courier New"/>
          <w:sz w:val="18"/>
          <w:szCs w:val="18"/>
          <w:color w:val="auto"/>
        </w:rPr>
      </w:pPr>
    </w:p>
    <w:p>
      <w:pPr>
        <w:ind w:left="1380" w:right="1999" w:hanging="213"/>
        <w:spacing w:after="0" w:line="347" w:lineRule="auto"/>
        <w:tabs>
          <w:tab w:leader="none" w:pos="13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18" w:lineRule="exact"/>
        <w:rPr>
          <w:sz w:val="20"/>
          <w:szCs w:val="20"/>
          <w:color w:val="auto"/>
        </w:rPr>
      </w:pPr>
    </w:p>
    <w:p>
      <w:pPr>
        <w:ind w:right="1779" w:firstLine="1159"/>
        <w:spacing w:after="0" w:line="283"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80" w:lineRule="exact"/>
        <w:rPr>
          <w:sz w:val="20"/>
          <w:szCs w:val="20"/>
          <w:color w:val="auto"/>
        </w:rPr>
      </w:pPr>
    </w:p>
    <w:p>
      <w:pPr>
        <w:ind w:right="1879" w:firstLine="1159"/>
        <w:spacing w:after="0" w:line="249" w:lineRule="auto"/>
        <w:rPr>
          <w:sz w:val="20"/>
          <w:szCs w:val="20"/>
          <w:color w:val="auto"/>
        </w:rPr>
      </w:pPr>
      <w:r>
        <w:rPr>
          <w:rFonts w:ascii="Courier New" w:cs="Courier New" w:eastAsia="Courier New" w:hAnsi="Courier New"/>
          <w:sz w:val="18"/>
          <w:szCs w:val="18"/>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employed. Immunosuppression has not been tested with our therapies since we have not yet conducted any clinical trials.</w:t>
      </w:r>
    </w:p>
    <w:p>
      <w:pPr>
        <w:spacing w:after="0" w:line="1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6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Prior to our reorganization in 1999 and the consolidation of our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in California, we carried out our encapsulated cell therapy programs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Lincoln, Rhode Island, where we also had our administrative offices. Although we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vacated the Rhode Island facilities, we remain obligated to make on</w:t>
      </w:r>
    </w:p>
    <w:p>
      <w:pPr>
        <w:spacing w:after="0" w:line="238" w:lineRule="auto"/>
        <w:rPr>
          <w:sz w:val="20"/>
          <w:szCs w:val="20"/>
          <w:color w:val="auto"/>
        </w:rPr>
      </w:pPr>
      <w:r>
        <w:rPr>
          <w:rFonts w:ascii="Courier New" w:cs="Courier New" w:eastAsia="Courier New" w:hAnsi="Courier New"/>
          <w:sz w:val="18"/>
          <w:szCs w:val="18"/>
          <w:color w:val="auto"/>
        </w:rPr>
        <w:t>average, lease payments and payments for operating costs of approximately</w:t>
      </w:r>
    </w:p>
    <w:p>
      <w:pPr>
        <w:spacing w:after="0"/>
        <w:rPr>
          <w:sz w:val="20"/>
          <w:szCs w:val="20"/>
          <w:color w:val="auto"/>
        </w:rPr>
      </w:pPr>
      <w:r>
        <w:rPr>
          <w:rFonts w:ascii="Courier New" w:cs="Courier New" w:eastAsia="Courier New" w:hAnsi="Courier New"/>
          <w:sz w:val="18"/>
          <w:szCs w:val="18"/>
          <w:color w:val="auto"/>
        </w:rPr>
        <w:t>$1,450,000 per year before sub-tenant rent income for our former science and</w:t>
      </w:r>
    </w:p>
    <w:p>
      <w:pPr>
        <w:spacing w:after="0" w:line="238" w:lineRule="auto"/>
        <w:rPr>
          <w:sz w:val="20"/>
          <w:szCs w:val="20"/>
          <w:color w:val="auto"/>
        </w:rPr>
      </w:pPr>
      <w:r>
        <w:rPr>
          <w:rFonts w:ascii="Courier New" w:cs="Courier New" w:eastAsia="Courier New" w:hAnsi="Courier New"/>
          <w:sz w:val="18"/>
          <w:szCs w:val="18"/>
          <w:color w:val="auto"/>
        </w:rPr>
        <w:t>administrative facility, which we have leased through June 30, 2013, and debt</w:t>
      </w:r>
    </w:p>
    <w:p>
      <w:pPr>
        <w:spacing w:after="0"/>
        <w:rPr>
          <w:sz w:val="20"/>
          <w:szCs w:val="20"/>
          <w:color w:val="auto"/>
        </w:rPr>
      </w:pPr>
      <w:r>
        <w:rPr>
          <w:rFonts w:ascii="Courier New" w:cs="Courier New" w:eastAsia="Courier New" w:hAnsi="Courier New"/>
          <w:sz w:val="16"/>
          <w:szCs w:val="16"/>
          <w:color w:val="auto"/>
        </w:rPr>
        <w:t>service payments and payments for operating costs of approximately $500,000 per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for our former encapsulated cell therapy pilot manufacturing facility,</w:t>
      </w:r>
    </w:p>
    <w:p>
      <w:pPr>
        <w:spacing w:after="0" w:line="238" w:lineRule="auto"/>
        <w:rPr>
          <w:sz w:val="20"/>
          <w:szCs w:val="20"/>
          <w:color w:val="auto"/>
        </w:rPr>
      </w:pPr>
      <w:r>
        <w:rPr>
          <w:rFonts w:ascii="Courier New" w:cs="Courier New" w:eastAsia="Courier New" w:hAnsi="Courier New"/>
          <w:sz w:val="18"/>
          <w:szCs w:val="18"/>
          <w:color w:val="auto"/>
        </w:rPr>
        <w:t>which we own. We have currently subleased a portion of the science and</w:t>
      </w:r>
    </w:p>
    <w:p>
      <w:pPr>
        <w:spacing w:after="0"/>
        <w:rPr>
          <w:sz w:val="20"/>
          <w:szCs w:val="20"/>
          <w:color w:val="auto"/>
        </w:rPr>
      </w:pPr>
      <w:r>
        <w:rPr>
          <w:rFonts w:ascii="Courier New" w:cs="Courier New" w:eastAsia="Courier New" w:hAnsi="Courier New"/>
          <w:sz w:val="16"/>
          <w:szCs w:val="16"/>
          <w:color w:val="auto"/>
        </w:rPr>
        <w:t>administrative facility, and are seeking to sublease the remaining portion, but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cannot be sure that we will be able to keep any part of the facility</w:t>
      </w:r>
    </w:p>
    <w:p>
      <w:pPr>
        <w:spacing w:after="0" w:line="238" w:lineRule="auto"/>
        <w:rPr>
          <w:sz w:val="20"/>
          <w:szCs w:val="20"/>
          <w:color w:val="auto"/>
        </w:rPr>
      </w:pPr>
      <w:r>
        <w:rPr>
          <w:rFonts w:ascii="Courier New" w:cs="Courier New" w:eastAsia="Courier New" w:hAnsi="Courier New"/>
          <w:sz w:val="18"/>
          <w:szCs w:val="18"/>
          <w:color w:val="auto"/>
        </w:rPr>
        <w:t>subleased for the duration of our obligation. We have currently subleased the</w:t>
      </w:r>
    </w:p>
    <w:p>
      <w:pPr>
        <w:spacing w:after="0"/>
        <w:rPr>
          <w:sz w:val="20"/>
          <w:szCs w:val="20"/>
          <w:color w:val="auto"/>
        </w:rPr>
      </w:pPr>
      <w:r>
        <w:rPr>
          <w:rFonts w:ascii="Courier New" w:cs="Courier New" w:eastAsia="Courier New" w:hAnsi="Courier New"/>
          <w:sz w:val="16"/>
          <w:szCs w:val="16"/>
          <w:color w:val="auto"/>
        </w:rPr>
        <w:t>entire pilot manufacturing facility, but may not be able to sublease or sell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facility in the future once the current sublease agreements expire. These</w:t>
      </w:r>
    </w:p>
    <w:p>
      <w:pPr>
        <w:spacing w:after="0" w:line="238" w:lineRule="auto"/>
        <w:rPr>
          <w:sz w:val="20"/>
          <w:szCs w:val="20"/>
          <w:color w:val="auto"/>
        </w:rPr>
      </w:pPr>
      <w:r>
        <w:rPr>
          <w:rFonts w:ascii="Courier New" w:cs="Courier New" w:eastAsia="Courier New" w:hAnsi="Courier New"/>
          <w:sz w:val="18"/>
          <w:szCs w:val="18"/>
          <w:color w:val="auto"/>
        </w:rPr>
        <w:t>continuing costs significantly reduce our cash resources and adversely affect</w:t>
      </w:r>
    </w:p>
    <w:p>
      <w:pPr>
        <w:spacing w:after="0"/>
        <w:rPr>
          <w:sz w:val="20"/>
          <w:szCs w:val="20"/>
          <w:color w:val="auto"/>
        </w:rPr>
      </w:pPr>
      <w:r>
        <w:rPr>
          <w:rFonts w:ascii="Courier New" w:cs="Courier New" w:eastAsia="Courier New" w:hAnsi="Courier New"/>
          <w:sz w:val="18"/>
          <w:szCs w:val="18"/>
          <w:color w:val="auto"/>
        </w:rPr>
        <w:t>our ability to fund further development of our stem cell technology.</w:t>
      </w:r>
    </w:p>
    <w:p>
      <w:pPr>
        <w:spacing w:after="0" w:line="169"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18" w:lineRule="exact"/>
        <w:rPr>
          <w:sz w:val="20"/>
          <w:szCs w:val="20"/>
          <w:color w:val="auto"/>
        </w:rPr>
      </w:pPr>
    </w:p>
    <w:p>
      <w:pPr>
        <w:ind w:right="1779" w:firstLine="1159"/>
        <w:spacing w:after="0" w:line="260"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w:t>
      </w:r>
    </w:p>
    <w:p>
      <w:pPr>
        <w:sectPr>
          <w:pgSz w:w="11900" w:h="16838" w:orient="portrait"/>
          <w:cols w:equalWidth="0" w:num="1">
            <w:col w:w="10219"/>
          </w:cols>
          <w:pgMar w:left="240" w:top="690"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6"/>
          <w:szCs w:val="16"/>
          <w:color w:val="auto"/>
        </w:rPr>
        <w:t>companies, universities, research groups and others.</w:t>
      </w:r>
    </w:p>
    <w:p>
      <w:pPr>
        <w:sectPr>
          <w:pgSz w:w="11900" w:h="16838" w:orient="portrait"/>
          <w:cols w:equalWidth="0" w:num="1">
            <w:col w:w="10219"/>
          </w:cols>
          <w:pgMar w:left="240" w:top="110" w:right="1440" w:bottom="1440" w:gutter="0" w:footer="0" w:header="0"/>
        </w:sectPr>
      </w:pPr>
    </w:p>
    <w:bookmarkStart w:id="100" w:name="page101"/>
    <w:bookmarkEnd w:id="100"/>
    <w:p>
      <w:pPr>
        <w:ind w:right="1879"/>
        <w:spacing w:after="0" w:line="248" w:lineRule="auto"/>
        <w:rPr>
          <w:sz w:val="20"/>
          <w:szCs w:val="20"/>
          <w:color w:val="auto"/>
        </w:rPr>
      </w:pPr>
      <w:r>
        <w:rPr>
          <w:rFonts w:ascii="Courier New" w:cs="Courier New" w:eastAsia="Courier New" w:hAnsi="Courier New"/>
          <w:sz w:val="18"/>
          <w:szCs w:val="18"/>
          <w:color w:val="auto"/>
        </w:rPr>
        <w:t>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05"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18" w:lineRule="exact"/>
        <w:rPr>
          <w:sz w:val="20"/>
          <w:szCs w:val="20"/>
          <w:color w:val="auto"/>
        </w:rPr>
      </w:pPr>
    </w:p>
    <w:p>
      <w:pPr>
        <w:ind w:right="1779" w:firstLine="1159"/>
        <w:spacing w:after="0" w:line="247"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only one current research grant for our stem cell technology, and we may not obtain any such agreements or additional grants in the future or receive any revenues from them.</w:t>
      </w:r>
    </w:p>
    <w:p>
      <w:pPr>
        <w:spacing w:after="0" w:line="10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OPERATIONS WILL BE HARMED.</w:t>
      </w:r>
    </w:p>
    <w:p>
      <w:pPr>
        <w:spacing w:after="0" w:line="18" w:lineRule="exact"/>
        <w:rPr>
          <w:sz w:val="20"/>
          <w:szCs w:val="20"/>
          <w:color w:val="auto"/>
        </w:rPr>
      </w:pPr>
    </w:p>
    <w:p>
      <w:pPr>
        <w:ind w:right="1779" w:firstLine="1159"/>
        <w:spacing w:after="0" w:line="272" w:lineRule="auto"/>
        <w:rPr>
          <w:sz w:val="20"/>
          <w:szCs w:val="20"/>
          <w:color w:val="auto"/>
        </w:rPr>
      </w:pPr>
      <w:r>
        <w:rPr>
          <w:rFonts w:ascii="Courier New" w:cs="Courier New" w:eastAsia="Courier New" w:hAnsi="Courier New"/>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While we are confident in our position, there is no guarantee that we will prevail. If we are unsuccessful in our defense of the opposed patents, all claimed rights in the opposed patents will be lost in Europe.</w:t>
      </w:r>
    </w:p>
    <w:p>
      <w:pPr>
        <w:spacing w:after="0" w:line="200" w:lineRule="exact"/>
        <w:rPr>
          <w:sz w:val="20"/>
          <w:szCs w:val="20"/>
          <w:color w:val="auto"/>
        </w:rPr>
      </w:pPr>
    </w:p>
    <w:p>
      <w:pPr>
        <w:spacing w:after="0" w:line="317" w:lineRule="exact"/>
        <w:rPr>
          <w:sz w:val="20"/>
          <w:szCs w:val="20"/>
          <w:color w:val="auto"/>
        </w:rPr>
      </w:pPr>
    </w:p>
    <w:p>
      <w:pPr>
        <w:ind w:right="1779" w:firstLine="1159"/>
        <w:spacing w:after="0" w:line="285" w:lineRule="auto"/>
        <w:rPr>
          <w:sz w:val="20"/>
          <w:szCs w:val="20"/>
          <w:color w:val="auto"/>
        </w:rPr>
      </w:pPr>
      <w:r>
        <w:rPr>
          <w:rFonts w:ascii="Courier New" w:cs="Courier New" w:eastAsia="Courier New" w:hAnsi="Courier New"/>
          <w:sz w:val="16"/>
          <w:szCs w:val="16"/>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w:t>
      </w:r>
    </w:p>
    <w:p>
      <w:pPr>
        <w:sectPr>
          <w:pgSz w:w="11900" w:h="16838" w:orient="portrait"/>
          <w:cols w:equalWidth="0" w:num="1">
            <w:col w:w="10219"/>
          </w:cols>
          <w:pgMar w:left="240" w:top="691"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information or inventions.</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ectPr>
          <w:pgSz w:w="11900" w:h="16838" w:orient="portrait"/>
          <w:cols w:equalWidth="0" w:num="1">
            <w:col w:w="10219"/>
          </w:cols>
          <w:pgMar w:left="240" w:top="110" w:right="1440" w:bottom="1440" w:gutter="0" w:footer="0" w:header="0"/>
        </w:sectPr>
      </w:pPr>
    </w:p>
    <w:bookmarkStart w:id="102" w:name="page103"/>
    <w:bookmarkEnd w:id="102"/>
    <w:p>
      <w:pPr>
        <w:ind w:right="1779" w:firstLine="1159"/>
        <w:spacing w:after="0" w:line="260"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93"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 w:lineRule="exact"/>
        <w:rPr>
          <w:sz w:val="20"/>
          <w:szCs w:val="20"/>
          <w:color w:val="auto"/>
        </w:rPr>
      </w:pPr>
    </w:p>
    <w:p>
      <w:pPr>
        <w:ind w:right="1779" w:firstLine="1159"/>
        <w:spacing w:after="0" w:line="277"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1" w:lineRule="exact"/>
        <w:rPr>
          <w:sz w:val="20"/>
          <w:szCs w:val="20"/>
          <w:color w:val="auto"/>
        </w:rPr>
      </w:pPr>
    </w:p>
    <w:p>
      <w:pPr>
        <w:ind w:right="1779" w:firstLine="1159"/>
        <w:spacing w:after="0" w:line="246" w:lineRule="auto"/>
        <w:rPr>
          <w:sz w:val="20"/>
          <w:szCs w:val="20"/>
          <w:color w:val="auto"/>
        </w:rPr>
      </w:pPr>
      <w:r>
        <w:rPr>
          <w:rFonts w:ascii="Courier New" w:cs="Courier New" w:eastAsia="Courier New" w:hAnsi="Courier New"/>
          <w:sz w:val="18"/>
          <w:szCs w:val="18"/>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Transkaryotic Therapies, BioMarin, Celgen, Biogen, and Titan Pharmaceuticals. Finally, we also expect to compete with smaller biotechnology companies, some of which are privately owned, such as Neuralstem, Geron, NeuroNova, ReNeuron, ES Cell International, and CellFactors/Diacrin.</w:t>
      </w:r>
    </w:p>
    <w:p>
      <w:pPr>
        <w:spacing w:after="0" w:line="113" w:lineRule="exact"/>
        <w:rPr>
          <w:sz w:val="20"/>
          <w:szCs w:val="20"/>
          <w:color w:val="auto"/>
        </w:rPr>
      </w:pPr>
    </w:p>
    <w:p>
      <w:pPr>
        <w:ind w:right="1779" w:firstLine="1159"/>
        <w:spacing w:after="0" w:line="253" w:lineRule="auto"/>
        <w:rPr>
          <w:sz w:val="20"/>
          <w:szCs w:val="20"/>
          <w:color w:val="auto"/>
        </w:rPr>
      </w:pPr>
      <w:r>
        <w:rPr>
          <w:rFonts w:ascii="Courier New" w:cs="Courier New" w:eastAsia="Courier New" w:hAnsi="Courier New"/>
          <w:sz w:val="18"/>
          <w:szCs w:val="18"/>
          <w:color w:val="auto"/>
        </w:rPr>
        <w:t>We believe that our human neural stem cells may have application to many or most of the Lysosomal Storage Diseases ("LSDs") with CNS involvement. We intend to submit our first IND for Batten's Disease, which is one of the Lysosomal Storage Diseases (LSDs) that affect the CNS. There are, so far as we know, no approved therapies for Battens or any of the other CNS-specific LSDs, but other companies, including Genzyme, BioMarin, and Transkaryotic Therapies, have products approved to treat peripheral aspects of some of the other LSDs, and other products are in clinical trials.</w:t>
      </w:r>
    </w:p>
    <w:p>
      <w:pPr>
        <w:spacing w:after="0" w:line="104" w:lineRule="exact"/>
        <w:rPr>
          <w:sz w:val="20"/>
          <w:szCs w:val="20"/>
          <w:color w:val="auto"/>
        </w:rPr>
      </w:pPr>
    </w:p>
    <w:p>
      <w:pPr>
        <w:ind w:right="1879" w:firstLine="1159"/>
        <w:spacing w:after="0" w:line="260" w:lineRule="auto"/>
        <w:rPr>
          <w:sz w:val="20"/>
          <w:szCs w:val="20"/>
          <w:color w:val="auto"/>
        </w:rPr>
      </w:pPr>
      <w:r>
        <w:rPr>
          <w:rFonts w:ascii="Courier New" w:cs="Courier New" w:eastAsia="Courier New" w:hAnsi="Courier New"/>
          <w:sz w:val="18"/>
          <w:szCs w:val="18"/>
          <w:color w:val="auto"/>
        </w:rPr>
        <w:t>In the field of diabetes, a number of major companies currently market products for the treatment of diabetes and are also engaged in the research and development of new therapies. Such companies include Eli Lilly, Novo Nordisk, J&amp;J, Amylin, Serono. Consequently, should StemCells Inc, successfully develop a cell-based therapy for diabetes, we would expect to face severe competition from these and similar companies.</w:t>
      </w:r>
    </w:p>
    <w:p>
      <w:pPr>
        <w:spacing w:after="0" w:line="93" w:lineRule="exact"/>
        <w:rPr>
          <w:sz w:val="20"/>
          <w:szCs w:val="20"/>
          <w:color w:val="auto"/>
        </w:rPr>
      </w:pPr>
    </w:p>
    <w:p>
      <w:pPr>
        <w:ind w:right="1999" w:firstLine="1159"/>
        <w:spacing w:after="0" w:line="306" w:lineRule="auto"/>
        <w:rPr>
          <w:sz w:val="20"/>
          <w:szCs w:val="20"/>
          <w:color w:val="auto"/>
        </w:rPr>
      </w:pPr>
      <w:r>
        <w:rPr>
          <w:rFonts w:ascii="Courier New" w:cs="Courier New" w:eastAsia="Courier New" w:hAnsi="Courier New"/>
          <w:sz w:val="16"/>
          <w:szCs w:val="16"/>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60" w:lineRule="exact"/>
        <w:rPr>
          <w:sz w:val="20"/>
          <w:szCs w:val="20"/>
          <w:color w:val="auto"/>
        </w:rPr>
      </w:pPr>
    </w:p>
    <w:p>
      <w:pPr>
        <w:ind w:right="2739"/>
        <w:spacing w:after="0" w:line="347"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18" w:lineRule="exact"/>
        <w:rPr>
          <w:sz w:val="20"/>
          <w:szCs w:val="20"/>
          <w:color w:val="auto"/>
        </w:rPr>
      </w:pPr>
    </w:p>
    <w:p>
      <w:pPr>
        <w:ind w:right="1779" w:firstLine="1159"/>
        <w:spacing w:after="0" w:line="289" w:lineRule="auto"/>
        <w:rPr>
          <w:sz w:val="20"/>
          <w:szCs w:val="20"/>
          <w:color w:val="auto"/>
        </w:rPr>
      </w:pPr>
      <w:r>
        <w:rPr>
          <w:rFonts w:ascii="Courier New" w:cs="Courier New" w:eastAsia="Courier New" w:hAnsi="Courier New"/>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w:t>
      </w:r>
    </w:p>
    <w:p>
      <w:pPr>
        <w:sectPr>
          <w:pgSz w:w="11900" w:h="16838" w:orient="portrait"/>
          <w:cols w:equalWidth="0" w:num="1">
            <w:col w:w="10219"/>
          </w:cols>
          <w:pgMar w:left="240" w:top="690" w:right="1440" w:bottom="0" w:gutter="0" w:footer="0" w:header="0"/>
        </w:sectPr>
      </w:pPr>
    </w:p>
    <w:bookmarkStart w:id="103" w:name="page104"/>
    <w:bookmarkEnd w:id="103"/>
    <w:p>
      <w:pPr>
        <w:ind w:right="1779"/>
        <w:spacing w:after="0" w:line="274" w:lineRule="auto"/>
        <w:rPr>
          <w:sz w:val="20"/>
          <w:szCs w:val="20"/>
          <w:color w:val="auto"/>
        </w:rPr>
      </w:pPr>
      <w:r>
        <w:rPr>
          <w:rFonts w:ascii="Courier New" w:cs="Courier New" w:eastAsia="Courier New" w:hAnsi="Courier New"/>
          <w:sz w:val="18"/>
          <w:szCs w:val="18"/>
          <w:color w:val="auto"/>
        </w:rPr>
        <w:t>addition, the U.S. Congress and other legislative bodies may enact regulatory reforms or restrictions on the development of new therapies that could adversely affect the regulatory environment in which we operate or the development of any products we may develop.</w:t>
      </w:r>
    </w:p>
    <w:p>
      <w:pPr>
        <w:sectPr>
          <w:pgSz w:w="11900" w:h="16838" w:orient="portrait"/>
          <w:cols w:equalWidth="0" w:num="1">
            <w:col w:w="10219"/>
          </w:cols>
          <w:pgMar w:left="240" w:top="110" w:right="1440" w:bottom="1440" w:gutter="0" w:footer="0" w:header="0"/>
        </w:sectPr>
      </w:pPr>
    </w:p>
    <w:bookmarkStart w:id="104" w:name="page105"/>
    <w:bookmarkEnd w:id="104"/>
    <w:p>
      <w:pPr>
        <w:ind w:right="1779"/>
        <w:spacing w:after="0" w:line="250"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04" w:lineRule="exact"/>
        <w:rPr>
          <w:sz w:val="20"/>
          <w:szCs w:val="20"/>
          <w:color w:val="auto"/>
        </w:rPr>
      </w:pPr>
    </w:p>
    <w:p>
      <w:pPr>
        <w:ind w:right="1779" w:firstLine="1159"/>
        <w:spacing w:after="0" w:line="246"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113" w:lineRule="exact"/>
        <w:rPr>
          <w:sz w:val="20"/>
          <w:szCs w:val="20"/>
          <w:color w:val="auto"/>
        </w:rPr>
      </w:pPr>
    </w:p>
    <w:p>
      <w:pPr>
        <w:ind w:right="1779" w:firstLine="1159"/>
        <w:spacing w:after="0" w:line="253"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66" w:lineRule="exact"/>
        <w:rPr>
          <w:sz w:val="20"/>
          <w:szCs w:val="20"/>
          <w:color w:val="auto"/>
        </w:rPr>
      </w:pPr>
    </w:p>
    <w:p>
      <w:pPr>
        <w:ind w:right="1779" w:firstLine="1159"/>
        <w:spacing w:after="0" w:line="249"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04"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66" w:lineRule="exact"/>
        <w:rPr>
          <w:sz w:val="20"/>
          <w:szCs w:val="20"/>
          <w:color w:val="auto"/>
        </w:rPr>
      </w:pPr>
    </w:p>
    <w:p>
      <w:pPr>
        <w:ind w:right="1779" w:firstLine="1159"/>
        <w:spacing w:after="0" w:line="275"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w:t>
      </w:r>
    </w:p>
    <w:p>
      <w:pPr>
        <w:sectPr>
          <w:pgSz w:w="11900" w:h="16838" w:orient="portrait"/>
          <w:cols w:equalWidth="0" w:num="1">
            <w:col w:w="10219"/>
          </w:cols>
          <w:pgMar w:left="240" w:top="691" w:right="1440" w:bottom="0" w:gutter="0" w:footer="0" w:header="0"/>
        </w:sectPr>
      </w:pPr>
    </w:p>
    <w:bookmarkStart w:id="105" w:name="page106"/>
    <w:bookmarkEnd w:id="105"/>
    <w:p>
      <w:pPr>
        <w:ind w:right="2099"/>
        <w:spacing w:after="0" w:line="274" w:lineRule="auto"/>
        <w:rPr>
          <w:sz w:val="20"/>
          <w:szCs w:val="20"/>
          <w:color w:val="auto"/>
        </w:rPr>
      </w:pPr>
      <w:r>
        <w:rPr>
          <w:rFonts w:ascii="Courier New" w:cs="Courier New" w:eastAsia="Courier New" w:hAnsi="Courier New"/>
          <w:sz w:val="18"/>
          <w:szCs w:val="18"/>
          <w:color w:val="auto"/>
        </w:rPr>
        <w:t>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ectPr>
          <w:pgSz w:w="11900" w:h="16838" w:orient="portrait"/>
          <w:cols w:equalWidth="0" w:num="1">
            <w:col w:w="10219"/>
          </w:cols>
          <w:pgMar w:left="240" w:top="110" w:right="1440" w:bottom="1440" w:gutter="0" w:footer="0" w:header="0"/>
        </w:sectPr>
      </w:pPr>
    </w:p>
    <w:bookmarkStart w:id="106" w:name="page107"/>
    <w:bookmarkEnd w:id="106"/>
    <w:p>
      <w:pPr>
        <w:jc w:val="both"/>
        <w:ind w:right="2839"/>
        <w:spacing w:after="0" w:line="292"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66" w:lineRule="exact"/>
        <w:rPr>
          <w:sz w:val="20"/>
          <w:szCs w:val="20"/>
          <w:color w:val="auto"/>
        </w:rPr>
      </w:pPr>
    </w:p>
    <w:p>
      <w:pPr>
        <w:ind w:right="1779" w:firstLine="1159"/>
        <w:spacing w:after="0" w:line="276"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 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0" w:lineRule="exact"/>
        <w:rPr>
          <w:sz w:val="20"/>
          <w:szCs w:val="20"/>
          <w:color w:val="auto"/>
        </w:rPr>
      </w:pPr>
    </w:p>
    <w:p>
      <w:pPr>
        <w:spacing w:after="0" w:line="302"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SMALLCAP MARKET, WHICH COULD ELIMINATE THE TRADING MARKET FOR OUR COMMON STOCK.</w:t>
      </w:r>
    </w:p>
    <w:p>
      <w:pPr>
        <w:spacing w:after="0" w:line="66" w:lineRule="exact"/>
        <w:rPr>
          <w:sz w:val="20"/>
          <w:szCs w:val="20"/>
          <w:color w:val="auto"/>
        </w:rPr>
      </w:pPr>
    </w:p>
    <w:p>
      <w:pPr>
        <w:ind w:right="1779" w:firstLine="1159"/>
        <w:spacing w:after="0" w:line="274" w:lineRule="auto"/>
        <w:rPr>
          <w:sz w:val="20"/>
          <w:szCs w:val="20"/>
          <w:color w:val="auto"/>
        </w:rPr>
      </w:pPr>
      <w:r>
        <w:rPr>
          <w:rFonts w:ascii="Courier New" w:cs="Courier New" w:eastAsia="Courier New" w:hAnsi="Courier New"/>
          <w:sz w:val="16"/>
          <w:szCs w:val="16"/>
          <w:color w:val="auto"/>
        </w:rPr>
        <w:t>Our common stock is quoted on the Nasdaq SmallCap Market. In order to continue to be included in the Nasdaq Small Cap Market, a company must meet Nasdaq's maintenance criteria. The maintenance criteria most applicable to us requires a minimum bid price of $1.00 per share and additionally, we must maintain $2.5 million in stockholders' equity.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2003 was $10,963,558 Failure to meet these maintenance criteria may result in the delisting of our common stock from the Nasdaq SmallCap Market. If our common stock were delisted, in order to have our common stock relisted on the SmallCap Market we would be required to meet the criteria for initial listing, which are more stringent than the maintenance criteria. Accordingly, we cannot assure you that if we were delisted we would be able to have our common stock relisted on the Nasdaq SmallCap Market. If our common stock were delisted from the Nasdaq SmallCap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SmallCap Market, it might become more difficult for us to raise funds through the sale of our common stock or securities convertible into our common stock.</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o"/>
      <w:numFmt w:val="bullet"/>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decimal"/>
      <w:start w:val="2"/>
    </w:lvl>
  </w:abstractNum>
  <w:abstractNum w:abstractNumId="8">
    <w:nsid w:val="98A3148"/>
    <w:multiLevelType w:val="hybridMultilevel"/>
    <w:lvl w:ilvl="0">
      <w:lvlJc w:val="left"/>
      <w:lvlText w:val="%1."/>
      <w:numFmt w:val="decimal"/>
      <w:start w:val="3"/>
    </w:lvl>
  </w:abstractNum>
  <w:abstractNum w:abstractNumId="9">
    <w:nsid w:val="799D0247"/>
    <w:multiLevelType w:val="hybridMultilevel"/>
    <w:lvl w:ilvl="0">
      <w:lvlJc w:val="left"/>
      <w:lvlText w:val="•"/>
      <w:numFmt w:val="bullet"/>
      <w:start w:val="1"/>
    </w:lvl>
    <w:lvl w:ilvl="1">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1."/>
      <w:numFmt w:val="decimal"/>
      <w:start w:val="4"/>
    </w:lvl>
  </w:abstractNum>
  <w:abstractNum w:abstractNumId="15">
    <w:nsid w:val="5DC79EA8"/>
    <w:multiLevelType w:val="hybridMultilevel"/>
    <w:lvl w:ilvl="0">
      <w:lvlJc w:val="left"/>
      <w:lvlText w:val="(%1)"/>
      <w:numFmt w:val="lowerRoman"/>
      <w:start w:val="2"/>
    </w:lvl>
  </w:abstractNum>
  <w:abstractNum w:abstractNumId="16">
    <w:nsid w:val="540A471C"/>
    <w:multiLevelType w:val="hybridMultilevel"/>
    <w:lvl w:ilvl="0">
      <w:lvlJc w:val="left"/>
      <w:lvlText w:val="\emdash "/>
      <w:numFmt w:val="bullet"/>
      <w:start w:val="1"/>
    </w:lvl>
  </w:abstractNum>
  <w:abstractNum w:abstractNumId="17">
    <w:nsid w:val="7BD3EE7B"/>
    <w:multiLevelType w:val="hybridMultilevel"/>
    <w:lvl w:ilvl="0">
      <w:lvlJc w:val="left"/>
      <w:lvlText w:val="(%1)"/>
      <w:numFmt w:val="decimal"/>
      <w:start w:val="1"/>
    </w:lvl>
    <w:lvl w:ilvl="1">
      <w:lvlJc w:val="left"/>
      <w:lvlText w:val="\emdash "/>
      <w:numFmt w:val="bullet"/>
      <w:start w:val="1"/>
    </w:lvl>
  </w:abstractNum>
  <w:abstractNum w:abstractNumId="18">
    <w:nsid w:val="51D9C564"/>
    <w:multiLevelType w:val="hybridMultilevel"/>
    <w:lvl w:ilvl="0">
      <w:lvlJc w:val="left"/>
      <w:lvlText w:val="\emdash "/>
      <w:numFmt w:val="bullet"/>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decimal"/>
      <w:start w:val="2"/>
    </w:lvl>
  </w:abstractNum>
  <w:abstractNum w:abstractNumId="22">
    <w:nsid w:val="42963E5A"/>
    <w:multiLevelType w:val="hybridMultilevel"/>
    <w:lvl w:ilvl="0">
      <w:lvlJc w:val="left"/>
      <w:lvlText w:val="%1."/>
      <w:numFmt w:val="decimal"/>
      <w:start w:val="3"/>
    </w:lvl>
  </w:abstractNum>
  <w:abstractNum w:abstractNumId="23">
    <w:nsid w:val="A0382C5"/>
    <w:multiLevelType w:val="hybridMultilevel"/>
    <w:lvl w:ilvl="0">
      <w:lvlJc w:val="left"/>
      <w:lvlText w:val="%1."/>
      <w:numFmt w:val="decimal"/>
      <w:start w:val="4"/>
    </w:lvl>
  </w:abstractNum>
  <w:abstractNum w:abstractNumId="24">
    <w:nsid w:val="8F2B15E"/>
    <w:multiLevelType w:val="hybridMultilevel"/>
    <w:lvl w:ilvl="0">
      <w:lvlJc w:val="left"/>
      <w:lvlText w:val="%1."/>
      <w:numFmt w:val="decimal"/>
      <w:start w:val="5"/>
    </w:lvl>
  </w:abstractNum>
  <w:abstractNum w:abstractNumId="25">
    <w:nsid w:val="1A32234B"/>
    <w:multiLevelType w:val="hybridMultilevel"/>
    <w:lvl w:ilvl="0">
      <w:lvlJc w:val="left"/>
      <w:lvlText w:val="%1."/>
      <w:numFmt w:val="decimal"/>
      <w:start w:val="6"/>
    </w:lvl>
  </w:abstractNum>
  <w:abstractNum w:abstractNumId="26">
    <w:nsid w:val="3B0FD379"/>
    <w:multiLevelType w:val="hybridMultilevel"/>
    <w:lvl w:ilvl="0">
      <w:lvlJc w:val="left"/>
      <w:lvlText w:val="%1."/>
      <w:numFmt w:val="decimal"/>
      <w:start w:val="7"/>
    </w:lvl>
  </w:abstractNum>
  <w:abstractNum w:abstractNumId="27">
    <w:nsid w:val="68EB2F63"/>
    <w:multiLevelType w:val="hybridMultilevel"/>
    <w:lvl w:ilvl="0">
      <w:lvlJc w:val="left"/>
      <w:lvlText w:val="%1."/>
      <w:numFmt w:val="decimal"/>
      <w:start w:val="8"/>
    </w:lvl>
  </w:abstractNum>
  <w:abstractNum w:abstractNumId="28">
    <w:nsid w:val="4962813B"/>
    <w:multiLevelType w:val="hybridMultilevel"/>
    <w:lvl w:ilvl="0">
      <w:lvlJc w:val="left"/>
      <w:lvlText w:val="%1."/>
      <w:numFmt w:val="decimal"/>
      <w:start w:val="9"/>
    </w:lvl>
  </w:abstractNum>
  <w:abstractNum w:abstractNumId="29">
    <w:nsid w:val="60B6DF70"/>
    <w:multiLevelType w:val="hybridMultilevel"/>
    <w:lvl w:ilvl="0">
      <w:lvlJc w:val="left"/>
      <w:lvlText w:val="%1."/>
      <w:numFmt w:val="decimal"/>
      <w:start w:val="10"/>
    </w:lvl>
  </w:abstractNum>
  <w:abstractNum w:abstractNumId="30">
    <w:nsid w:val="6A5EE64"/>
    <w:multiLevelType w:val="hybridMultilevel"/>
    <w:lvl w:ilvl="0">
      <w:lvlJc w:val="left"/>
      <w:lvlText w:val="%1."/>
      <w:numFmt w:val="decimal"/>
      <w:start w:val="1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decimal"/>
      <w:start w:val="12"/>
    </w:lvl>
  </w:abstractNum>
  <w:abstractNum w:abstractNumId="33">
    <w:nsid w:val="1A27709E"/>
    <w:multiLevelType w:val="hybridMultilevel"/>
    <w:lvl w:ilvl="0">
      <w:lvlJc w:val="left"/>
      <w:lvlText w:val="%1."/>
      <w:numFmt w:val="decimal"/>
      <w:start w:val="13"/>
    </w:lvl>
  </w:abstractNum>
  <w:abstractNum w:abstractNumId="34">
    <w:nsid w:val="71EA1109"/>
    <w:multiLevelType w:val="hybridMultilevel"/>
    <w:lvl w:ilvl="0">
      <w:lvlJc w:val="left"/>
      <w:lvlText w:val="%1."/>
      <w:numFmt w:val="decimal"/>
      <w:start w:val="14"/>
    </w:lvl>
  </w:abstractNum>
  <w:abstractNum w:abstractNumId="35">
    <w:nsid w:val="100F59DC"/>
    <w:multiLevelType w:val="hybridMultilevel"/>
    <w:lvl w:ilvl="0">
      <w:lvlJc w:val="left"/>
      <w:lvlText w:val="(%1)"/>
      <w:numFmt w:val="lowerLetter"/>
      <w:start w:val="1"/>
    </w:lvl>
  </w:abstractNum>
  <w:abstractNum w:abstractNumId="36">
    <w:nsid w:val="7FB7E0AA"/>
    <w:multiLevelType w:val="hybridMultilevel"/>
    <w:lvl w:ilvl="0">
      <w:lvlJc w:val="left"/>
      <w:lvlText w:val="(%1)"/>
      <w:numFmt w:val="lowerLetter"/>
      <w:start w:val="2"/>
    </w:lvl>
  </w:abstractNum>
  <w:abstractNum w:abstractNumId="37">
    <w:nsid w:val="6EB5BD4"/>
    <w:multiLevelType w:val="hybridMultilevel"/>
    <w:lvl w:ilvl="0">
      <w:lvlJc w:val="left"/>
      <w:lvlText w:val="(%1)"/>
      <w:numFmt w:val="lowerLetter"/>
      <w:start w:val="1"/>
    </w:lvl>
    <w:lvl w:ilvl="1">
      <w:lvlJc w:val="left"/>
      <w:lvlText w:val="(%2)"/>
      <w:numFmt w:val="decimal"/>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X"/>
      <w:numFmt w:val="bullet"/>
      <w:start w:val="1"/>
    </w:lvl>
  </w:abstractNum>
  <w:abstractNum w:abstractNumId="59">
    <w:nsid w:val="7055A5F5"/>
    <w:multiLevelType w:val="hybridMultilevel"/>
    <w:lvl w:ilvl="0">
      <w:lvlJc w:val="left"/>
      <w:lvlText w:val="%1"/>
      <w:numFmt w:val="upperLetter"/>
      <w:start w:val="50"/>
    </w:lvl>
  </w:abstractNum>
  <w:abstractNum w:abstractNumId="60">
    <w:nsid w:val="5FB8370B"/>
    <w:multiLevelType w:val="hybridMultilevel"/>
    <w:lvl w:ilvl="0">
      <w:lvlJc w:val="left"/>
      <w:lvlText w:val="%1"/>
      <w:numFmt w:val="upperLetter"/>
      <w:start w:val="76"/>
    </w:lvl>
  </w:abstractNum>
  <w:abstractNum w:abstractNumId="61">
    <w:nsid w:val="50801EE1"/>
    <w:multiLevelType w:val="hybridMultilevel"/>
    <w:lvl w:ilvl="0">
      <w:lvlJc w:val="left"/>
      <w:lvlText w:val="%1"/>
      <w:numFmt w:val="upperLetter"/>
      <w:start w:val="102"/>
    </w:lvl>
  </w:abstractNum>
  <w:abstractNum w:abstractNumId="62">
    <w:nsid w:val="488AC1A"/>
    <w:multiLevelType w:val="hybridMultilevel"/>
    <w:lvl w:ilvl="0">
      <w:lvlJc w:val="left"/>
      <w:lvlText w:val="&amp;"/>
      <w:numFmt w:val="bullet"/>
      <w:start w:val="1"/>
    </w:lvl>
  </w:abstractNum>
  <w:abstractNum w:abstractNumId="63">
    <w:nsid w:val="5FB8011C"/>
    <w:multiLevelType w:val="hybridMultilevel"/>
    <w:lvl w:ilvl="0">
      <w:lvlJc w:val="left"/>
      <w:lvlText w:val="&amp;&amp;"/>
      <w:numFmt w:val="bullet"/>
      <w:start w:val="1"/>
    </w:lvl>
  </w:abstractNum>
  <w:abstractNum w:abstractNumId="64">
    <w:nsid w:val="6AA78F7F"/>
    <w:multiLevelType w:val="hybridMultilevel"/>
    <w:lvl w:ilvl="0">
      <w:lvlJc w:val="left"/>
      <w:lvlText w:val="&amp;&amp;&amp;"/>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X"/>
      <w:numFmt w:val="bullet"/>
      <w:start w:val="1"/>
    </w:lvl>
  </w:abstractNum>
  <w:abstractNum w:abstractNumId="87">
    <w:nsid w:val="51088277"/>
    <w:multiLevelType w:val="hybridMultilevel"/>
    <w:lvl w:ilvl="0">
      <w:lvlJc w:val="left"/>
      <w:lvlText w:val="%1"/>
      <w:numFmt w:val="upperLetter"/>
      <w:start w:val="50"/>
    </w:lvl>
  </w:abstractNum>
  <w:abstractNum w:abstractNumId="88">
    <w:nsid w:val="1CA0C5FA"/>
    <w:multiLevelType w:val="hybridMultilevel"/>
    <w:lvl w:ilvl="0">
      <w:lvlJc w:val="left"/>
      <w:lvlText w:val="%1"/>
      <w:numFmt w:val="upperLetter"/>
      <w:start w:val="76"/>
    </w:lvl>
  </w:abstractNum>
  <w:abstractNum w:abstractNumId="89">
    <w:nsid w:val="53584BCB"/>
    <w:multiLevelType w:val="hybridMultilevel"/>
    <w:lvl w:ilvl="0">
      <w:lvlJc w:val="left"/>
      <w:lvlText w:val="%1"/>
      <w:numFmt w:val="upperLetter"/>
      <w:start w:val="102"/>
    </w:lvl>
  </w:abstractNum>
  <w:abstractNum w:abstractNumId="90">
    <w:nsid w:val="415E286C"/>
    <w:multiLevelType w:val="hybridMultilevel"/>
    <w:lvl w:ilvl="0">
      <w:lvlJc w:val="left"/>
      <w:lvlText w:val="&amp;"/>
      <w:numFmt w:val="bullet"/>
      <w:start w:val="1"/>
    </w:lvl>
  </w:abstractNum>
  <w:abstractNum w:abstractNumId="91">
    <w:nsid w:val="7C58FD05"/>
    <w:multiLevelType w:val="hybridMultilevel"/>
    <w:lvl w:ilvl="0">
      <w:lvlJc w:val="left"/>
      <w:lvlText w:val="&amp;&amp;"/>
      <w:numFmt w:val="bullet"/>
      <w:start w:val="1"/>
    </w:lvl>
  </w:abstractNum>
  <w:abstractNum w:abstractNumId="92">
    <w:nsid w:val="23D86AAC"/>
    <w:multiLevelType w:val="hybridMultilevel"/>
    <w:lvl w:ilvl="0">
      <w:lvlJc w:val="left"/>
      <w:lvlText w:val="&amp;&amp;&amp;"/>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1."/>
      <w:numFmt w:val="decimal"/>
      <w:start w:val="1"/>
    </w:lvl>
  </w:abstractNum>
  <w:abstractNum w:abstractNumId="95">
    <w:nsid w:val="E7FFA2B"/>
    <w:multiLevelType w:val="hybridMultilevel"/>
    <w:lvl w:ilvl="0">
      <w:lvlJc w:val="left"/>
      <w:lvlText w:val="%1."/>
      <w:numFmt w:val="decimal"/>
      <w:start w:val="2"/>
    </w:lvl>
  </w:abstractNum>
  <w:abstractNum w:abstractNumId="96">
    <w:nsid w:val="3C5991AA"/>
    <w:multiLevelType w:val="hybridMultilevel"/>
    <w:lvl w:ilvl="0">
      <w:lvlJc w:val="left"/>
      <w:lvlText w:val="o"/>
      <w:numFmt w:val="bullet"/>
      <w:start w:val="1"/>
    </w:lvl>
  </w:abstractNum>
  <w:abstractNum w:abstractNumId="97">
    <w:nsid w:val="4BD8591A"/>
    <w:multiLevelType w:val="hybridMultilevel"/>
    <w:lvl w:ilvl="0">
      <w:lvlJc w:val="left"/>
      <w:lvlText w:val="%1."/>
      <w:numFmt w:val="decimal"/>
      <w:start w:val="3"/>
    </w:lvl>
  </w:abstractNum>
  <w:abstractNum w:abstractNumId="98">
    <w:nsid w:val="78DF6A55"/>
    <w:multiLevelType w:val="hybridMultilevel"/>
    <w:lvl w:ilvl="0">
      <w:lvlJc w:val="left"/>
      <w:lvlText w:val="%1."/>
      <w:numFmt w:val="upperLetter"/>
      <w:start w:val="1"/>
    </w:lvl>
  </w:abstractNum>
  <w:abstractNum w:abstractNumId="99">
    <w:nsid w:val="39B7AAA2"/>
    <w:multiLevelType w:val="hybridMultilevel"/>
    <w:lvl w:ilvl="0">
      <w:lvlJc w:val="left"/>
      <w:lvlText w:val="%1."/>
      <w:numFmt w:val="upperLetter"/>
      <w:start w:val="2"/>
    </w:lvl>
  </w:abstractNum>
  <w:abstractNum w:abstractNumId="100">
    <w:nsid w:val="2B0D8DBE"/>
    <w:multiLevelType w:val="hybridMultilevel"/>
    <w:lvl w:ilvl="0">
      <w:lvlJc w:val="left"/>
      <w:lvlText w:val="(%1)"/>
      <w:numFmt w:val="lowerRoman"/>
      <w:start w:val="1"/>
    </w:lvl>
  </w:abstractNum>
  <w:abstractNum w:abstractNumId="101">
    <w:nsid w:val="6C80EC70"/>
    <w:multiLevelType w:val="hybridMultilevel"/>
    <w:lvl w:ilvl="0">
      <w:lvlJc w:val="left"/>
      <w:lvlText w:val="o"/>
      <w:numFmt w:val="bullet"/>
      <w:start w:val="1"/>
    </w:lvl>
  </w:abstractNum>
  <w:abstractNum w:abstractNumId="102">
    <w:nsid w:val="379E21B5"/>
    <w:multiLevelType w:val="hybridMultilevel"/>
    <w:lvl w:ilvl="0">
      <w:lvlJc w:val="left"/>
      <w:lvlText w:val="o"/>
      <w:numFmt w:val="bullet"/>
      <w:start w:val="1"/>
    </w:lvl>
  </w:abstractNum>
  <w:abstractNum w:abstractNumId="103">
    <w:nsid w:val="69E373"/>
    <w:multiLevelType w:val="hybridMultilevel"/>
    <w:lvl w:ilvl="0">
      <w:lvlJc w:val="left"/>
      <w:lvlText w:val="%1."/>
      <w:numFmt w:val="decimal"/>
      <w:start w:val="4"/>
    </w:lvl>
  </w:abstractNum>
  <w:abstractNum w:abstractNumId="104">
    <w:nsid w:val="2C27173B"/>
    <w:multiLevelType w:val="hybridMultilevel"/>
    <w:lvl w:ilvl="0">
      <w:lvlJc w:val="left"/>
      <w:lvlText w:val="%1."/>
      <w:numFmt w:val="decimal"/>
      <w:start w:val="5"/>
    </w:lvl>
  </w:abstractNum>
  <w:abstractNum w:abstractNumId="105">
    <w:nsid w:val="4C9B0904"/>
    <w:multiLevelType w:val="hybridMultilevel"/>
    <w:lvl w:ilvl="0">
      <w:lvlJc w:val="left"/>
      <w:lvlText w:val="o"/>
      <w:numFmt w:val="bullet"/>
      <w:start w:val="1"/>
    </w:lvl>
  </w:abstractNum>
  <w:abstractNum w:abstractNumId="106">
    <w:nsid w:val="6AA7B75C"/>
    <w:multiLevelType w:val="hybridMultilevel"/>
    <w:lvl w:ilvl="0">
      <w:lvlJc w:val="left"/>
      <w:lvlText w:val="%1."/>
      <w:numFmt w:val="decimal"/>
      <w:start w:val="6"/>
    </w:lvl>
  </w:abstractNum>
  <w:abstractNum w:abstractNumId="107">
    <w:nsid w:val="1DF029D3"/>
    <w:multiLevelType w:val="hybridMultilevel"/>
    <w:lvl w:ilvl="0">
      <w:lvlJc w:val="left"/>
      <w:lvlText w:val="%1."/>
      <w:numFmt w:val="decimal"/>
      <w:start w:val="7"/>
    </w:lvl>
  </w:abstractNum>
  <w:abstractNum w:abstractNumId="108">
    <w:nsid w:val="5675FF36"/>
    <w:multiLevelType w:val="hybridMultilevel"/>
    <w:lvl w:ilvl="0">
      <w:lvlJc w:val="left"/>
      <w:lvlText w:val="%1."/>
      <w:numFmt w:val="upperLetter"/>
      <w:start w:val="1"/>
    </w:lvl>
  </w:abstractNum>
  <w:abstractNum w:abstractNumId="109">
    <w:nsid w:val="3DD15094"/>
    <w:multiLevelType w:val="hybridMultilevel"/>
    <w:lvl w:ilvl="0">
      <w:lvlJc w:val="left"/>
      <w:lvlText w:val="%1."/>
      <w:numFmt w:val="decimal"/>
      <w:start w:val="8"/>
    </w:lvl>
  </w:abstractNum>
  <w:abstractNum w:abstractNumId="110">
    <w:nsid w:val="3DB012B3"/>
    <w:multiLevelType w:val="hybridMultilevel"/>
    <w:lvl w:ilvl="0">
      <w:lvlJc w:val="left"/>
      <w:lvlText w:val="%1."/>
      <w:numFmt w:val="decimal"/>
      <w:start w:val="9"/>
    </w:lvl>
  </w:abstractNum>
  <w:abstractNum w:abstractNumId="111">
    <w:nsid w:val="2708C9AF"/>
    <w:multiLevelType w:val="hybridMultilevel"/>
    <w:lvl w:ilvl="0">
      <w:lvlJc w:val="left"/>
      <w:lvlText w:val="%1."/>
      <w:numFmt w:val="decimal"/>
      <w:start w:val="10"/>
    </w:lvl>
  </w:abstractNum>
  <w:abstractNum w:abstractNumId="112">
    <w:nsid w:val="5B25ACE2"/>
    <w:multiLevelType w:val="hybridMultilevel"/>
    <w:lvl w:ilvl="0">
      <w:lvlJc w:val="left"/>
      <w:lvlText w:val="%1."/>
      <w:numFmt w:val="decimal"/>
      <w:start w:val="11"/>
    </w:lvl>
  </w:abstractNum>
  <w:abstractNum w:abstractNumId="113">
    <w:nsid w:val="175DFCF0"/>
    <w:multiLevelType w:val="hybridMultilevel"/>
    <w:lvl w:ilvl="0">
      <w:lvlJc w:val="left"/>
      <w:lvlText w:val="-"/>
      <w:numFmt w:val="bullet"/>
      <w:start w:val="1"/>
    </w:lvl>
  </w:abstractNum>
  <w:abstractNum w:abstractNumId="114">
    <w:nsid w:val="4F97E3E4"/>
    <w:multiLevelType w:val="hybridMultilevel"/>
    <w:lvl w:ilvl="0">
      <w:lvlJc w:val="left"/>
      <w:lvlText w:val="%1."/>
      <w:numFmt w:val="upperLetter"/>
      <w:start w:val="2"/>
    </w:lvl>
  </w:abstractNum>
  <w:abstractNum w:abstractNumId="115">
    <w:nsid w:val="53B0A9E"/>
    <w:multiLevelType w:val="hybridMultilevel"/>
    <w:lvl w:ilvl="0">
      <w:lvlJc w:val="left"/>
      <w:lvlText w:val="%1."/>
      <w:numFmt w:val="upperLetter"/>
      <w:start w:val="3"/>
    </w:lvl>
  </w:abstractNum>
  <w:abstractNum w:abstractNumId="116">
    <w:nsid w:val="34FD6B4F"/>
    <w:multiLevelType w:val="hybridMultilevel"/>
    <w:lvl w:ilvl="0">
      <w:lvlJc w:val="left"/>
      <w:lvlText w:val="%1."/>
      <w:numFmt w:val="decimal"/>
      <w:start w:val="12"/>
    </w:lvl>
  </w:abstractNum>
  <w:abstractNum w:abstractNumId="117">
    <w:nsid w:val="5915FF32"/>
    <w:multiLevelType w:val="hybridMultilevel"/>
    <w:lvl w:ilvl="0">
      <w:lvlJc w:val="left"/>
      <w:lvlText w:val="%1."/>
      <w:numFmt w:val="decimal"/>
      <w:start w:val="13"/>
    </w:lvl>
  </w:abstractNum>
  <w:abstractNum w:abstractNumId="118">
    <w:nsid w:val="56438D15"/>
    <w:multiLevelType w:val="hybridMultilevel"/>
    <w:lvl w:ilvl="0">
      <w:lvlJc w:val="left"/>
      <w:lvlText w:val="%1."/>
      <w:numFmt w:val="decimal"/>
      <w:start w:val="14"/>
    </w:lvl>
  </w:abstractNum>
  <w:abstractNum w:abstractNumId="119">
    <w:nsid w:val="519E3149"/>
    <w:multiLevelType w:val="hybridMultilevel"/>
    <w:lvl w:ilvl="0">
      <w:lvlJc w:val="left"/>
      <w:lvlText w:val="%1."/>
      <w:numFmt w:val="decimal"/>
      <w:start w:val="15"/>
    </w:lvl>
  </w:abstractNum>
  <w:abstractNum w:abstractNumId="120">
    <w:nsid w:val="2C6E4AFD"/>
    <w:multiLevelType w:val="hybridMultilevel"/>
    <w:lvl w:ilvl="0">
      <w:lvlJc w:val="left"/>
      <w:lvlText w:val="%1."/>
      <w:numFmt w:val="decimal"/>
      <w:start w:val="16"/>
    </w:lvl>
  </w:abstractNum>
  <w:abstractNum w:abstractNumId="121">
    <w:nsid w:val="17A1B582"/>
    <w:multiLevelType w:val="hybridMultilevel"/>
    <w:lvl w:ilvl="0">
      <w:lvlJc w:val="left"/>
      <w:lvlText w:val="%1."/>
      <w:numFmt w:val="decimal"/>
      <w:start w:val="17"/>
    </w:lvl>
  </w:abstractNum>
  <w:abstractNum w:abstractNumId="122">
    <w:nsid w:val="4DF72E4E"/>
    <w:multiLevelType w:val="hybridMultilevel"/>
    <w:lvl w:ilvl="0">
      <w:lvlJc w:val="left"/>
      <w:lvlText w:val="%1."/>
      <w:numFmt w:val="decimal"/>
      <w:start w:val="18"/>
    </w:lvl>
  </w:abstractNum>
  <w:abstractNum w:abstractNumId="123">
    <w:nsid w:val="5046B5A9"/>
    <w:multiLevelType w:val="hybridMultilevel"/>
    <w:lvl w:ilvl="0">
      <w:lvlJc w:val="left"/>
      <w:lvlText w:val="%1."/>
      <w:numFmt w:val="decimal"/>
      <w:start w:val="19"/>
    </w:lvl>
  </w:abstractNum>
  <w:abstractNum w:abstractNumId="124">
    <w:nsid w:val="5D888A08"/>
    <w:multiLevelType w:val="hybridMultilevel"/>
    <w:lvl w:ilvl="0">
      <w:lvlJc w:val="left"/>
      <w:lvlText w:val="%1."/>
      <w:numFmt w:val="decimal"/>
      <w:start w:val="20"/>
    </w:lvl>
  </w:abstractNum>
  <w:abstractNum w:abstractNumId="125">
    <w:nsid w:val="2A082C70"/>
    <w:multiLevelType w:val="hybridMultilevel"/>
    <w:lvl w:ilvl="0">
      <w:lvlJc w:val="left"/>
      <w:lvlText w:val="(%1)"/>
      <w:numFmt w:val="decimal"/>
      <w:start w:val="1"/>
    </w:lvl>
    <w:lvl w:ilvl="1">
      <w:lvlJc w:val="left"/>
      <w:lvlText w:val="%2."/>
      <w:numFmt w:val="lowerLetter"/>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1)"/>
      <w:numFmt w:val="decimal"/>
      <w:start w:val="1"/>
    </w:lvl>
    <w:lvl w:ilvl="1">
      <w:lvlJc w:val="left"/>
      <w:lvlText w:val="%2."/>
      <w:numFmt w:val="lowerLetter"/>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
      <w:numFmt w:val="bullet"/>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2019-12-13T21:51:32Z</dcterms:created>
  <dcterms:modified xsi:type="dcterms:W3CDTF">2019-12-13T21:51:32Z</dcterms:modified>
</cp:coreProperties>
</file>