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23, 2019</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40" w:type="dxa"/>
        <w:tblCellMar>
          <w:top w:w="0" w:type="dxa"/>
          <w:left w:w="0" w:type="dxa"/>
          <w:bottom w:w="0" w:type="dxa"/>
          <w:right w:w="0" w:type="dxa"/>
        </w:tblCellMar>
      </w:tblPr>
      <w:tr>
        <w:trPr>
          <w:trHeight w:val="216"/>
        </w:trPr>
        <w:tc>
          <w:tcPr>
            <w:tcW w:w="35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35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46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00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500" w:type="dxa"/>
            <w:vAlign w:val="bottom"/>
          </w:tcPr>
          <w:p>
            <w:pPr>
              <w:spacing w:after="0"/>
              <w:rPr>
                <w:sz w:val="20"/>
                <w:szCs w:val="20"/>
                <w:color w:val="auto"/>
              </w:rPr>
            </w:pPr>
          </w:p>
        </w:tc>
        <w:tc>
          <w:tcPr>
            <w:tcW w:w="46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00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500" w:type="dxa"/>
            <w:vAlign w:val="bottom"/>
          </w:tcPr>
          <w:p>
            <w:pPr>
              <w:spacing w:after="0"/>
              <w:rPr>
                <w:sz w:val="24"/>
                <w:szCs w:val="24"/>
                <w:color w:val="auto"/>
              </w:rPr>
            </w:pPr>
          </w:p>
        </w:tc>
        <w:tc>
          <w:tcPr>
            <w:tcW w:w="46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200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46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2000" w:type="dxa"/>
            <w:vAlign w:val="bottom"/>
          </w:tcPr>
          <w:p>
            <w:pPr>
              <w:spacing w:after="0"/>
              <w:rPr>
                <w:sz w:val="18"/>
                <w:szCs w:val="18"/>
                <w:color w:val="auto"/>
              </w:rPr>
            </w:pPr>
          </w:p>
        </w:tc>
      </w:tr>
      <w:tr>
        <w:trPr>
          <w:trHeight w:val="238"/>
        </w:trPr>
        <w:tc>
          <w:tcPr>
            <w:tcW w:w="3500" w:type="dxa"/>
            <w:vAlign w:val="bottom"/>
          </w:tcPr>
          <w:p>
            <w:pPr>
              <w:spacing w:after="0"/>
              <w:rPr>
                <w:sz w:val="20"/>
                <w:szCs w:val="20"/>
                <w:color w:val="auto"/>
              </w:rPr>
            </w:pPr>
          </w:p>
        </w:tc>
        <w:tc>
          <w:tcPr>
            <w:tcW w:w="46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000" w:type="dxa"/>
            <w:vAlign w:val="bottom"/>
          </w:tcPr>
          <w:p>
            <w:pPr>
              <w:spacing w:after="0"/>
              <w:rPr>
                <w:sz w:val="20"/>
                <w:szCs w:val="20"/>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(781)875-3605</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1" w:right="25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23, 2019, Microbot Medical Inc. (the “Company”) entered into a Securities Purchase Agreement (the “Purchase Agreement”) with accredited institutional investors (the “Purchasers”) providing for the issuance and sale by the Company to the Purchasers of an aggregate of 250,000 shares (the “Shares”) of the Company’s common stock, par value $0.01 per share (the “Common Stock”), at a purchase price per share of $9.875 (the “Offering”). The gross proceeds to the Company will be approximately $2.47 million. The closing of the Offering took place on January 25, 2019.</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the Company also issued to the Purchasers unregistered warrants to purchase an aggregate of up to 250,000 shares of common stock, at a purchase price per warrant of $0.125 (the “Warrants”) for gross proceeds of $31,250, and together with the sale of the Shares, aggregate gross proceeds of $2.50 million. Subject to certain ownership limitations described in the Warrants, the Warrants are immediately exercisable on their date of issuance and will remain exercisable until the one year anniversary of their date of issuance. The Warrants will be exercisable at an exercise price of $10.00 per share, which, along with the number of shares of Common Stock issuable upon the exercise of the Warrants (the “Warrant Shares”), will be subject for adjustment for stock splits, reverse splits, and similar capital transactions as described in the Warrants. The Warrants will be exercisable on a “cashless” basis in certain circumstances as described in the Warrants, including, among others, if there is no effective registration statement registering the Warrant Shares after the six-month anniversary of their date of issuance. The Warrants provide that holders will have the right to participate in any rights offering or distribution of assets together with the holders of Common Stock on an as-exercised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proceeds of the Offering to the Company are estimated to be approximately $2.13 million, after deducting placement agent fees and other estimated offering expenses. The Company intends to use the net proceeds from this offering for the continuous development of its SCS device for the treatment of hydrocephalus and NPH; to expand and develop additional applications deriving from its existing IP portfolio, including the potential addition of complementary assets to the CardioSert portfolio either through internal development, in-license or acquisition; and for working capital and other general corporate purposes.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12, 2018, the Company entered into an engagement letter, as amended (the “Engagement Letter”), with H.C. Wainwright &amp; Co., LLC (“Wainwright”), pursuant to which Wainwright agreed to serve as the exclusive placement agent for the issuance and sale of the securities pursuant to the Purchase Agreement. As compensation for such placement agent services, the Company has agreed to pay Wainwright an aggregate cash fee equal to 7.0% of the gross proceeds received by the Company from the sale of the Shares, plus (a) a management fee equal to 1.0% of the gross proceeds; (b) a non-accountable expense allowance of $70,000 for this offering and (c) certain other reimbursement amounts payable. The Company has also issued to Wainwright or its designees warrants to purchase up to 5.0% of the aggregate number of Shares sold under the Purchase Agreement (the “Wainwright Warrants”), or up to 12,500 shares of Common Stock. The Wainwright Warrants have a term of one year, are exercisable immediately following issuance, and have an exercise price of $12.50 per share (equal to 125% of the combined offering price per Share and Warrant). The Engagement Letter also includes indemnification obligations of the Company and other provisions customary for transactions of this nature.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(but not the Warrants, the Wainwright Warrants, the Warrant Shares or the shares of Common Stock issuable upon the exercise of Wainwright Warrants (the “Wainwright Warrant Shares”)) were offered and sold by the Company through a shelf registration statement on Form S-3 (File No.: 333-217076), which was initially filed with the Securities and Exchange Commission (the “SEC”) on March 31, 2017 and declared effective by the SEC on April 14, 2017 and a prospectus supplement relating to the Offering dated January 23, 2019 to be filed with the SEC.</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the Wainwright Warrants, the Warrant Shares and the Wainwright Warrant Shares are being offered and sold without registration under the Securities Act of 1933, as amended (the “Securities Act”), pursuant to the exemption provided in Section 4(a)(2) under the Securities Act and Regulation D promulgated thereunder and similar exemptions under applicable state laws in reliance on the following facts: no general solicitation was used in the offer or sale of such securities; the recipients of the securities had adequate access to information about the Company, through pre-existing relationships or otherwise; and such securities were issued as restricted securities with restricted legends referring to the Securities Act. No such securities may be offered or sold in the United States in the absence of an effective registration statement or exemption from applicable registration requirements.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Warrant, the Wainwright Warrant, the Purchase Agreement and the Engagement Letter do not purport to be complete and are qualified in their entirety by reference to the copy of each of the Form of Warrant, the Wainwright Warrant, the Engagement Letter and the Form of Purchase Agreement which are attached hereto as Exhibits 4.1, 4.2, 10.1, and 10.2, respectively, and which are incorporated herein by reference.</w:t>
      </w:r>
    </w:p>
    <w:p>
      <w:pPr>
        <w:spacing w:after="0" w:line="17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 representations, warranties and covenants contained in the Purchase Agreement were made solely for the benefit of the parties to the Purchase Agreement and may be subject to limitations agreed upon by the contracting parties. Accordingly, the Purchase Agreement is incorporated herein by reference only to provide investors with information regarding the terms of the Purchase Agreement and not to provide investors with any other factual information regarding the Company or its business, and should be read in conjunction with the disclosures in the Company’s periodic reports and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under Item 1.01 of this Current Report on Form 8-K regarding the Warrants, the Wainwright Warrants, the Warrant Shares and the Wainwright Warrant Shares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23, 2019, the Company issued a press release announcing the Offering, a copy of which is attached hereto as Exhibit 99.1 and is incorporated by reference into this Item 8.01 of this Current Report on Form 8-K.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3"/>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20" w:type="dxa"/>
            <w:vAlign w:val="bottom"/>
          </w:tcPr>
          <w:p>
            <w:pPr>
              <w:spacing w:after="0"/>
              <w:rPr>
                <w:sz w:val="24"/>
                <w:szCs w:val="24"/>
                <w:color w:val="auto"/>
              </w:rPr>
            </w:pPr>
          </w:p>
        </w:tc>
        <w:tc>
          <w:tcPr>
            <w:tcW w:w="980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12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Form of Warrant</w:t>
              </w:r>
            </w:hyperlink>
          </w:p>
        </w:tc>
        <w:tc>
          <w:tcPr>
            <w:tcW w:w="8580" w:type="dxa"/>
            <w:vAlign w:val="bottom"/>
            <w:gridSpan w:val="6"/>
          </w:tcPr>
          <w:p>
            <w:pPr>
              <w:spacing w:after="0"/>
              <w:rPr>
                <w:sz w:val="24"/>
                <w:szCs w:val="24"/>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7"/>
                <w:szCs w:val="17"/>
                <w:color w:val="auto"/>
              </w:rPr>
            </w:pPr>
          </w:p>
        </w:tc>
        <w:tc>
          <w:tcPr>
            <w:tcW w:w="9800" w:type="dxa"/>
            <w:vAlign w:val="bottom"/>
            <w:gridSpan w:val="8"/>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Form of Wainwright Warrant.</w:t>
              </w:r>
            </w:hyperlink>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7"/>
                <w:szCs w:val="17"/>
                <w:color w:val="auto"/>
              </w:rPr>
            </w:pPr>
          </w:p>
        </w:tc>
        <w:tc>
          <w:tcPr>
            <w:tcW w:w="9800" w:type="dxa"/>
            <w:vAlign w:val="bottom"/>
            <w:gridSpan w:val="8"/>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Opinion of Mintz, Levin, Cohn, Ferris, Glovsky and Popeo, P.C.</w:t>
              </w:r>
            </w:hyperlink>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7"/>
                <w:szCs w:val="17"/>
                <w:color w:val="auto"/>
              </w:rPr>
            </w:pPr>
          </w:p>
        </w:tc>
        <w:tc>
          <w:tcPr>
            <w:tcW w:w="9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Engagement Letter, dated as of October 12, 2018, by and between Microbot Medical Inc. and H.C. Wainwright &amp; Co., LLC</w:t>
              </w:r>
            </w:hyperlink>
          </w:p>
        </w:tc>
      </w:tr>
      <w:tr>
        <w:trPr>
          <w:trHeight w:val="196"/>
        </w:trPr>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(incorporated by reference to the Registrant’s Current Report on Form 8-K filed on January 15, 2019).</w:t>
              </w:r>
            </w:hyperlink>
          </w:p>
        </w:tc>
        <w:tc>
          <w:tcPr>
            <w:tcW w:w="2420" w:type="dxa"/>
            <w:vAlign w:val="bottom"/>
          </w:tcPr>
          <w:p>
            <w:pPr>
              <w:spacing w:after="0"/>
              <w:rPr>
                <w:sz w:val="17"/>
                <w:szCs w:val="17"/>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7"/>
                <w:szCs w:val="17"/>
                <w:color w:val="auto"/>
              </w:rPr>
            </w:pPr>
          </w:p>
        </w:tc>
        <w:tc>
          <w:tcPr>
            <w:tcW w:w="9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Form of Securities Purchase Agreement, dated as of January 23, 2019, by and among Microbot Medical Inc., and the Purchasers named</w:t>
              </w:r>
            </w:hyperlink>
          </w:p>
        </w:tc>
      </w:tr>
      <w:tr>
        <w:trPr>
          <w:trHeight w:val="196"/>
        </w:trPr>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therein.</w:t>
              </w:r>
            </w:hyperlink>
          </w:p>
        </w:tc>
        <w:tc>
          <w:tcPr>
            <w:tcW w:w="9240" w:type="dxa"/>
            <w:vAlign w:val="bottom"/>
            <w:gridSpan w:val="7"/>
          </w:tcPr>
          <w:p>
            <w:pPr>
              <w:spacing w:after="0"/>
              <w:rPr>
                <w:sz w:val="17"/>
                <w:szCs w:val="17"/>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17"/>
                <w:szCs w:val="17"/>
                <w:color w:val="auto"/>
              </w:rPr>
            </w:pPr>
          </w:p>
        </w:tc>
        <w:tc>
          <w:tcPr>
            <w:tcW w:w="9800" w:type="dxa"/>
            <w:vAlign w:val="bottom"/>
            <w:gridSpan w:val="8"/>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Consent of Mintz, Levin, Cohn, Ferris, Glovsky and Popeo, P.C. (included in Exhibit 5.1).</w:t>
              </w:r>
            </w:hyperlink>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17"/>
                <w:szCs w:val="17"/>
                <w:color w:val="auto"/>
              </w:rPr>
            </w:pPr>
          </w:p>
        </w:tc>
        <w:tc>
          <w:tcPr>
            <w:tcW w:w="65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Press Release dated January 23, 2019.</w:t>
              </w:r>
            </w:hyperlink>
          </w:p>
        </w:tc>
        <w:tc>
          <w:tcPr>
            <w:tcW w:w="3300" w:type="dxa"/>
            <w:vAlign w:val="bottom"/>
            <w:gridSpan w:val="2"/>
          </w:tcPr>
          <w:p>
            <w:pPr>
              <w:spacing w:after="0"/>
              <w:rPr>
                <w:sz w:val="17"/>
                <w:szCs w:val="17"/>
                <w:color w:val="auto"/>
              </w:rPr>
            </w:pPr>
          </w:p>
        </w:tc>
      </w:tr>
      <w:tr>
        <w:trPr>
          <w:trHeight w:val="460"/>
        </w:trPr>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27305</wp:posOffset>
            </wp:positionV>
            <wp:extent cx="36188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5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1220" w:type="dxa"/>
            <w:vAlign w:val="bottom"/>
            <w:tcBorders>
              <w:top w:val="single" w:sz="8" w:color="auto"/>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Form of Warrant</w:t>
              </w:r>
            </w:hyperlink>
          </w:p>
        </w:tc>
        <w:tc>
          <w:tcPr>
            <w:tcW w:w="8580" w:type="dxa"/>
            <w:vAlign w:val="bottom"/>
            <w:tcBorders>
              <w:top w:val="single" w:sz="8" w:color="auto"/>
            </w:tcBorders>
            <w:gridSpan w:val="6"/>
          </w:tcPr>
          <w:p>
            <w:pPr>
              <w:spacing w:after="0"/>
              <w:rPr>
                <w:sz w:val="24"/>
                <w:szCs w:val="24"/>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7"/>
                <w:szCs w:val="17"/>
                <w:color w:val="auto"/>
              </w:rPr>
            </w:pPr>
          </w:p>
        </w:tc>
        <w:tc>
          <w:tcPr>
            <w:tcW w:w="9800" w:type="dxa"/>
            <w:vAlign w:val="bottom"/>
            <w:gridSpan w:val="8"/>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Form of Wainwright Warrant.</w:t>
              </w:r>
            </w:hyperlink>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7"/>
                <w:szCs w:val="17"/>
                <w:color w:val="auto"/>
              </w:rPr>
            </w:pPr>
          </w:p>
        </w:tc>
        <w:tc>
          <w:tcPr>
            <w:tcW w:w="9800" w:type="dxa"/>
            <w:vAlign w:val="bottom"/>
            <w:gridSpan w:val="8"/>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Opinion of Mintz, Levin, Cohn, Ferris, Glovsky and Popeo, P.C.</w:t>
              </w:r>
            </w:hyperlink>
          </w:p>
        </w:tc>
      </w:tr>
      <w:tr>
        <w:trPr>
          <w:trHeight w:val="20"/>
        </w:trPr>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7"/>
                <w:szCs w:val="17"/>
                <w:color w:val="auto"/>
              </w:rPr>
            </w:pPr>
          </w:p>
        </w:tc>
        <w:tc>
          <w:tcPr>
            <w:tcW w:w="9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Engagement Letter, dated as of October 12, 2018, by and between Microbot Medical Inc. and H.C. Wainwright &amp; Co., LLC</w:t>
              </w:r>
            </w:hyperlink>
          </w:p>
        </w:tc>
      </w:tr>
      <w:tr>
        <w:trPr>
          <w:trHeight w:val="196"/>
        </w:trPr>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(incorporated by reference to the Registrant’s Current Report on Form 8-K filed on January 15, 2019).</w:t>
              </w:r>
            </w:hyperlink>
          </w:p>
        </w:tc>
        <w:tc>
          <w:tcPr>
            <w:tcW w:w="2420" w:type="dxa"/>
            <w:vAlign w:val="bottom"/>
          </w:tcPr>
          <w:p>
            <w:pPr>
              <w:spacing w:after="0"/>
              <w:rPr>
                <w:sz w:val="17"/>
                <w:szCs w:val="17"/>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7"/>
                <w:szCs w:val="17"/>
                <w:color w:val="auto"/>
              </w:rPr>
            </w:pPr>
          </w:p>
        </w:tc>
        <w:tc>
          <w:tcPr>
            <w:tcW w:w="9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Form of Securities Purchase Agreement, dated as of January 23, 2019, by and among Microbot Medical Inc., and the Purchasers named</w:t>
              </w:r>
            </w:hyperlink>
          </w:p>
        </w:tc>
      </w:tr>
      <w:tr>
        <w:trPr>
          <w:trHeight w:val="196"/>
        </w:trPr>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therein.</w:t>
              </w:r>
            </w:hyperlink>
          </w:p>
        </w:tc>
        <w:tc>
          <w:tcPr>
            <w:tcW w:w="9240" w:type="dxa"/>
            <w:vAlign w:val="bottom"/>
            <w:gridSpan w:val="7"/>
          </w:tcPr>
          <w:p>
            <w:pPr>
              <w:spacing w:after="0"/>
              <w:rPr>
                <w:sz w:val="17"/>
                <w:szCs w:val="17"/>
                <w:color w:val="auto"/>
              </w:rPr>
            </w:pPr>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17"/>
                <w:szCs w:val="17"/>
                <w:color w:val="auto"/>
              </w:rPr>
            </w:pPr>
          </w:p>
        </w:tc>
        <w:tc>
          <w:tcPr>
            <w:tcW w:w="9800" w:type="dxa"/>
            <w:vAlign w:val="bottom"/>
            <w:gridSpan w:val="8"/>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Consent of Mintz, Levin, Cohn, Ferris, Glovsky and Popeo, P.C. (included in Exhibit 5.1).</w:t>
              </w:r>
            </w:hyperlink>
          </w:p>
        </w:tc>
      </w:tr>
      <w:tr>
        <w:trPr>
          <w:trHeight w:val="196"/>
        </w:trPr>
        <w:tc>
          <w:tcPr>
            <w:tcW w:w="1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17"/>
                <w:szCs w:val="17"/>
                <w:color w:val="auto"/>
              </w:rPr>
            </w:pPr>
          </w:p>
        </w:tc>
        <w:tc>
          <w:tcPr>
            <w:tcW w:w="65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Press Release dated January 23, 2019.</w:t>
              </w:r>
            </w:hyperlink>
          </w:p>
        </w:tc>
        <w:tc>
          <w:tcPr>
            <w:tcW w:w="3300" w:type="dxa"/>
            <w:vAlign w:val="bottom"/>
            <w:gridSpan w:val="2"/>
          </w:tcPr>
          <w:p>
            <w:pPr>
              <w:spacing w:after="0"/>
              <w:rPr>
                <w:sz w:val="17"/>
                <w:szCs w:val="17"/>
                <w:color w:val="auto"/>
              </w:rPr>
            </w:pPr>
          </w:p>
        </w:tc>
      </w:tr>
      <w:tr>
        <w:trPr>
          <w:trHeight w:val="460"/>
        </w:trPr>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0620"/>
        <w:spacing w:after="0"/>
        <w:rPr>
          <w:sz w:val="20"/>
          <w:szCs w:val="20"/>
          <w:color w:val="auto"/>
        </w:rPr>
      </w:pPr>
      <w:r>
        <w:rPr>
          <w:rFonts w:ascii="Times New Roman" w:cs="Times New Roman" w:eastAsia="Times New Roman" w:hAnsi="Times New Roman"/>
          <w:sz w:val="17"/>
          <w:szCs w:val="17"/>
          <w:color w:val="auto"/>
        </w:rPr>
        <w:t>Exhibit 4.1</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______, 2019</w:t>
      </w:r>
    </w:p>
    <w:p>
      <w:pPr>
        <w:spacing w:after="0" w:line="200" w:lineRule="exact"/>
        <w:rPr>
          <w:sz w:val="20"/>
          <w:szCs w:val="20"/>
          <w:color w:val="auto"/>
        </w:rPr>
      </w:pPr>
    </w:p>
    <w:p>
      <w:pPr>
        <w:sectPr>
          <w:pgSz w:w="11900" w:h="16838" w:orient="portrait"/>
          <w:cols w:equalWidth="0" w:num="2">
            <w:col w:w="7280" w:space="720"/>
            <w:col w:w="3420"/>
          </w:cols>
          <w:pgMar w:left="240" w:top="337" w:right="239" w:bottom="1440" w:gutter="0" w:footer="0" w:header="0"/>
          <w:type w:val="continuous"/>
        </w:sectPr>
      </w:pPr>
    </w:p>
    <w:p>
      <w:pPr>
        <w:spacing w:after="0" w:line="37"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Initial Exercise Date: _______, 2019</w:t>
      </w:r>
    </w:p>
    <w:p>
      <w:pPr>
        <w:sectPr>
          <w:pgSz w:w="11900" w:h="16838" w:orient="portrait"/>
          <w:cols w:equalWidth="0" w:num="1">
            <w:col w:w="11420"/>
          </w:cols>
          <w:pgMar w:left="240" w:top="337" w:right="239" w:bottom="1440" w:gutter="0" w:footer="0" w:header="0"/>
          <w:type w:val="continuous"/>
        </w:sect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 assigns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w:t>
      </w:r>
    </w:p>
    <w:p>
      <w:pPr>
        <w:spacing w:after="0" w:line="18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on or prior to 5:00 p.m. (New York City time) on ______________</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w:t>
      </w:r>
    </w:p>
    <w:p>
      <w:pPr>
        <w:spacing w:after="0"/>
        <w:rPr>
          <w:sz w:val="20"/>
          <w:szCs w:val="20"/>
          <w:color w:val="auto"/>
        </w:rPr>
      </w:pPr>
      <w:r>
        <w:rPr>
          <w:rFonts w:ascii="Times New Roman" w:cs="Times New Roman" w:eastAsia="Times New Roman" w:hAnsi="Times New Roman"/>
          <w:sz w:val="18"/>
          <w:szCs w:val="18"/>
          <w:color w:val="auto"/>
        </w:rPr>
        <w:t>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 hereunder,</w:t>
      </w:r>
    </w:p>
    <w:p>
      <w:pPr>
        <w:spacing w:after="0" w:line="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 1:</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809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3" w:lineRule="exact"/>
        <w:rPr>
          <w:sz w:val="20"/>
          <w:szCs w:val="20"/>
          <w:color w:val="auto"/>
        </w:rPr>
      </w:pPr>
    </w:p>
    <w:p>
      <w:pPr>
        <w:ind w:firstLine="8"/>
        <w:spacing w:after="0" w:line="195" w:lineRule="auto"/>
        <w:tabs>
          <w:tab w:leader="none" w:pos="113"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date that is the one (1) year anniversary of the Initial Exercise Date, provided that, if such date is not a Trading Day, insert the immediately following Trading Day.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January 23, 2019, among the Company and the purchasers signatory thereto.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8" w:name="page9"/>
    <w:bookmarkEnd w:id="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other Common Stock purchase warrants issued by the Company pursuant to the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5"/>
        <w:spacing w:after="0" w:line="252" w:lineRule="auto"/>
        <w:tabs>
          <w:tab w:leader="none" w:pos="8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via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9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Without limiting the rights of a Holder to receive Warrant Shares on a “cashless exercise” and without limiting the liquidated damages provision in Section 2(d)(i) and the buy-in provision in Section 2(d)(iv), in no event will the Company be required to net cash settle a Warrant exercise.</w:t>
      </w:r>
    </w:p>
    <w:p>
      <w:pPr>
        <w:spacing w:after="0" w:line="176" w:lineRule="exact"/>
        <w:rPr>
          <w:sz w:val="20"/>
          <w:szCs w:val="20"/>
          <w:color w:val="auto"/>
        </w:rPr>
      </w:pPr>
    </w:p>
    <w:p>
      <w:pPr>
        <w:ind w:firstLine="645"/>
        <w:spacing w:after="0" w:line="282" w:lineRule="auto"/>
        <w:tabs>
          <w:tab w:leader="none" w:pos="8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$10.00,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45"/>
        <w:spacing w:after="0" w:line="261"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any time after the six-month anniversary of the Closing Date,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1220" w:hanging="575"/>
        <w:spacing w:after="0" w:line="253" w:lineRule="auto"/>
        <w:tabs>
          <w:tab w:leader="none" w:pos="9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220" w:hanging="575"/>
        <w:spacing w:after="0" w:line="282" w:lineRule="auto"/>
        <w:tabs>
          <w:tab w:leader="none" w:pos="9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ind w:left="840" w:hanging="195"/>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169"/>
        <w:spacing w:after="0" w:line="252" w:lineRule="auto"/>
        <w:tabs>
          <w:tab w:leader="none" w:pos="127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two (2) Trading Days and (ii) the number of days comprising the Standard Settlement Period, in each case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the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11" w:name="page12"/>
    <w:bookmarkEnd w:id="11"/>
    <w:p>
      <w:pPr>
        <w:jc w:val="both"/>
        <w:ind w:left="760" w:firstLine="641"/>
        <w:spacing w:after="0" w:line="261" w:lineRule="auto"/>
        <w:tabs>
          <w:tab w:leader="none" w:pos="159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18"/>
          <w:szCs w:val="18"/>
          <w:color w:val="auto"/>
        </w:rPr>
      </w:pPr>
    </w:p>
    <w:p>
      <w:pPr>
        <w:ind w:left="760" w:firstLine="641"/>
        <w:spacing w:after="0" w:line="282" w:lineRule="auto"/>
        <w:tabs>
          <w:tab w:leader="none" w:pos="166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760" w:firstLine="641"/>
        <w:spacing w:after="0" w:line="252" w:lineRule="auto"/>
        <w:tabs>
          <w:tab w:leader="none" w:pos="162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but did not receive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failed to deliver, to the Holder in connection with the exercise at issue times</w:t>
      </w:r>
    </w:p>
    <w:p>
      <w:pPr>
        <w:spacing w:after="0" w:line="7" w:lineRule="exact"/>
        <w:rPr>
          <w:rFonts w:ascii="Times New Roman" w:cs="Times New Roman" w:eastAsia="Times New Roman" w:hAnsi="Times New Roman"/>
          <w:sz w:val="18"/>
          <w:szCs w:val="18"/>
          <w:color w:val="auto"/>
        </w:rPr>
      </w:pPr>
    </w:p>
    <w:p>
      <w:pPr>
        <w:jc w:val="both"/>
        <w:ind w:left="760" w:hanging="7"/>
        <w:spacing w:after="0" w:line="267" w:lineRule="auto"/>
        <w:tabs>
          <w:tab w:leader="none" w:pos="10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12" w:name="page13"/>
    <w:bookmarkEnd w:id="12"/>
    <w:p>
      <w:pPr>
        <w:jc w:val="both"/>
        <w:ind w:left="7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760" w:firstLine="641"/>
        <w:spacing w:after="0" w:line="254" w:lineRule="auto"/>
        <w:tabs>
          <w:tab w:leader="none" w:pos="16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9" w:lineRule="exact"/>
        <w:rPr>
          <w:rFonts w:ascii="Times New Roman" w:cs="Times New Roman" w:eastAsia="Times New Roman" w:hAnsi="Times New Roman"/>
          <w:sz w:val="18"/>
          <w:szCs w:val="18"/>
          <w:color w:val="auto"/>
        </w:rPr>
      </w:pPr>
    </w:p>
    <w:p>
      <w:pPr>
        <w:ind w:left="760" w:firstLine="641"/>
        <w:spacing w:after="0" w:line="282" w:lineRule="auto"/>
        <w:tabs>
          <w:tab w:leader="none" w:pos="17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13" w:name="page14"/>
    <w:bookmarkEnd w:id="13"/>
    <w:p>
      <w:pPr>
        <w:jc w:val="both"/>
        <w:ind w:firstLine="645"/>
        <w:spacing w:after="0" w:line="251" w:lineRule="auto"/>
        <w:tabs>
          <w:tab w:leader="none" w:pos="8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Ownership Limitation</w:t>
      </w:r>
      <w:r>
        <w:rPr>
          <w:rFonts w:ascii="Times New Roman" w:cs="Times New Roman" w:eastAsia="Times New Roman" w:hAnsi="Times New Roman"/>
          <w:sz w:val="18"/>
          <w:szCs w:val="18"/>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w:t>
      </w:r>
    </w:p>
    <w:p>
      <w:pPr>
        <w:spacing w:after="0" w:line="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5"/>
        <w:spacing w:after="0" w:line="253" w:lineRule="auto"/>
        <w:tabs>
          <w:tab w:leader="none" w:pos="8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2" w:lineRule="exact"/>
        <w:rPr>
          <w:rFonts w:ascii="Times New Roman" w:cs="Times New Roman" w:eastAsia="Times New Roman" w:hAnsi="Times New Roman"/>
          <w:sz w:val="18"/>
          <w:szCs w:val="18"/>
          <w:color w:val="auto"/>
        </w:rPr>
      </w:pPr>
    </w:p>
    <w:p>
      <w:pPr>
        <w:jc w:val="both"/>
        <w:ind w:firstLine="645"/>
        <w:spacing w:after="0" w:line="253" w:lineRule="auto"/>
        <w:tabs>
          <w:tab w:leader="none" w:pos="8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15" w:name="page16"/>
    <w:bookmarkEnd w:id="15"/>
    <w:p>
      <w:pPr>
        <w:jc w:val="both"/>
        <w:ind w:left="-540" w:firstLine="645"/>
        <w:spacing w:after="0" w:line="253" w:lineRule="auto"/>
        <w:tabs>
          <w:tab w:leader="none" w:pos="3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16" w:name="page17"/>
    <w:bookmarkEnd w:id="16"/>
    <w:p>
      <w:pPr>
        <w:jc w:val="both"/>
        <w:ind w:left="-540" w:firstLine="645"/>
        <w:spacing w:after="0" w:line="251" w:lineRule="auto"/>
        <w:tabs>
          <w:tab w:leader="none" w:pos="30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voting power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Fundamental Transaction is not within the Company’s control, including not approved by the Company’s Board of Directors, Holder shall only be entitled to receive from the Company or any Successor Entity, as of the date of consummation of such Fundamental Transaction, the same type or form of consideration (and in the same proportion), at the Black Scholes Value (as defined below)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 and Scholes Option Pricing Model obtained from the “OV” function on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17" w:name="page18"/>
    <w:bookmarkEnd w:id="17"/>
    <w:p>
      <w:pPr>
        <w:jc w:val="both"/>
        <w:ind w:left="-540" w:firstLine="645"/>
        <w:spacing w:after="0" w:line="266" w:lineRule="auto"/>
        <w:tabs>
          <w:tab w:leader="none" w:pos="2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6" w:lineRule="exact"/>
        <w:rPr>
          <w:rFonts w:ascii="Times New Roman" w:cs="Times New Roman" w:eastAsia="Times New Roman" w:hAnsi="Times New Roman"/>
          <w:sz w:val="18"/>
          <w:szCs w:val="18"/>
          <w:color w:val="auto"/>
        </w:rPr>
      </w:pPr>
    </w:p>
    <w:p>
      <w:pPr>
        <w:ind w:left="260" w:hanging="155"/>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pursuant to Section 5(h) a notice setting forth the Exercise Price after such adjustment and any resulting adjustment to the number of Warrant Shares and setting forth a brief statement of the facts requiring such adjustment.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18" w:name="page19"/>
    <w:bookmarkEnd w:id="18"/>
    <w:p>
      <w:pPr>
        <w:jc w:val="both"/>
        <w:ind w:left="2104" w:hanging="159"/>
        <w:spacing w:after="0" w:line="252" w:lineRule="auto"/>
        <w:tabs>
          <w:tab w:leader="none" w:pos="21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pursuant to Section 5(h) to the Holder at its last facsimile number, email address or other contact information as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5"/>
        <w:spacing w:after="0" w:line="267" w:lineRule="auto"/>
        <w:tabs>
          <w:tab w:leader="none" w:pos="83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w:t>
      </w:r>
    </w:p>
    <w:p>
      <w:pPr>
        <w:spacing w:after="0" w:line="5" w:lineRule="exact"/>
        <w:rPr>
          <w:rFonts w:ascii="Times New Roman" w:cs="Times New Roman" w:eastAsia="Times New Roman" w:hAnsi="Times New Roman"/>
          <w:sz w:val="17"/>
          <w:szCs w:val="17"/>
          <w:color w:val="auto"/>
        </w:rPr>
      </w:pPr>
    </w:p>
    <w:p>
      <w:pPr>
        <w:jc w:val="both"/>
        <w:ind w:left="4" w:hanging="4"/>
        <w:spacing w:after="0" w:line="255" w:lineRule="auto"/>
        <w:tabs>
          <w:tab w:leader="none" w:pos="2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6"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88" w:right="239" w:bottom="1440" w:gutter="0" w:footer="0" w:header="0"/>
        </w:sectPr>
      </w:pPr>
    </w:p>
    <w:bookmarkStart w:id="19" w:name="page20"/>
    <w:bookmarkEnd w:id="19"/>
    <w:p>
      <w:pPr>
        <w:jc w:val="both"/>
        <w:ind w:firstLine="645"/>
        <w:spacing w:after="0" w:line="256" w:lineRule="auto"/>
        <w:tabs>
          <w:tab w:leader="none" w:pos="8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5"/>
        <w:spacing w:after="0" w:line="261"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rFonts w:ascii="Times New Roman" w:cs="Times New Roman" w:eastAsia="Times New Roman" w:hAnsi="Times New Roman"/>
          <w:sz w:val="18"/>
          <w:szCs w:val="18"/>
          <w:color w:val="auto"/>
        </w:rPr>
      </w:pPr>
    </w:p>
    <w:p>
      <w:pPr>
        <w:jc w:val="both"/>
        <w:ind w:firstLine="645"/>
        <w:spacing w:after="0" w:line="258" w:lineRule="auto"/>
        <w:tabs>
          <w:tab w:leader="none" w:pos="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jc w:val="both"/>
        <w:ind w:firstLine="645"/>
        <w:spacing w:after="0" w:line="261" w:lineRule="auto"/>
        <w:tabs>
          <w:tab w:leader="none" w:pos="8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5"/>
        <w:spacing w:after="0" w:line="261" w:lineRule="auto"/>
        <w:tabs>
          <w:tab w:leader="none" w:pos="8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 Warrant exercise.</w:t>
      </w:r>
    </w:p>
    <w:p>
      <w:pPr>
        <w:spacing w:after="0" w:line="18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20" w:name="page21"/>
    <w:bookmarkEnd w:id="20"/>
    <w:p>
      <w:pPr>
        <w:jc w:val="both"/>
        <w:ind w:left="-540" w:firstLine="645"/>
        <w:spacing w:after="0" w:line="258" w:lineRule="auto"/>
        <w:tabs>
          <w:tab w:leader="none" w:pos="3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540" w:right="20" w:firstLine="645"/>
        <w:spacing w:after="0" w:line="282" w:lineRule="auto"/>
        <w:tabs>
          <w:tab w:leader="none" w:pos="3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00" w:hanging="195"/>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00" w:firstLine="1296"/>
        <w:spacing w:after="0" w:line="254"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6" w:lineRule="exact"/>
        <w:rPr>
          <w:sz w:val="20"/>
          <w:szCs w:val="20"/>
          <w:color w:val="auto"/>
        </w:rPr>
      </w:pPr>
    </w:p>
    <w:p>
      <w:pPr>
        <w:jc w:val="both"/>
        <w:ind w:left="100" w:firstLine="648"/>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21" w:name="page22"/>
    <w:bookmarkEnd w:id="21"/>
    <w:p>
      <w:pPr>
        <w:jc w:val="both"/>
        <w:ind w:left="10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540" w:firstLine="645"/>
        <w:spacing w:after="0" w:line="253" w:lineRule="auto"/>
        <w:tabs>
          <w:tab w:leader="none" w:pos="2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 w:cs="Times New Roman" w:eastAsia="Times New Roman" w:hAnsi="Times New Roman"/>
          <w:sz w:val="18"/>
          <w:szCs w:val="18"/>
          <w:u w:val="single" w:color="auto"/>
          <w:color w:val="auto"/>
        </w:rPr>
        <w:t>New York Courts</w:t>
      </w:r>
      <w:r>
        <w:rPr>
          <w:rFonts w:ascii="Times New Roman" w:cs="Times New Roman" w:eastAsia="Times New Roman" w:hAnsi="Times New Roman"/>
          <w:sz w:val="18"/>
          <w:szCs w:val="18"/>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8" w:lineRule="exact"/>
        <w:rPr>
          <w:rFonts w:ascii="Times New Roman" w:cs="Times New Roman" w:eastAsia="Times New Roman" w:hAnsi="Times New Roman"/>
          <w:sz w:val="18"/>
          <w:szCs w:val="18"/>
          <w:color w:val="auto"/>
        </w:rPr>
      </w:pPr>
    </w:p>
    <w:p>
      <w:pPr>
        <w:ind w:left="-540" w:firstLine="645"/>
        <w:spacing w:after="0" w:line="282" w:lineRule="auto"/>
        <w:tabs>
          <w:tab w:leader="none" w:pos="28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3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22" w:name="page23"/>
    <w:bookmarkEnd w:id="22"/>
    <w:p>
      <w:pPr>
        <w:jc w:val="both"/>
        <w:ind w:left="-540" w:firstLine="645"/>
        <w:spacing w:after="0" w:line="253" w:lineRule="auto"/>
        <w:tabs>
          <w:tab w:leader="none" w:pos="3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the address set forth above Attention: Chief Executive Officer, facsimile number 781-556-5347, email address info@microbotmedical.com,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or email at the facsimile number or email address set forth in this Section prior to 5:30 p.m. (New York City time) on any date, (ii) the next Trading Day after the time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8" w:lineRule="exact"/>
        <w:rPr>
          <w:rFonts w:ascii="Times New Roman" w:cs="Times New Roman" w:eastAsia="Times New Roman" w:hAnsi="Times New Roman"/>
          <w:sz w:val="18"/>
          <w:szCs w:val="18"/>
          <w:color w:val="auto"/>
        </w:rPr>
      </w:pPr>
    </w:p>
    <w:p>
      <w:pPr>
        <w:jc w:val="both"/>
        <w:ind w:left="-540" w:firstLine="645"/>
        <w:spacing w:after="0" w:line="266" w:lineRule="auto"/>
        <w:tabs>
          <w:tab w:leader="none" w:pos="2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6"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2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0"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3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7"/>
          <w:szCs w:val="17"/>
          <w:color w:val="auto"/>
        </w:rPr>
        <w:t xml:space="preserve">l)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Warrant may be modified or amended or the provisions hereof waived with the written consent of the Company and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7" w:lineRule="exact"/>
        <w:rPr>
          <w:sz w:val="20"/>
          <w:szCs w:val="20"/>
          <w:color w:val="auto"/>
        </w:rPr>
      </w:pPr>
    </w:p>
    <w:p>
      <w:pPr>
        <w:jc w:val="both"/>
        <w:ind w:firstLine="645"/>
        <w:spacing w:after="0" w:line="266" w:lineRule="auto"/>
        <w:tabs>
          <w:tab w:leader="none" w:pos="9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6" w:lineRule="exact"/>
        <w:rPr>
          <w:rFonts w:ascii="Times New Roman" w:cs="Times New Roman" w:eastAsia="Times New Roman" w:hAnsi="Times New Roman"/>
          <w:sz w:val="18"/>
          <w:szCs w:val="18"/>
          <w:color w:val="auto"/>
        </w:rPr>
      </w:pPr>
    </w:p>
    <w:p>
      <w:pPr>
        <w:jc w:val="both"/>
        <w:ind w:firstLine="645"/>
        <w:spacing w:after="0" w:line="266" w:lineRule="auto"/>
        <w:tabs>
          <w:tab w:leader="none" w:pos="8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 A signed copy of this Warrant delivered by facsimile, e-mail or other means of electronic transmission (to which a .pdf copy is attached) shall be deemed to have the same legal effect as delivery of an original signed copy of this Agreement.</w:t>
      </w:r>
    </w:p>
    <w:p>
      <w:pPr>
        <w:spacing w:after="0" w:line="17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 indicated.</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MICROBOT MEDICAL INC.</w:t>
      </w:r>
    </w:p>
    <w:p>
      <w:pPr>
        <w:spacing w:after="0" w:line="225" w:lineRule="exact"/>
        <w:rPr>
          <w:sz w:val="20"/>
          <w:szCs w:val="20"/>
          <w:color w:val="auto"/>
        </w:rPr>
      </w:pPr>
    </w:p>
    <w:p>
      <w:pPr>
        <w:ind w:firstLine="1305"/>
        <w:spacing w:after="0" w:line="282" w:lineRule="auto"/>
        <w:tabs>
          <w:tab w:leader="none" w:pos="15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6" w:lineRule="exact"/>
        <w:rPr>
          <w:sz w:val="20"/>
          <w:szCs w:val="20"/>
          <w:color w:val="auto"/>
        </w:rPr>
      </w:pPr>
    </w:p>
    <w:p>
      <w:pPr>
        <w:ind w:left="1560" w:hanging="255"/>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5"/>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200" w:right="208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10620"/>
        <w:spacing w:after="0"/>
        <w:rPr>
          <w:sz w:val="20"/>
          <w:szCs w:val="20"/>
          <w:color w:val="auto"/>
        </w:rPr>
      </w:pPr>
      <w:r>
        <w:rPr>
          <w:rFonts w:ascii="Times New Roman" w:cs="Times New Roman" w:eastAsia="Times New Roman" w:hAnsi="Times New Roman"/>
          <w:sz w:val="17"/>
          <w:szCs w:val="17"/>
          <w:color w:val="auto"/>
        </w:rPr>
        <w:t>Exhibit 4.2</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January 25, 2019</w:t>
      </w:r>
    </w:p>
    <w:p>
      <w:pPr>
        <w:spacing w:after="0" w:line="200" w:lineRule="exact"/>
        <w:rPr>
          <w:sz w:val="20"/>
          <w:szCs w:val="20"/>
          <w:color w:val="auto"/>
        </w:rPr>
      </w:pPr>
    </w:p>
    <w:p>
      <w:pPr>
        <w:sectPr>
          <w:pgSz w:w="11900" w:h="16838" w:orient="portrait"/>
          <w:cols w:equalWidth="0" w:num="2">
            <w:col w:w="6720" w:space="720"/>
            <w:col w:w="3980"/>
          </w:cols>
          <w:pgMar w:left="240" w:top="337" w:right="239" w:bottom="1440" w:gutter="0" w:footer="0" w:header="0"/>
          <w:type w:val="continuous"/>
        </w:sectPr>
      </w:pPr>
    </w:p>
    <w:p>
      <w:pPr>
        <w:spacing w:after="0" w:line="3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Initial Exercise Date: January 25, 2019</w:t>
      </w:r>
    </w:p>
    <w:p>
      <w:pPr>
        <w:sectPr>
          <w:pgSz w:w="11900" w:h="16838" w:orient="portrait"/>
          <w:cols w:equalWidth="0" w:num="1">
            <w:col w:w="11420"/>
          </w:cols>
          <w:pgMar w:left="240" w:top="337" w:right="239" w:bottom="1440" w:gutter="0" w:footer="0" w:header="0"/>
          <w:type w:val="continuous"/>
        </w:sect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PLACEMENT AGENT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 or</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on or prior to 5:00 p.m. (New York City time) on January 25, 2020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 This Warrant is being issued pursuant to that certain engagement letter, dated as of October 12, 2018, by and between the Company and H.C. Wainwright &amp; Co., LLC.</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 1:</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9" w:name="page30"/>
    <w:bookmarkEnd w:id="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January 14, 2019, among the Company and the purchasers signatory thereto.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30" w:name="page31"/>
    <w:bookmarkEnd w:id="3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5"/>
        <w:spacing w:after="0" w:line="252" w:lineRule="auto"/>
        <w:tabs>
          <w:tab w:leader="none" w:pos="83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via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9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Without limiting the rights of a Holder to receive Warrant Shares on a “cashless exercise” and without limiting the liquidated damages provision in Section 2(d)(i) and the buy-in provision in Section 2(d)(iv), in no event will the Company be required to net cash settle a Warrant exercise.</w:t>
      </w:r>
    </w:p>
    <w:p>
      <w:pPr>
        <w:spacing w:after="0" w:line="172" w:lineRule="exact"/>
        <w:rPr>
          <w:sz w:val="20"/>
          <w:szCs w:val="20"/>
          <w:color w:val="auto"/>
        </w:rPr>
      </w:pPr>
    </w:p>
    <w:p>
      <w:pPr>
        <w:ind w:firstLine="645"/>
        <w:spacing w:after="0" w:line="286" w:lineRule="auto"/>
        <w:tabs>
          <w:tab w:leader="none" w:pos="8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w:t>
      </w:r>
      <w:r>
        <w:rPr>
          <w:rFonts w:ascii="Times New Roman" w:cs="Times New Roman" w:eastAsia="Times New Roman" w:hAnsi="Times New Roman"/>
          <w:sz w:val="18"/>
          <w:szCs w:val="18"/>
          <w:b w:val="1"/>
          <w:bCs w:val="1"/>
          <w:color w:val="auto"/>
        </w:rPr>
        <w:t>12.50</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45"/>
        <w:spacing w:after="0" w:line="261" w:lineRule="auto"/>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any time after the six-month anniversary of the Closing Date,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1220" w:hanging="575"/>
        <w:spacing w:after="0" w:line="253" w:lineRule="auto"/>
        <w:tabs>
          <w:tab w:leader="none" w:pos="9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2"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220" w:hanging="575"/>
        <w:spacing w:after="0" w:line="282" w:lineRule="auto"/>
        <w:tabs>
          <w:tab w:leader="none" w:pos="9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ind w:left="840" w:hanging="195"/>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169"/>
        <w:spacing w:after="0" w:line="252" w:lineRule="auto"/>
        <w:tabs>
          <w:tab w:leader="none" w:pos="127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two (2) Trading Days and (ii) the number of days comprising the Standard Settlement Period, in each case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the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33" w:name="page34"/>
    <w:bookmarkEnd w:id="33"/>
    <w:p>
      <w:pPr>
        <w:jc w:val="both"/>
        <w:ind w:left="760" w:firstLine="641"/>
        <w:spacing w:after="0" w:line="261" w:lineRule="auto"/>
        <w:tabs>
          <w:tab w:leader="none" w:pos="159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0" w:lineRule="exact"/>
        <w:rPr>
          <w:rFonts w:ascii="Times New Roman" w:cs="Times New Roman" w:eastAsia="Times New Roman" w:hAnsi="Times New Roman"/>
          <w:sz w:val="18"/>
          <w:szCs w:val="18"/>
          <w:color w:val="auto"/>
        </w:rPr>
      </w:pPr>
    </w:p>
    <w:p>
      <w:pPr>
        <w:ind w:left="760" w:firstLine="641"/>
        <w:spacing w:after="0" w:line="282" w:lineRule="auto"/>
        <w:tabs>
          <w:tab w:leader="none" w:pos="166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760" w:firstLine="641"/>
        <w:spacing w:after="0" w:line="252" w:lineRule="auto"/>
        <w:tabs>
          <w:tab w:leader="none" w:pos="162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but did not receive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failed to deliver, to the Holder in connection with the exercise at issue times</w:t>
      </w:r>
    </w:p>
    <w:p>
      <w:pPr>
        <w:spacing w:after="0" w:line="7" w:lineRule="exact"/>
        <w:rPr>
          <w:rFonts w:ascii="Times New Roman" w:cs="Times New Roman" w:eastAsia="Times New Roman" w:hAnsi="Times New Roman"/>
          <w:sz w:val="18"/>
          <w:szCs w:val="18"/>
          <w:color w:val="auto"/>
        </w:rPr>
      </w:pPr>
    </w:p>
    <w:p>
      <w:pPr>
        <w:jc w:val="both"/>
        <w:ind w:left="760" w:hanging="7"/>
        <w:spacing w:after="0" w:line="267" w:lineRule="auto"/>
        <w:tabs>
          <w:tab w:leader="none" w:pos="10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34" w:name="page35"/>
    <w:bookmarkEnd w:id="34"/>
    <w:p>
      <w:pPr>
        <w:jc w:val="both"/>
        <w:ind w:left="7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760" w:firstLine="641"/>
        <w:spacing w:after="0" w:line="254" w:lineRule="auto"/>
        <w:tabs>
          <w:tab w:leader="none" w:pos="16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9" w:lineRule="exact"/>
        <w:rPr>
          <w:rFonts w:ascii="Times New Roman" w:cs="Times New Roman" w:eastAsia="Times New Roman" w:hAnsi="Times New Roman"/>
          <w:sz w:val="18"/>
          <w:szCs w:val="18"/>
          <w:color w:val="auto"/>
        </w:rPr>
      </w:pPr>
    </w:p>
    <w:p>
      <w:pPr>
        <w:ind w:left="760" w:firstLine="641"/>
        <w:spacing w:after="0" w:line="282" w:lineRule="auto"/>
        <w:tabs>
          <w:tab w:leader="none" w:pos="170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35" w:name="page36"/>
    <w:bookmarkEnd w:id="35"/>
    <w:p>
      <w:pPr>
        <w:jc w:val="both"/>
        <w:ind w:firstLine="645"/>
        <w:spacing w:after="0" w:line="266" w:lineRule="auto"/>
        <w:tabs>
          <w:tab w:leader="none" w:pos="84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Ownership Limitation</w:t>
      </w:r>
      <w:r>
        <w:rPr>
          <w:rFonts w:ascii="Times New Roman" w:cs="Times New Roman" w:eastAsia="Times New Roman" w:hAnsi="Times New Roman"/>
          <w:sz w:val="17"/>
          <w:szCs w:val="17"/>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w:t>
      </w:r>
    </w:p>
    <w:p>
      <w:pPr>
        <w:spacing w:after="0" w:line="21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effective until the 61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5"/>
        <w:spacing w:after="0" w:line="253"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2" w:lineRule="exact"/>
        <w:rPr>
          <w:rFonts w:ascii="Times New Roman" w:cs="Times New Roman" w:eastAsia="Times New Roman" w:hAnsi="Times New Roman"/>
          <w:sz w:val="18"/>
          <w:szCs w:val="18"/>
          <w:color w:val="auto"/>
        </w:rPr>
      </w:pPr>
    </w:p>
    <w:p>
      <w:pPr>
        <w:jc w:val="both"/>
        <w:ind w:firstLine="645"/>
        <w:spacing w:after="0" w:line="253" w:lineRule="auto"/>
        <w:tabs>
          <w:tab w:leader="none" w:pos="8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37" w:name="page38"/>
    <w:bookmarkEnd w:id="37"/>
    <w:p>
      <w:pPr>
        <w:jc w:val="both"/>
        <w:ind w:left="-540" w:firstLine="645"/>
        <w:spacing w:after="0" w:line="253" w:lineRule="auto"/>
        <w:tabs>
          <w:tab w:leader="none" w:pos="2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38" w:name="page39"/>
    <w:bookmarkEnd w:id="38"/>
    <w:p>
      <w:pPr>
        <w:jc w:val="both"/>
        <w:ind w:left="-540" w:firstLine="645"/>
        <w:spacing w:after="0" w:line="251" w:lineRule="auto"/>
        <w:tabs>
          <w:tab w:leader="none" w:pos="3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voting power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Fundamental Transaction is not within the Company’s control, including not approved by the Company’s Board of Directors, Holder shall only be entitled to receive from the Company or any Successor Entity, as of the date of consummation of such Fundamental Transaction, the same type or form of consideration (and in the same proportion), at the Black Scholes Value (as defined below)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 and Scholes Option Pricing Model obtained from the “OV” function on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39" w:name="page40"/>
    <w:bookmarkEnd w:id="39"/>
    <w:p>
      <w:pPr>
        <w:jc w:val="both"/>
        <w:ind w:left="-540" w:firstLine="645"/>
        <w:spacing w:after="0" w:line="266" w:lineRule="auto"/>
        <w:tabs>
          <w:tab w:leader="none" w:pos="2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6" w:lineRule="exact"/>
        <w:rPr>
          <w:rFonts w:ascii="Times New Roman" w:cs="Times New Roman" w:eastAsia="Times New Roman" w:hAnsi="Times New Roman"/>
          <w:sz w:val="18"/>
          <w:szCs w:val="18"/>
          <w:color w:val="auto"/>
        </w:rPr>
      </w:pPr>
    </w:p>
    <w:p>
      <w:pPr>
        <w:ind w:left="260" w:hanging="155"/>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firstLine="641"/>
        <w:spacing w:after="0" w:line="261" w:lineRule="auto"/>
        <w:tabs>
          <w:tab w:leader="none" w:pos="15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pursuant to Section 5(h) a notice setting forth the Exercise Price after such adjustment and any resulting adjustment to the number of Warrant Shares and setting forth a brief statement of the facts requiring such adjustment.</w:t>
      </w:r>
    </w:p>
    <w:p>
      <w:pPr>
        <w:spacing w:after="0" w:line="180" w:lineRule="exact"/>
        <w:rPr>
          <w:rFonts w:ascii="Times New Roman" w:cs="Times New Roman" w:eastAsia="Times New Roman" w:hAnsi="Times New Roman"/>
          <w:sz w:val="18"/>
          <w:szCs w:val="18"/>
          <w:color w:val="auto"/>
        </w:rPr>
      </w:pPr>
    </w:p>
    <w:p>
      <w:pPr>
        <w:jc w:val="both"/>
        <w:ind w:left="1560" w:hanging="159"/>
        <w:spacing w:after="0" w:line="252" w:lineRule="auto"/>
        <w:tabs>
          <w:tab w:leader="none" w:pos="158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pursuant to Section 5(h) to the Holder at its last facsimile number, email address or other contact information as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5"/>
        <w:spacing w:after="0" w:line="261" w:lineRule="auto"/>
        <w:tabs>
          <w:tab w:leader="none" w:pos="150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Pursuant to FINRA Rule 5110(g)(1),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by operation of law or by reason of reorganization of the Company;</w:t>
      </w:r>
    </w:p>
    <w:p>
      <w:pPr>
        <w:spacing w:after="0" w:line="225" w:lineRule="exact"/>
        <w:rPr>
          <w:sz w:val="20"/>
          <w:szCs w:val="20"/>
          <w:color w:val="auto"/>
        </w:rPr>
      </w:pPr>
    </w:p>
    <w:p>
      <w:pPr>
        <w:ind w:left="820" w:right="20" w:firstLine="485"/>
        <w:spacing w:after="0" w:line="282" w:lineRule="auto"/>
        <w:tabs>
          <w:tab w:leader="none" w:pos="149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FINRA member firm participating in the offering and the officers or partners thereof, if all securities so transferred remain subject to the lock-up restriction in this Section 4(a) for the remainder of the time period;</w:t>
      </w:r>
    </w:p>
    <w:p>
      <w:pPr>
        <w:spacing w:after="0" w:line="161" w:lineRule="exact"/>
        <w:rPr>
          <w:rFonts w:ascii="Times New Roman" w:cs="Times New Roman" w:eastAsia="Times New Roman" w:hAnsi="Times New Roman"/>
          <w:sz w:val="18"/>
          <w:szCs w:val="18"/>
          <w:color w:val="auto"/>
        </w:rPr>
      </w:pPr>
    </w:p>
    <w:p>
      <w:pPr>
        <w:ind w:left="1540" w:hanging="235"/>
        <w:spacing w:after="0"/>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of securities of the Company held by the underwriter or related persons do not exceed 1% of the securities being</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w:t>
      </w:r>
    </w:p>
    <w:p>
      <w:pPr>
        <w:spacing w:after="0" w:line="206" w:lineRule="exact"/>
        <w:rPr>
          <w:rFonts w:ascii="Times New Roman" w:cs="Times New Roman" w:eastAsia="Times New Roman" w:hAnsi="Times New Roman"/>
          <w:sz w:val="18"/>
          <w:szCs w:val="18"/>
          <w:color w:val="auto"/>
        </w:rPr>
      </w:pPr>
    </w:p>
    <w:p>
      <w:pPr>
        <w:ind w:left="820" w:firstLine="485"/>
        <w:spacing w:after="0" w:line="282" w:lineRule="auto"/>
        <w:tabs>
          <w:tab w:leader="none" w:pos="15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61" w:lineRule="exact"/>
        <w:rPr>
          <w:rFonts w:ascii="Times New Roman" w:cs="Times New Roman" w:eastAsia="Times New Roman" w:hAnsi="Times New Roman"/>
          <w:sz w:val="18"/>
          <w:szCs w:val="18"/>
          <w:color w:val="auto"/>
        </w:rPr>
      </w:pPr>
    </w:p>
    <w:p>
      <w:pPr>
        <w:ind w:left="820" w:firstLine="485"/>
        <w:spacing w:after="0" w:line="282" w:lineRule="auto"/>
        <w:tabs>
          <w:tab w:leader="none" w:pos="14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conversion of any security, if all securities received remain subject to the lock-up restriction in this Section 4(a) for the remainder of the time period.</w:t>
      </w:r>
    </w:p>
    <w:p>
      <w:pPr>
        <w:spacing w:after="0" w:line="162"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18"/>
          <w:szCs w:val="18"/>
          <w:color w:val="auto"/>
        </w:rPr>
        <w:t>Subject to the foregoing restriction, and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jc w:val="both"/>
        <w:ind w:firstLine="645"/>
        <w:spacing w:after="0" w:line="256" w:lineRule="auto"/>
        <w:tabs>
          <w:tab w:leader="none" w:pos="8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5"/>
        <w:spacing w:after="0" w:line="261"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rFonts w:ascii="Times New Roman" w:cs="Times New Roman" w:eastAsia="Times New Roman" w:hAnsi="Times New Roman"/>
          <w:sz w:val="18"/>
          <w:szCs w:val="18"/>
          <w:color w:val="auto"/>
        </w:rPr>
      </w:pPr>
    </w:p>
    <w:p>
      <w:pPr>
        <w:jc w:val="both"/>
        <w:ind w:firstLine="645"/>
        <w:spacing w:after="0" w:line="261" w:lineRule="auto"/>
        <w:tabs>
          <w:tab w:leader="none" w:pos="8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w:t>
      </w:r>
    </w:p>
    <w:p>
      <w:pPr>
        <w:spacing w:after="0" w:line="180" w:lineRule="exact"/>
        <w:rPr>
          <w:rFonts w:ascii="Times New Roman" w:cs="Times New Roman" w:eastAsia="Times New Roman" w:hAnsi="Times New Roman"/>
          <w:sz w:val="18"/>
          <w:szCs w:val="18"/>
          <w:color w:val="auto"/>
        </w:rPr>
      </w:pPr>
    </w:p>
    <w:p>
      <w:pPr>
        <w:jc w:val="both"/>
        <w:ind w:firstLine="645"/>
        <w:spacing w:after="0" w:line="255" w:lineRule="auto"/>
        <w:tabs>
          <w:tab w:leader="none" w:pos="8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(ii) it is not purchasing the Securities as a result of any advertisement, article, notice, electronic mail, website or other communication regarding this Warrant or the underlying securities published in any newspaper, magazine, internet platform or similar media or broadcast over television or radio or presented at any seminar or, to the knowledge of the Holder, any other general solicitation or general advertisement. The Holder has a pre-existing, substantive relationship with the Company at the time it was first offered the Warrant.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5"/>
        <w:spacing w:after="0" w:line="261" w:lineRule="auto"/>
        <w:tabs>
          <w:tab w:leader="none" w:pos="8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 Warrant exercise.</w:t>
      </w:r>
    </w:p>
    <w:p>
      <w:pPr>
        <w:spacing w:after="0" w:line="18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42" w:name="page43"/>
    <w:bookmarkEnd w:id="42"/>
    <w:p>
      <w:pPr>
        <w:jc w:val="both"/>
        <w:ind w:left="-540" w:firstLine="645"/>
        <w:spacing w:after="0" w:line="258" w:lineRule="auto"/>
        <w:tabs>
          <w:tab w:leader="none" w:pos="3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540" w:right="20" w:firstLine="645"/>
        <w:spacing w:after="0" w:line="282" w:lineRule="auto"/>
        <w:tabs>
          <w:tab w:leader="none" w:pos="30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00" w:hanging="195"/>
        <w:spacing w:after="0"/>
        <w:tabs>
          <w:tab w:leader="none" w:pos="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00" w:firstLine="1296"/>
        <w:spacing w:after="0" w:line="254"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6" w:lineRule="exact"/>
        <w:rPr>
          <w:sz w:val="20"/>
          <w:szCs w:val="20"/>
          <w:color w:val="auto"/>
        </w:rPr>
      </w:pPr>
    </w:p>
    <w:p>
      <w:pPr>
        <w:jc w:val="both"/>
        <w:ind w:left="100" w:firstLine="648"/>
        <w:spacing w:after="0" w:line="254"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43" w:name="page44"/>
    <w:bookmarkEnd w:id="43"/>
    <w:p>
      <w:pPr>
        <w:jc w:val="both"/>
        <w:ind w:left="10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540" w:firstLine="645"/>
        <w:spacing w:after="0" w:line="253" w:lineRule="auto"/>
        <w:tabs>
          <w:tab w:leader="none" w:pos="29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 w:cs="Times New Roman" w:eastAsia="Times New Roman" w:hAnsi="Times New Roman"/>
          <w:sz w:val="18"/>
          <w:szCs w:val="18"/>
          <w:u w:val="single" w:color="auto"/>
          <w:color w:val="auto"/>
        </w:rPr>
        <w:t>New York Courts</w:t>
      </w:r>
      <w:r>
        <w:rPr>
          <w:rFonts w:ascii="Times New Roman" w:cs="Times New Roman" w:eastAsia="Times New Roman" w:hAnsi="Times New Roman"/>
          <w:sz w:val="18"/>
          <w:szCs w:val="18"/>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8" w:lineRule="exact"/>
        <w:rPr>
          <w:rFonts w:ascii="Times New Roman" w:cs="Times New Roman" w:eastAsia="Times New Roman" w:hAnsi="Times New Roman"/>
          <w:sz w:val="18"/>
          <w:szCs w:val="18"/>
          <w:color w:val="auto"/>
        </w:rPr>
      </w:pPr>
    </w:p>
    <w:p>
      <w:pPr>
        <w:ind w:left="-540" w:firstLine="645"/>
        <w:spacing w:after="0" w:line="282" w:lineRule="auto"/>
        <w:tabs>
          <w:tab w:leader="none" w:pos="2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30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61" w:right="239" w:bottom="1440" w:gutter="0" w:footer="0" w:header="0"/>
        </w:sectPr>
      </w:pPr>
    </w:p>
    <w:bookmarkStart w:id="44" w:name="page45"/>
    <w:bookmarkEnd w:id="44"/>
    <w:p>
      <w:pPr>
        <w:jc w:val="both"/>
        <w:ind w:firstLine="645"/>
        <w:spacing w:after="0" w:line="253" w:lineRule="auto"/>
        <w:tabs>
          <w:tab w:leader="none" w:pos="8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the address set forth above Attention: Chief Executive Officer, facsimile number 781-556-5347, email address info@microbotmedical.com,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or email at the facsimile number or email address set forth in this Section prior to 5:30 p.m. (New York City time) on any date, (ii) the next Trading Day after the time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8" w:lineRule="exact"/>
        <w:rPr>
          <w:rFonts w:ascii="Times New Roman" w:cs="Times New Roman" w:eastAsia="Times New Roman" w:hAnsi="Times New Roman"/>
          <w:sz w:val="18"/>
          <w:szCs w:val="18"/>
          <w:color w:val="auto"/>
        </w:rPr>
      </w:pPr>
    </w:p>
    <w:p>
      <w:pPr>
        <w:jc w:val="both"/>
        <w:ind w:firstLine="645"/>
        <w:spacing w:after="0" w:line="266" w:lineRule="auto"/>
        <w:tabs>
          <w:tab w:leader="none" w:pos="8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6" w:lineRule="exact"/>
        <w:rPr>
          <w:rFonts w:ascii="Times New Roman" w:cs="Times New Roman" w:eastAsia="Times New Roman" w:hAnsi="Times New Roman"/>
          <w:sz w:val="18"/>
          <w:szCs w:val="18"/>
          <w:color w:val="auto"/>
        </w:rPr>
      </w:pPr>
    </w:p>
    <w:p>
      <w:pPr>
        <w:jc w:val="both"/>
        <w:ind w:firstLine="645"/>
        <w:spacing w:after="0" w:line="261" w:lineRule="auto"/>
        <w:tabs>
          <w:tab w:leader="none" w:pos="8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0" w:lineRule="exact"/>
        <w:rPr>
          <w:rFonts w:ascii="Times New Roman" w:cs="Times New Roman" w:eastAsia="Times New Roman" w:hAnsi="Times New Roman"/>
          <w:sz w:val="18"/>
          <w:szCs w:val="18"/>
          <w:color w:val="auto"/>
        </w:rPr>
      </w:pPr>
    </w:p>
    <w:p>
      <w:pPr>
        <w:jc w:val="both"/>
        <w:ind w:firstLine="645"/>
        <w:spacing w:after="0" w:line="261" w:lineRule="auto"/>
        <w:tabs>
          <w:tab w:leader="none" w:pos="8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0" w:lineRule="exact"/>
        <w:rPr>
          <w:rFonts w:ascii="Times New Roman" w:cs="Times New Roman" w:eastAsia="Times New Roman" w:hAnsi="Times New Roman"/>
          <w:sz w:val="18"/>
          <w:szCs w:val="18"/>
          <w:color w:val="auto"/>
        </w:rPr>
      </w:pPr>
    </w:p>
    <w:p>
      <w:pPr>
        <w:ind w:left="800" w:hanging="155"/>
        <w:spacing w:after="0"/>
        <w:tabs>
          <w:tab w:leader="none" w:pos="8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Warrant may be modified or amended or the provisions hereof waived with the written consent of the Company and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Holder.</w:t>
      </w:r>
    </w:p>
    <w:p>
      <w:pPr>
        <w:spacing w:after="0" w:line="206" w:lineRule="exact"/>
        <w:rPr>
          <w:rFonts w:ascii="Times New Roman" w:cs="Times New Roman" w:eastAsia="Times New Roman" w:hAnsi="Times New Roman"/>
          <w:sz w:val="17"/>
          <w:szCs w:val="17"/>
          <w:color w:val="auto"/>
        </w:rPr>
      </w:pPr>
    </w:p>
    <w:p>
      <w:pPr>
        <w:jc w:val="both"/>
        <w:ind w:firstLine="645"/>
        <w:spacing w:after="0" w:line="266" w:lineRule="auto"/>
        <w:tabs>
          <w:tab w:leader="none" w:pos="90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6" w:lineRule="exact"/>
        <w:rPr>
          <w:rFonts w:ascii="Times New Roman" w:cs="Times New Roman" w:eastAsia="Times New Roman" w:hAnsi="Times New Roman"/>
          <w:sz w:val="18"/>
          <w:szCs w:val="18"/>
          <w:color w:val="auto"/>
        </w:rPr>
      </w:pPr>
    </w:p>
    <w:p>
      <w:pPr>
        <w:jc w:val="both"/>
        <w:ind w:firstLine="645"/>
        <w:spacing w:after="0" w:line="266" w:lineRule="auto"/>
        <w:tabs>
          <w:tab w:leader="none" w:pos="8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 A signed copy of this Warrant delivered by facsimile, e-mail or other means of electronic transmission (to which a .pdf copy is attached) shall be deemed to have the same legal effect as delivery of an original signed copy of this Agreement.</w:t>
      </w:r>
    </w:p>
    <w:p>
      <w:pPr>
        <w:spacing w:after="0" w:line="17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1" w:right="239" w:bottom="1440" w:gutter="0" w:footer="0" w:header="0"/>
        </w:sectPr>
      </w:pPr>
    </w:p>
    <w:bookmarkStart w:id="45" w:name="page46"/>
    <w:bookmarkEnd w:id="4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MICROBOT MEDICAL INC.</w:t>
      </w:r>
    </w:p>
    <w:p>
      <w:pPr>
        <w:spacing w:after="0" w:line="225" w:lineRule="exact"/>
        <w:rPr>
          <w:sz w:val="20"/>
          <w:szCs w:val="20"/>
          <w:color w:val="auto"/>
        </w:rPr>
      </w:pPr>
    </w:p>
    <w:p>
      <w:pPr>
        <w:ind w:firstLine="1305"/>
        <w:spacing w:after="0" w:line="282" w:lineRule="auto"/>
        <w:tabs>
          <w:tab w:leader="none" w:pos="15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6" w:lineRule="exact"/>
        <w:rPr>
          <w:sz w:val="20"/>
          <w:szCs w:val="20"/>
          <w:color w:val="auto"/>
        </w:rPr>
      </w:pPr>
    </w:p>
    <w:p>
      <w:pPr>
        <w:ind w:left="1560" w:hanging="255"/>
        <w:spacing w:after="0"/>
        <w:tabs>
          <w:tab w:leader="none" w:pos="1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5"/>
        <w:spacing w:after="0"/>
        <w:tabs>
          <w:tab w:leader="none" w:pos="15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200" w:right="208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157480</wp:posOffset>
            </wp:positionV>
            <wp:extent cx="771525" cy="840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71525" cy="840740"/>
                    </a:xfrm>
                    <a:prstGeom prst="rect">
                      <a:avLst/>
                    </a:prstGeom>
                    <a:noFill/>
                  </pic:spPr>
                </pic:pic>
              </a:graphicData>
            </a:graphic>
          </wp:anchor>
        </w:drawing>
      </w: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617-542-6000</w:t>
      </w:r>
    </w:p>
    <w:p>
      <w:pPr>
        <w:spacing w:after="0" w:line="9"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617-542-2241 fax</w:t>
      </w:r>
    </w:p>
    <w:p>
      <w:pPr>
        <w:spacing w:after="0" w:line="9"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7"/>
          <w:szCs w:val="17"/>
          <w:color w:val="auto"/>
        </w:rPr>
        <w:t>www.mintz.com</w:t>
      </w:r>
    </w:p>
    <w:p>
      <w:pPr>
        <w:spacing w:after="0" w:line="36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January 25,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Hingham, Massachusetts 02043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We have acted as legal counsel to Microbot Medical Inc., a Delaware corporation (the “Company”), in connection with the preparation and filing with the Securities and Exchange Commission (the “Commission”) of a Prospectus Supplement, dated January 23, 2019 (the “Prospectus Supplement”), to a Registration Statement (File No.: 333-217076) on Form S-3 (the “Registration Statement”), filed by the Company with the Commission under the Securities Act of 1933, as amended (the “Securities Act”). The Prospectus Supplement relates to the issuance and sale of shares (the “Shares”) of the Company’s common stock, $0.01 par value per share (the “Common Stock”) pursuant to a Securities Purchase Agreement, dated January 23, 2019, between the Company and the purchasers named therein (the “Purchase Agreement”).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Purchase Agreement.</w:t>
      </w:r>
    </w:p>
    <w:p>
      <w:pPr>
        <w:spacing w:after="0" w:line="18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originals or copies, certified or otherwise identified to our satisfaction, of (i) the Registration Statement, including the Prospectus Supplement, (ii) the Purchase Agreement, (iii) the Restated Certificate of Incorporation of the Company, as amended, as currently in effect, (iv) the Amended and Restated Bylaws of the Company, as currently in effect, and (v) certain resolutions adopted by the Board of Directors of the Company and committees thereof with respect to the Purchase Agreement and the issuance of the Shares.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 set forth herein.</w:t>
      </w:r>
    </w:p>
    <w:p>
      <w:pPr>
        <w:spacing w:after="0" w:line="18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 We have relied, without independent verification, on certificates of public officials and, as to matters of fact material to the opinions set forth below, on certificates of officers of the Company.</w:t>
      </w:r>
    </w:p>
    <w:p>
      <w:pPr>
        <w:spacing w:after="0" w:line="1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123190</wp:posOffset>
            </wp:positionV>
            <wp:extent cx="5788660" cy="454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788660" cy="45466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Mintz, Levin, Cohn, Ferris, Glovsky and Popeo, P.C.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1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Based upon, subject to and limited by the foregoing, as of the date hereof, we are of the opinion that the Shares, when issued and sold in accordance with the Purchase Agreement and in the manner contemplated by the Registration Statement and the Prospectus Supplement, will be validly issued, fully paid and non-assessable.</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We understand that you wish to file this opinion with the Commission as an exhibit to a Current Report on Form 8-K and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/s/ Mintz, Levin, Cohn, Ferris, Glovsky and Popeo, P.C.</w:t>
      </w: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1" w:name="page52"/>
    <w:bookmarkEnd w:id="5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January 23, 2019, between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(i)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as to the Shares and (ii) an exemption from the registration requirements of Section 5 of the Securities Act contained in Section 4(a)(2) thereof and/or Regulation D thereunder as to the Warrants, the Company desires to issue and sell to each Purchaser, and each Purchaser, severally and not jointly, desires to purchase from the Company, securities of the Company as more fully described in this Agreement.</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(2nd) Trading Day following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Counsel</w:t>
      </w:r>
      <w:r>
        <w:rPr>
          <w:rFonts w:ascii="Times New Roman" w:cs="Times New Roman" w:eastAsia="Times New Roman" w:hAnsi="Times New Roman"/>
          <w:sz w:val="17"/>
          <w:szCs w:val="17"/>
          <w:color w:val="auto"/>
        </w:rPr>
        <w:t>” means Mintz, Levin, Cohn, Ferris, Glovsky and Popeo, P.C., with offices located at One Financial Center, Boston, MA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02111.</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any day that is not a Trading Day or after 9:00 a.m. (New York City time) and before midnight (New York City time) on any Trading Day, no later than 9:01 a.m. (New York City time) on the Trading Day immediately following the date hereof, unless otherwise instructed to an earlier time by the Placement Agent (ii) if this Agreement is signed between midnight (New York City time) and 9:00 a.m. (New York City time) on any Trading Day, no later than 9:01 a.m. (New York City time) on the date hereof, unless otherwise instructed to an earlier time by the Placement Agent.</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54" w:name="page55"/>
    <w:bookmarkEnd w:id="5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material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$10.00,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base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333-217076 which registers the sale of the Shares to the Purchasers.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Company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56" w:name="page57"/>
    <w:bookmarkEnd w:id="56"/>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Common Stock purchase warrants delivered to the Purchasers at the Closing in accordance with Section 2.2(a) hereof, which Warrants shall be exercisable immediately upon issuance and have a term of exercise equal to one (1) year years, in the form of Exhibit A attached 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$2.5 million of Shares and Warrants. Each Purchaser’s Subscription Amount as set forth on the signature page hereto executed by such Purchaser shall be made available for “Delivery Versus Payment” settlement with the Company or its designees. The Company shall deliver to each Purchaser its respective Shares and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5"/>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500" w:hanging="207"/>
        <w:spacing w:after="0"/>
        <w:tabs>
          <w:tab w:leader="none" w:pos="15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560" w:hanging="267"/>
        <w:spacing w:after="0"/>
        <w:tabs>
          <w:tab w:leader="none" w:pos="15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a form reasonably acceptable to the Placement Agent and Purchasers;</w:t>
      </w:r>
    </w:p>
    <w:p>
      <w:pPr>
        <w:spacing w:after="0" w:line="225" w:lineRule="exact"/>
        <w:rPr>
          <w:rFonts w:ascii="Times New Roman" w:cs="Times New Roman" w:eastAsia="Times New Roman" w:hAnsi="Times New Roman"/>
          <w:sz w:val="18"/>
          <w:szCs w:val="18"/>
          <w:color w:val="auto"/>
        </w:rPr>
      </w:pPr>
    </w:p>
    <w:p>
      <w:pPr>
        <w:ind w:left="1640" w:hanging="347"/>
        <w:spacing w:after="0"/>
        <w:tabs>
          <w:tab w:leader="none" w:pos="16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instructions, on Company letterhead and executed by the Chief Executive Officer or Chief Financial</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w:t>
      </w:r>
    </w:p>
    <w:p>
      <w:pPr>
        <w:spacing w:after="0" w:line="206"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159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6"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155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registered in the name of such Purchaser to purchase up to a number of shares of Common Stock equal to 100% of such Purchaser’s Shares, with an exercise price equal to $10.00, subject to adjustment therein (such warrant certificate may be delivered within three (3) Trading Days of the Closing Date); and</w:t>
      </w:r>
    </w:p>
    <w:p>
      <w:pPr>
        <w:spacing w:after="0" w:line="176" w:lineRule="exact"/>
        <w:rPr>
          <w:rFonts w:ascii="Times New Roman" w:cs="Times New Roman" w:eastAsia="Times New Roman" w:hAnsi="Times New Roman"/>
          <w:sz w:val="18"/>
          <w:szCs w:val="18"/>
          <w:color w:val="auto"/>
        </w:rPr>
      </w:pPr>
    </w:p>
    <w:p>
      <w:pPr>
        <w:ind w:left="1600" w:hanging="307"/>
        <w:spacing w:after="0"/>
        <w:tabs>
          <w:tab w:leader="none" w:pos="16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900" w:hanging="25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500" w:hanging="207"/>
        <w:spacing w:after="0"/>
        <w:tabs>
          <w:tab w:leader="none" w:pos="15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640" w:firstLine="653"/>
        <w:spacing w:after="0" w:line="282" w:lineRule="auto"/>
        <w:tabs>
          <w:tab w:leader="none" w:pos="15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5"/>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152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76" w:lineRule="exact"/>
        <w:rPr>
          <w:rFonts w:ascii="Times New Roman" w:cs="Times New Roman" w:eastAsia="Times New Roman" w:hAnsi="Times New Roman"/>
          <w:sz w:val="18"/>
          <w:szCs w:val="18"/>
          <w:color w:val="auto"/>
        </w:rPr>
      </w:pPr>
    </w:p>
    <w:p>
      <w:pPr>
        <w:ind w:left="640" w:firstLine="653"/>
        <w:spacing w:after="0" w:line="282" w:lineRule="auto"/>
        <w:tabs>
          <w:tab w:leader="none" w:pos="155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58" w:name="page59"/>
    <w:bookmarkEnd w:id="58"/>
    <w:p>
      <w:pPr>
        <w:ind w:left="2260" w:hanging="307"/>
        <w:spacing w:after="0"/>
        <w:tabs>
          <w:tab w:leader="none" w:pos="22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560" w:hanging="255"/>
        <w:spacing w:after="0"/>
        <w:tabs>
          <w:tab w:leader="none" w:pos="1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18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6" w:lineRule="exact"/>
        <w:rPr>
          <w:sz w:val="20"/>
          <w:szCs w:val="20"/>
          <w:color w:val="auto"/>
        </w:rPr>
      </w:pPr>
    </w:p>
    <w:p>
      <w:pPr>
        <w:ind w:left="1300" w:firstLine="653"/>
        <w:spacing w:after="0" w:line="282" w:lineRule="auto"/>
        <w:tabs>
          <w:tab w:leader="none" w:pos="22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260" w:hanging="307"/>
        <w:spacing w:after="0"/>
        <w:tabs>
          <w:tab w:leader="none" w:pos="2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7"/>
        <w:spacing w:after="0"/>
        <w:tabs>
          <w:tab w:leader="none" w:pos="2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55" w:lineRule="auto"/>
        <w:tabs>
          <w:tab w:leader="none" w:pos="221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or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76" w:lineRule="exact"/>
        <w:rPr>
          <w:sz w:val="20"/>
          <w:szCs w:val="20"/>
          <w:color w:val="auto"/>
        </w:rPr>
      </w:pPr>
    </w:p>
    <w:p>
      <w:pPr>
        <w:jc w:val="both"/>
        <w:ind w:left="660" w:firstLine="645"/>
        <w:spacing w:after="0" w:line="258" w:lineRule="auto"/>
        <w:tabs>
          <w:tab w:leader="none" w:pos="15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direct and indirect subsidiaries of the Company are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p>
      <w:pPr>
        <w:jc w:val="both"/>
        <w:ind w:left="-540" w:firstLine="645"/>
        <w:spacing w:after="0" w:line="253" w:lineRule="auto"/>
        <w:tabs>
          <w:tab w:leader="none" w:pos="36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0" w:lineRule="exact"/>
        <w:rPr>
          <w:rFonts w:ascii="Times New Roman" w:cs="Times New Roman" w:eastAsia="Times New Roman" w:hAnsi="Times New Roman"/>
          <w:sz w:val="18"/>
          <w:szCs w:val="18"/>
          <w:color w:val="auto"/>
        </w:rPr>
      </w:pPr>
    </w:p>
    <w:p>
      <w:pPr>
        <w:jc w:val="both"/>
        <w:ind w:left="-540" w:firstLine="645"/>
        <w:spacing w:after="0" w:line="253" w:lineRule="auto"/>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60" w:name="page61"/>
    <w:bookmarkEnd w:id="60"/>
    <w:p>
      <w:pPr>
        <w:jc w:val="both"/>
        <w:ind w:left="-540" w:firstLine="645"/>
        <w:spacing w:after="0" w:line="253" w:lineRule="auto"/>
        <w:tabs>
          <w:tab w:leader="none" w:pos="37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90"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3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(iv) the filing of Form D with the Commission and (v)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61" w:name="page62"/>
    <w:bookmarkEnd w:id="61"/>
    <w:p>
      <w:pPr>
        <w:jc w:val="both"/>
        <w:ind w:left="-540" w:firstLine="645"/>
        <w:spacing w:after="0" w:line="252" w:lineRule="auto"/>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April 14, 2017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including the Prospectus, and such amendments and supplements thereto as may have been required to the date of this Agreement.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calendar (12) months prior to this offering, as set forth in General Instruction I.B.6 of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left="-540" w:firstLine="645"/>
        <w:spacing w:after="0" w:line="252" w:lineRule="auto"/>
        <w:tabs>
          <w:tab w:leader="none" w:pos="3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62" w:name="page63"/>
    <w:bookmarkEnd w:id="62"/>
    <w:p>
      <w:pPr>
        <w:jc w:val="both"/>
        <w:ind w:left="-540" w:firstLine="645"/>
        <w:spacing w:after="0" w:line="252" w:lineRule="auto"/>
        <w:tabs>
          <w:tab w:leader="none" w:pos="3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6" w:lineRule="exact"/>
        <w:rPr>
          <w:rFonts w:ascii="Times New Roman" w:cs="Times New Roman" w:eastAsia="Times New Roman" w:hAnsi="Times New Roman"/>
          <w:sz w:val="18"/>
          <w:szCs w:val="18"/>
          <w:color w:val="auto"/>
        </w:rPr>
      </w:pPr>
    </w:p>
    <w:p>
      <w:pPr>
        <w:jc w:val="both"/>
        <w:ind w:left="-540" w:firstLine="645"/>
        <w:spacing w:after="0" w:line="252" w:lineRule="auto"/>
        <w:tabs>
          <w:tab w:leader="none" w:pos="3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xml:space="preserve">. Since the date of the latest audited financial statements included within the SEC Reports, except as disclosed in an SEC Report filed prior to the date hereof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63" w:name="page64"/>
    <w:bookmarkEnd w:id="63"/>
    <w:p>
      <w:pPr>
        <w:jc w:val="both"/>
        <w:ind w:left="4" w:firstLine="645"/>
        <w:spacing w:after="0" w:line="270" w:lineRule="auto"/>
        <w:tabs>
          <w:tab w:leader="none" w:pos="88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Except as disclosed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which (i) adversely affects or challenges the legality, validity or enforceability of any of the Transaction Documents or the Securities or</w:t>
      </w:r>
    </w:p>
    <w:p>
      <w:pPr>
        <w:spacing w:after="0" w:line="2" w:lineRule="exact"/>
        <w:rPr>
          <w:rFonts w:ascii="Times New Roman" w:cs="Times New Roman" w:eastAsia="Times New Roman" w:hAnsi="Times New Roman"/>
          <w:sz w:val="17"/>
          <w:szCs w:val="17"/>
          <w:color w:val="auto"/>
        </w:rPr>
      </w:pPr>
    </w:p>
    <w:p>
      <w:pPr>
        <w:jc w:val="both"/>
        <w:ind w:left="4" w:hanging="4"/>
        <w:spacing w:after="0" w:line="252" w:lineRule="auto"/>
        <w:tabs>
          <w:tab w:leader="none" w:pos="2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if there were an unfavorable decision,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0" w:lineRule="exact"/>
        <w:rPr>
          <w:rFonts w:ascii="Times New Roman" w:cs="Times New Roman" w:eastAsia="Times New Roman" w:hAnsi="Times New Roman"/>
          <w:sz w:val="18"/>
          <w:szCs w:val="18"/>
          <w:color w:val="auto"/>
        </w:rPr>
      </w:pPr>
    </w:p>
    <w:p>
      <w:pPr>
        <w:jc w:val="both"/>
        <w:ind w:left="4" w:firstLine="645"/>
        <w:spacing w:after="0" w:line="253" w:lineRule="auto"/>
        <w:tabs>
          <w:tab w:leader="none" w:pos="90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3"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88" w:right="239" w:bottom="1440" w:gutter="0" w:footer="0" w:header="0"/>
        </w:sectPr>
      </w:pPr>
    </w:p>
    <w:bookmarkStart w:id="64" w:name="page65"/>
    <w:bookmarkEnd w:id="64"/>
    <w:p>
      <w:pPr>
        <w:jc w:val="both"/>
        <w:ind w:left="-540" w:firstLine="645"/>
        <w:spacing w:after="0" w:line="255" w:lineRule="auto"/>
        <w:tabs>
          <w:tab w:leader="none" w:pos="32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85" w:lineRule="exact"/>
        <w:rPr>
          <w:rFonts w:ascii="Times New Roman" w:cs="Times New Roman" w:eastAsia="Times New Roman" w:hAnsi="Times New Roman"/>
          <w:sz w:val="18"/>
          <w:szCs w:val="18"/>
          <w:color w:val="auto"/>
        </w:rPr>
      </w:pPr>
    </w:p>
    <w:p>
      <w:pPr>
        <w:jc w:val="both"/>
        <w:ind w:left="-540" w:firstLine="645"/>
        <w:spacing w:after="0" w:line="254" w:lineRule="auto"/>
        <w:tabs>
          <w:tab w:leader="none" w:pos="41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6"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3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0" w:lineRule="exact"/>
        <w:rPr>
          <w:rFonts w:ascii="Times New Roman" w:cs="Times New Roman" w:eastAsia="Times New Roman" w:hAnsi="Times New Roman"/>
          <w:sz w:val="18"/>
          <w:szCs w:val="18"/>
          <w:color w:val="auto"/>
        </w:rPr>
      </w:pPr>
    </w:p>
    <w:p>
      <w:pPr>
        <w:jc w:val="both"/>
        <w:ind w:left="-540" w:firstLine="645"/>
        <w:spacing w:after="0" w:line="255" w:lineRule="auto"/>
        <w:tabs>
          <w:tab w:leader="none" w:pos="3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65" w:name="page66"/>
    <w:bookmarkEnd w:id="65"/>
    <w:p>
      <w:pPr>
        <w:jc w:val="both"/>
        <w:ind w:left="-540" w:firstLine="645"/>
        <w:spacing w:after="0" w:line="253" w:lineRule="auto"/>
        <w:tabs>
          <w:tab w:leader="none" w:pos="3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3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55" w:lineRule="auto"/>
        <w:tabs>
          <w:tab w:leader="none" w:pos="33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66" w:name="page67"/>
    <w:bookmarkEnd w:id="66"/>
    <w:p>
      <w:pPr>
        <w:jc w:val="both"/>
        <w:ind w:left="-540" w:firstLine="645"/>
        <w:spacing w:after="0" w:line="252" w:lineRule="auto"/>
        <w:tabs>
          <w:tab w:leader="none" w:pos="35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Except as disclosed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3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36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67" w:name="page68"/>
    <w:bookmarkEnd w:id="67"/>
    <w:p>
      <w:pPr>
        <w:ind w:left="-540" w:right="20" w:firstLine="645"/>
        <w:spacing w:after="0" w:line="282" w:lineRule="auto"/>
        <w:tabs>
          <w:tab w:leader="none" w:pos="3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540" w:firstLine="645"/>
        <w:spacing w:after="0" w:line="254" w:lineRule="auto"/>
        <w:tabs>
          <w:tab w:leader="none" w:pos="4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9"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3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left="-540" w:firstLine="645"/>
        <w:spacing w:after="0" w:line="254" w:lineRule="auto"/>
        <w:tabs>
          <w:tab w:leader="none" w:pos="3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68" w:name="page69"/>
    <w:bookmarkEnd w:id="68"/>
    <w:p>
      <w:pPr>
        <w:jc w:val="both"/>
        <w:ind w:left="4" w:firstLine="645"/>
        <w:spacing w:after="0" w:line="258" w:lineRule="auto"/>
        <w:tabs>
          <w:tab w:leader="none" w:pos="9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Warrants or Warrant Shares under the Securities Act, or (ii) any applicable shareholder approval provisions of any Trading Market on which any of the securities of the Company are listed or designated.</w:t>
      </w:r>
    </w:p>
    <w:p>
      <w:pPr>
        <w:spacing w:after="0" w:line="184" w:lineRule="exact"/>
        <w:rPr>
          <w:sz w:val="20"/>
          <w:szCs w:val="20"/>
          <w:color w:val="auto"/>
        </w:rPr>
      </w:pPr>
    </w:p>
    <w:p>
      <w:pPr>
        <w:jc w:val="both"/>
        <w:ind w:left="4" w:firstLine="645"/>
        <w:spacing w:after="0" w:line="257" w:lineRule="auto"/>
        <w:tabs>
          <w:tab w:leader="none" w:pos="97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Neither the Company nor any Subsidiary is in default with respect to any Indebtedness.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spacing w:after="0" w:line="192"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88" w:right="239" w:bottom="1440" w:gutter="0" w:footer="0" w:header="0"/>
        </w:sectPr>
      </w:pPr>
    </w:p>
    <w:bookmarkStart w:id="69" w:name="page70"/>
    <w:bookmarkEnd w:id="69"/>
    <w:p>
      <w:pPr>
        <w:jc w:val="both"/>
        <w:ind w:left="-540" w:firstLine="645"/>
        <w:spacing w:after="0" w:line="255" w:lineRule="auto"/>
        <w:tabs>
          <w:tab w:leader="none" w:pos="4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9"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4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4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Brightman Almagor Zohar &amp; Co., a Member of Deloitte Touche Tohmatsu Limited.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2018.</w:t>
      </w:r>
    </w:p>
    <w:p>
      <w:pPr>
        <w:spacing w:after="0" w:line="180" w:lineRule="exact"/>
        <w:rPr>
          <w:rFonts w:ascii="Times New Roman" w:cs="Times New Roman" w:eastAsia="Times New Roman" w:hAnsi="Times New Roman"/>
          <w:sz w:val="18"/>
          <w:szCs w:val="18"/>
          <w:color w:val="auto"/>
        </w:rPr>
      </w:pPr>
    </w:p>
    <w:p>
      <w:pPr>
        <w:jc w:val="both"/>
        <w:ind w:left="-540" w:firstLine="645"/>
        <w:spacing w:after="0" w:line="255" w:lineRule="auto"/>
        <w:tabs>
          <w:tab w:leader="none" w:pos="43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70" w:name="page71"/>
    <w:bookmarkEnd w:id="70"/>
    <w:p>
      <w:pPr>
        <w:jc w:val="both"/>
        <w:ind w:left="4" w:firstLine="645"/>
        <w:spacing w:after="0" w:line="269" w:lineRule="auto"/>
        <w:tabs>
          <w:tab w:leader="none" w:pos="988"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Regarding Purchaser’s Trading Activity.</w:t>
      </w:r>
      <w:r>
        <w:rPr>
          <w:rFonts w:ascii="Times New Roman" w:cs="Times New Roman" w:eastAsia="Times New Roman" w:hAnsi="Times New Roman"/>
          <w:sz w:val="17"/>
          <w:szCs w:val="17"/>
          <w:color w:val="auto"/>
        </w:rPr>
        <w:t xml:space="preserve"> Anything in this Agreement or elsewhere herein to the contrary notwithstanding (except for Sections 3.2(e)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w:t>
      </w:r>
    </w:p>
    <w:p>
      <w:pPr>
        <w:jc w:val="both"/>
        <w:ind w:left="4" w:hanging="4"/>
        <w:spacing w:after="0" w:line="252" w:lineRule="auto"/>
        <w:tabs>
          <w:tab w:leader="none" w:pos="3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9" w:lineRule="exact"/>
        <w:rPr>
          <w:rFonts w:ascii="Times New Roman" w:cs="Times New Roman" w:eastAsia="Times New Roman" w:hAnsi="Times New Roman"/>
          <w:sz w:val="18"/>
          <w:szCs w:val="18"/>
          <w:color w:val="auto"/>
        </w:rPr>
      </w:pPr>
    </w:p>
    <w:p>
      <w:pPr>
        <w:jc w:val="both"/>
        <w:ind w:left="4" w:firstLine="645"/>
        <w:spacing w:after="0" w:line="258" w:lineRule="auto"/>
        <w:tabs>
          <w:tab w:leader="none" w:pos="99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left="4" w:firstLine="645"/>
        <w:spacing w:after="0" w:line="252" w:lineRule="auto"/>
        <w:tabs>
          <w:tab w:leader="none" w:pos="99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91"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88" w:right="239" w:bottom="1440" w:gutter="0" w:footer="0" w:header="0"/>
        </w:sectPr>
      </w:pPr>
    </w:p>
    <w:bookmarkStart w:id="71" w:name="page72"/>
    <w:bookmarkEnd w:id="71"/>
    <w:p>
      <w:pPr>
        <w:jc w:val="both"/>
        <w:ind w:left="-540" w:firstLine="645"/>
        <w:spacing w:after="0" w:line="256" w:lineRule="auto"/>
        <w:tabs>
          <w:tab w:leader="none" w:pos="3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left="-540" w:firstLine="645"/>
        <w:spacing w:after="0" w:line="266" w:lineRule="auto"/>
        <w:tabs>
          <w:tab w:leader="none" w:pos="38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540" w:right="20" w:firstLine="645"/>
        <w:spacing w:after="0" w:line="282" w:lineRule="auto"/>
        <w:tabs>
          <w:tab w:leader="none" w:pos="4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540" w:right="20" w:firstLine="645"/>
        <w:spacing w:after="0" w:line="256" w:lineRule="auto"/>
        <w:tabs>
          <w:tab w:leader="none" w:pos="3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72" w:name="page73"/>
    <w:bookmarkEnd w:id="72"/>
    <w:p>
      <w:pPr>
        <w:jc w:val="both"/>
        <w:ind w:firstLine="645"/>
        <w:spacing w:after="0" w:line="258" w:lineRule="auto"/>
        <w:tabs>
          <w:tab w:leader="none" w:pos="10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645"/>
        <w:spacing w:after="0" w:line="266" w:lineRule="auto"/>
        <w:tabs>
          <w:tab w:leader="none" w:pos="10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Warrants or the Warrant Shares by the Company to the Purchasers as contemplated hereby.</w:t>
      </w:r>
    </w:p>
    <w:p>
      <w:pPr>
        <w:spacing w:after="0" w:line="176" w:lineRule="exact"/>
        <w:rPr>
          <w:rFonts w:ascii="Times New Roman" w:cs="Times New Roman" w:eastAsia="Times New Roman" w:hAnsi="Times New Roman"/>
          <w:sz w:val="18"/>
          <w:szCs w:val="18"/>
          <w:color w:val="auto"/>
        </w:rPr>
      </w:pPr>
    </w:p>
    <w:p>
      <w:pPr>
        <w:jc w:val="both"/>
        <w:ind w:firstLine="645"/>
        <w:spacing w:after="0" w:line="266" w:lineRule="auto"/>
        <w:tabs>
          <w:tab w:leader="none" w:pos="9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Warrant or Warrant Shares by any form of general solicitation or general advertising. The Company has offered the Warrants and Warrant Shares for sale only to the Purchasers and certain other “accredited investors” within the meaning of Rule 501 under the Securities Act.</w:t>
      </w:r>
    </w:p>
    <w:p>
      <w:pPr>
        <w:spacing w:after="0" w:line="176" w:lineRule="exact"/>
        <w:rPr>
          <w:rFonts w:ascii="Times New Roman" w:cs="Times New Roman" w:eastAsia="Times New Roman" w:hAnsi="Times New Roman"/>
          <w:sz w:val="18"/>
          <w:szCs w:val="18"/>
          <w:color w:val="auto"/>
        </w:rPr>
      </w:pPr>
    </w:p>
    <w:p>
      <w:pPr>
        <w:jc w:val="both"/>
        <w:ind w:firstLine="645"/>
        <w:spacing w:after="0" w:line="254" w:lineRule="auto"/>
        <w:tabs>
          <w:tab w:leader="none" w:pos="9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Warrant and Warrant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w:t>
      </w:r>
    </w:p>
    <w:p>
      <w:pPr>
        <w:spacing w:after="0" w:line="3" w:lineRule="exact"/>
        <w:rPr>
          <w:rFonts w:ascii="Times New Roman" w:cs="Times New Roman" w:eastAsia="Times New Roman" w:hAnsi="Times New Roman"/>
          <w:sz w:val="18"/>
          <w:szCs w:val="18"/>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5" w:lineRule="exact"/>
        <w:rPr>
          <w:rFonts w:ascii="Times New Roman" w:cs="Times New Roman" w:eastAsia="Times New Roman" w:hAnsi="Times New Roman"/>
          <w:sz w:val="18"/>
          <w:szCs w:val="18"/>
          <w:color w:val="auto"/>
        </w:rPr>
      </w:pPr>
    </w:p>
    <w:p>
      <w:pPr>
        <w:ind w:right="20" w:firstLine="645"/>
        <w:spacing w:after="0" w:line="282" w:lineRule="auto"/>
        <w:tabs>
          <w:tab w:leader="none" w:pos="100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firstLine="645"/>
        <w:spacing w:after="0" w:line="266" w:lineRule="auto"/>
        <w:tabs>
          <w:tab w:leader="none" w:pos="9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73" w:name="page74"/>
    <w:bookmarkEnd w:id="7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380" w:firstLine="925"/>
        <w:spacing w:after="0" w:line="253" w:lineRule="auto"/>
        <w:tabs>
          <w:tab w:leader="none" w:pos="155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rFonts w:ascii="Times New Roman" w:cs="Times New Roman" w:eastAsia="Times New Roman" w:hAnsi="Times New Roman"/>
          <w:sz w:val="18"/>
          <w:szCs w:val="18"/>
          <w:color w:val="auto"/>
        </w:rPr>
      </w:pPr>
    </w:p>
    <w:p>
      <w:pPr>
        <w:jc w:val="both"/>
        <w:ind w:left="380" w:firstLine="654"/>
        <w:spacing w:after="0" w:line="253" w:lineRule="auto"/>
        <w:tabs>
          <w:tab w:leader="none" w:pos="128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Warrants and the Warrant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92" w:lineRule="exact"/>
        <w:rPr>
          <w:rFonts w:ascii="Times New Roman" w:cs="Times New Roman" w:eastAsia="Times New Roman" w:hAnsi="Times New Roman"/>
          <w:sz w:val="18"/>
          <w:szCs w:val="18"/>
          <w:color w:val="auto"/>
        </w:rPr>
      </w:pPr>
    </w:p>
    <w:p>
      <w:pPr>
        <w:jc w:val="both"/>
        <w:ind w:left="380" w:firstLine="925"/>
        <w:spacing w:after="0" w:line="266" w:lineRule="auto"/>
        <w:tabs>
          <w:tab w:leader="none" w:pos="154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or (a)(8) under the Securities Act or (ii) a “qualified institutional buyer” as defined in Rule 144A(a) under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4" w:name="page75"/>
    <w:bookmarkEnd w:id="74"/>
    <w:p>
      <w:pPr>
        <w:jc w:val="both"/>
        <w:ind w:firstLine="925"/>
        <w:spacing w:after="0" w:line="261" w:lineRule="auto"/>
        <w:tabs>
          <w:tab w:leader="none" w:pos="11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0" w:lineRule="exact"/>
        <w:rPr>
          <w:rFonts w:ascii="Times New Roman" w:cs="Times New Roman" w:eastAsia="Times New Roman" w:hAnsi="Times New Roman"/>
          <w:sz w:val="18"/>
          <w:szCs w:val="18"/>
          <w:color w:val="auto"/>
        </w:rPr>
      </w:pPr>
    </w:p>
    <w:p>
      <w:pPr>
        <w:jc w:val="both"/>
        <w:ind w:firstLine="925"/>
        <w:spacing w:after="0" w:line="253" w:lineRule="auto"/>
        <w:tabs>
          <w:tab w:leader="none" w:pos="116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90" w:lineRule="exact"/>
        <w:rPr>
          <w:rFonts w:ascii="Times New Roman" w:cs="Times New Roman" w:eastAsia="Times New Roman" w:hAnsi="Times New Roman"/>
          <w:sz w:val="18"/>
          <w:szCs w:val="18"/>
          <w:color w:val="auto"/>
        </w:rPr>
      </w:pPr>
    </w:p>
    <w:p>
      <w:pPr>
        <w:jc w:val="both"/>
        <w:ind w:firstLine="925"/>
        <w:spacing w:after="0" w:line="253" w:lineRule="auto"/>
        <w:tabs>
          <w:tab w:leader="none" w:pos="115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620" w:top="688" w:right="239" w:bottom="1440" w:gutter="0" w:footer="0" w:header="0"/>
        </w:sectPr>
      </w:pPr>
    </w:p>
    <w:bookmarkStart w:id="75" w:name="page76"/>
    <w:bookmarkEnd w:id="75"/>
    <w:p>
      <w:pPr>
        <w:jc w:val="both"/>
        <w:ind w:left="380" w:firstLine="925"/>
        <w:spacing w:after="0" w:line="266" w:lineRule="auto"/>
        <w:tabs>
          <w:tab w:leader="none" w:pos="159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ind w:firstLine="378"/>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p>
    <w:p>
      <w:pPr>
        <w:spacing w:after="0" w:line="225" w:lineRule="exact"/>
        <w:rPr>
          <w:sz w:val="20"/>
          <w:szCs w:val="20"/>
          <w:color w:val="auto"/>
        </w:rPr>
      </w:pPr>
    </w:p>
    <w:p>
      <w:pPr>
        <w:jc w:val="both"/>
        <w:ind w:left="660" w:firstLine="645"/>
        <w:spacing w:after="0" w:line="256" w:lineRule="auto"/>
        <w:tabs>
          <w:tab w:leader="none" w:pos="155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and Warrant Shares may only be disposed of in compliance with state and federal securities laws. In connection with any transfer of Warrants or Warrant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 under the Securities Act.</w:t>
      </w:r>
    </w:p>
    <w:p>
      <w:pPr>
        <w:spacing w:after="0" w:line="187" w:lineRule="exact"/>
        <w:rPr>
          <w:rFonts w:ascii="Times New Roman" w:cs="Times New Roman" w:eastAsia="Times New Roman" w:hAnsi="Times New Roman"/>
          <w:sz w:val="18"/>
          <w:szCs w:val="18"/>
          <w:color w:val="auto"/>
        </w:rPr>
      </w:pPr>
    </w:p>
    <w:p>
      <w:pPr>
        <w:ind w:left="660" w:firstLine="645"/>
        <w:spacing w:after="0" w:line="282" w:lineRule="auto"/>
        <w:tabs>
          <w:tab w:leader="none" w:pos="156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Warrants or Warrant Shares in the following form:</w:t>
      </w:r>
    </w:p>
    <w:p>
      <w:pPr>
        <w:spacing w:after="0" w:line="16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u w:val="single" w:color="auto"/>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6" w:name="page77"/>
    <w:bookmarkEnd w:id="76"/>
    <w:p>
      <w:pPr>
        <w:jc w:val="both"/>
        <w:ind w:left="4" w:firstLine="645"/>
        <w:spacing w:after="0" w:line="255" w:lineRule="auto"/>
        <w:tabs>
          <w:tab w:leader="none" w:pos="89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Warrants or Warrant Shares to a financial institution that is an “accredited investor” as defined in Rule 501(a) under the Securities Act and, if required under the terms of such arrangement, such Purchaser may transfer pledged or secured Warrants or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Warrants and Warrant Shares may reasonably request in connection with a pledge or transfer of the Warrants or Warrant Shares.</w:t>
      </w:r>
    </w:p>
    <w:p>
      <w:pPr>
        <w:spacing w:after="0" w:line="185" w:lineRule="exact"/>
        <w:rPr>
          <w:rFonts w:ascii="Times New Roman" w:cs="Times New Roman" w:eastAsia="Times New Roman" w:hAnsi="Times New Roman"/>
          <w:sz w:val="18"/>
          <w:szCs w:val="18"/>
          <w:color w:val="auto"/>
        </w:rPr>
      </w:pPr>
    </w:p>
    <w:p>
      <w:pPr>
        <w:jc w:val="both"/>
        <w:ind w:left="4" w:firstLine="645"/>
        <w:spacing w:after="0" w:line="255" w:lineRule="auto"/>
        <w:tabs>
          <w:tab w:leader="none" w:pos="92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Warrant Shares shall not contain any legend (including the legend set forth in Section 4.1(b) hereof): (i) following the resale of such security pursuant to an effective registration statement covering the resale of such security is effective under the Securities Act, or (ii) following any sale of such Warrant Shares pursuant to Rule 144 (assuming cashless exercise of the Warrants) and the holder is not an affiliate of the Company, or (iii) if such Warrant Shares are eligible for sale under Rule 144 (assuming cashless exercise of the Warrants), or</w:t>
      </w:r>
    </w:p>
    <w:p>
      <w:pPr>
        <w:spacing w:after="0" w:line="2"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subject to such Purchaser’s delivery of any representation statements reasonably necessary to support such opinion. If all or any portion of a Warrant is exercised at a time when there is an effective registration statement to cover the resale of the Warrant Shares, or if such Warrant Shares may be sold under Rule 144 (assuming cashless exercise of the Warrants)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such time as such legend is no longer required under this Section 4.1(c), the Company will, no later than the earlier of (i) two (2) Trading Days and (ii) the number of Trading Days comprising the Standard Settlement Period (as defined below) following the delivery by a Purchaser to the Company or the Transfer Agent of a certificate representing Warrant Shares issued with a restrictive legend with a restrictive legend deliver or cause to be delivered to such Purchaser a certificate representing such shares that is free from all restrictive and other legends (such date of issuance,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The Company may not make any notation on its records or give instructions to the Transfer Agent that enlarge the restrictions on transfer set forth in this Section 4. Warrant Shares subject to legend removal hereunder shall be transmitted by the Transfer Agent to the Purchaser by crediting the account of the Purchaser’s prime broker with the Depository Trust Company System as directed by such Purchaser. As used herein, “Standard Settlement Period” means the standard settlement period, expressed in a number of Trading Days, on the Company’s primary Trading Market with respect to the Common Stock as in effect on the date of delivery of a certificate representing Warrant Shares issued with a restrictive legend.</w:t>
      </w:r>
    </w:p>
    <w:p>
      <w:pPr>
        <w:spacing w:after="0" w:line="191"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88" w:right="239" w:bottom="1440" w:gutter="0" w:footer="0" w:header="0"/>
        </w:sectPr>
      </w:pPr>
    </w:p>
    <w:bookmarkStart w:id="77" w:name="page78"/>
    <w:bookmarkEnd w:id="77"/>
    <w:p>
      <w:pPr>
        <w:jc w:val="both"/>
        <w:ind w:firstLine="645"/>
        <w:spacing w:after="0" w:line="252" w:lineRule="auto"/>
        <w:tabs>
          <w:tab w:leader="none" w:pos="8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Warrant Shares (based on the VWAP of the Common Stock on the date such Securities are submitted to the Transfer Agent) delivered for removal of the restrictive legend and subject to Section 4.1(c), $5 per Trading Day (increasing to $10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Warrant Shares (as the case may be) and ending on the date of such delivery and payment under this Section 4.1(d).</w:t>
      </w:r>
    </w:p>
    <w:p>
      <w:pPr>
        <w:spacing w:after="0" w:line="197" w:lineRule="exact"/>
        <w:rPr>
          <w:rFonts w:ascii="Times New Roman" w:cs="Times New Roman" w:eastAsia="Times New Roman" w:hAnsi="Times New Roman"/>
          <w:sz w:val="18"/>
          <w:szCs w:val="18"/>
          <w:color w:val="auto"/>
        </w:rPr>
      </w:pPr>
    </w:p>
    <w:p>
      <w:pPr>
        <w:ind w:left="860" w:hanging="215"/>
        <w:spacing w:after="0"/>
        <w:tabs>
          <w:tab w:leader="none" w:pos="8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be issued free of legends.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5"/>
        <w:spacing w:after="0" w:line="266" w:lineRule="auto"/>
        <w:tabs>
          <w:tab w:leader="none" w:pos="90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and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78" w:name="page79"/>
    <w:bookmarkEnd w:id="78"/>
    <w:p>
      <w:pPr>
        <w:jc w:val="both"/>
        <w:ind w:left="660" w:firstLine="645"/>
        <w:spacing w:after="0" w:line="252" w:lineRule="auto"/>
        <w:tabs>
          <w:tab w:leader="none" w:pos="15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Warrant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Warrant Shares, an amount in cash equal to two percent (2.0%) of the aggregate Exercise Price of such Purchaser’s Warrants on the day of a Public Information Failure and on every thirtieth (30th) day (pro rated for periods totaling less than thirty days) thereafter until the earlier of (a) the date such Public Information Failure is cured and (b) such time that such public information is no longer required for the Purchasers to transfer the Warrant Shares pursuant to Rule 144 or any then effective registration statement and prospectus permitting the transfer of the Warrant Shares, subject to a maximum cap of ten percent (10%). The payments to which a Purchaser shall be entitled pursuant to this Section 4.2(b) are referred to herein as “Public Information Failure Payments.” Public Information Failure Payments shall be paid on the earlier of (i) 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Warrants or Warrant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9" w:name="page80"/>
    <w:bookmarkEnd w:id="7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0" w:name="page81"/>
    <w:bookmarkEnd w:id="8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the purposes described in the Prospectus Supplement.</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Warrant Shares issued and issuable upon exercise of the Warrants,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furnished in writing to the Company by such Purchaser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1" w:name="page82"/>
    <w:bookmarkEnd w:id="8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2" w:name="page83"/>
    <w:bookmarkEnd w:id="8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3" w:name="page84"/>
    <w:bookmarkEnd w:id="8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Warrant and Warrant Shares as required under Regulation D and to provide a copy thereof, promptly upon request of any Purchaser. The Company shall take such action as the Company shall reasonably determine is necessary in order to obtain an exemption for, or to qualify the Warrant and Warrant Shares for, sale to the Purchasers at the Closing under applicable securities or “Blue Sky” laws of the states of the United States, and shall provide evidence of such actions promptly upon request of any Purchaser.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w:t>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on or before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date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)Trading Day following the date of mailing, if sent by U.S. nationally recognized overnight courier service or</w:t>
      </w:r>
    </w:p>
    <w:p>
      <w:pPr>
        <w:jc w:val="both"/>
        <w:ind w:firstLine="8"/>
        <w:spacing w:after="0" w:line="253" w:lineRule="auto"/>
        <w:tabs>
          <w:tab w:leader="none" w:pos="25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4" w:name="page85"/>
    <w:bookmarkEnd w:id="8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5" w:name="page86"/>
    <w:bookmarkEnd w:id="8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6" w:name="page87"/>
    <w:bookmarkEnd w:id="8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7" w:name="page88"/>
    <w:bookmarkEnd w:id="8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8" w:name="page89"/>
    <w:bookmarkEnd w:id="8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22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47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E-mail:</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Mintz, Levin, Cohn, Ferris, Glovsky and Popeo, P.C.</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Financial Center</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Boston, MA 02111</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Marc D. Mantell, Esq.</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Ruskin Moscou Faltischek, P.C.</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1425 RXR Plaza</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3"/>
        </w:trPr>
        <w:tc>
          <w:tcPr>
            <w:tcW w:w="5620" w:type="dxa"/>
            <w:vAlign w:val="bottom"/>
            <w:gridSpan w:val="2"/>
          </w:tcPr>
          <w:p>
            <w:pPr>
              <w:spacing w:after="0" w:line="253" w:lineRule="exact"/>
              <w:rPr>
                <w:sz w:val="20"/>
                <w:szCs w:val="20"/>
                <w:color w:val="auto"/>
              </w:rPr>
            </w:pPr>
            <w:r>
              <w:rPr>
                <w:rFonts w:ascii="Times New Roman" w:cs="Times New Roman" w:eastAsia="Times New Roman" w:hAnsi="Times New Roman"/>
                <w:sz w:val="18"/>
                <w:szCs w:val="18"/>
                <w:color w:val="auto"/>
              </w:rPr>
              <w:t>East Tower,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Uniondale, New York 11556</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 Stephen E. Fox, Esq.</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[PURCHASER SIGNATURE PAGES TO MBOT SECURITIES PURCHASE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 of Authorized Signatory: 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Warrants to Purchaser (if not same as address for 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DWAC for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w:t>
      </w:r>
    </w:p>
    <w:p>
      <w:pPr>
        <w:spacing w:after="0" w:line="225" w:lineRule="exact"/>
        <w:rPr>
          <w:sz w:val="20"/>
          <w:szCs w:val="20"/>
          <w:color w:val="auto"/>
        </w:rPr>
      </w:pPr>
    </w:p>
    <w:p>
      <w:pPr>
        <w:jc w:val="both"/>
        <w:ind w:firstLine="8"/>
        <w:spacing w:after="0" w:line="255" w:lineRule="auto"/>
        <w:tabs>
          <w:tab w:leader="none" w:pos="20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0" w:name="page91"/>
    <w:bookmarkEnd w:id="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154305</wp:posOffset>
            </wp:positionV>
            <wp:extent cx="1929765" cy="7461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 Announces $2.5 Million Registered Direct Offering Priced At-the-Market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HINGHAM, Mass., January 23, 2019 – Microbot Medical Inc. (Nasdaq: MBOT), a medical device company specializing in the design and development of transformational micro-robotic medical technologies, today announced that it has entered into definitive agreements with institutional investors for the purchase of 250,000 shares of its common stock, at a purchase price per share of $10.00, in a registered direct offering priced at-the-market. Additionally, Microbot has agreed to issue to the investors unregistered warrants to purchase up to 250,000 shares of common stock.. The warrants have an exercise price of $10.00 per share of common stock, will be exercisable immediately and will expire one year from the issuance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of the offering is expected to occur on or about January 25, 2019, subject to the satisfaction of customary closing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gross proceeds to Microbot, before deducting placement agent fees and other offering expenses, are expected to be approximately $2.5 million. The potential gross proceeds from the warrants, if fully exercised on a cash basis, will be approximately $2.5 million. No assurance can be given that any of the warrants will be exercised. Microbot currently intends to use the net proceeds from this offering for the continuous development of its SCS device for the treatment of hydrocephalus and NPH; to expand and develop additional applications deriving from its existing IP portfolio, including the potential addition of complementary assets to the CardioSert portfolio either through internal development, in-license or acquisition; and for working capital and other general corporate purposes.</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shares of common stock (but not the warrants or the shares of common stock underlying the warrants) are being offered by Microbot pursuant to a “shelf” registration statement on Form S-3 that was originally filed on March 31, 2017 and declared effective by the Securities and Exchange Commission (“SEC”) on April 14, 2017 and the base prospectus contained therein (File No. 333-217076). The offering of the shares of common stock will be made only by means of a prospectus supplement that forms a part of the registration statement.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final prospectus supplement and accompanying base prospectus relating to the shares of common stock being offered will be filed with the SEC. Copies of the final prospectus supplement and accompanying base prospectus may be obtained, when available, on the SEC’s website at http://www.sec.gov or by contacting H.C. Wainwright &amp; Co., LLC at 430 Park Avenue, 3rd Floor, New York, NY 10022, by phone at 646-975-6996 or e-mail at placements@hcwco.com.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warrants described above were offered in a private placement under Section 4(a)(2) of the Securities Act of 1933, as amended (the “Act”), and Regulation D promulgated thereunder and, along with the shares of common stock underlying the warrants, have not been registered under the Act, or applicable state securities laws. Accordingly, the warrants and underlying shares of common stock may not be offered or sold in the United States except pursuant to an effective registration statement or an applicable exemption from the registration requirements of the Act and such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any of the securities described herein, nor shall there be any sale of these securities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 Inc.</w:t>
      </w:r>
    </w:p>
    <w:p>
      <w:pPr>
        <w:spacing w:after="0" w:line="22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and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are comprised of three highly advanced technologies, from which the Company is</w:t>
      </w:r>
    </w:p>
    <w:p>
      <w:pPr>
        <w:jc w:val="both"/>
        <w:spacing w:after="0" w:line="217" w:lineRule="auto"/>
        <w:rPr>
          <w:sz w:val="20"/>
          <w:szCs w:val="20"/>
          <w:color w:val="auto"/>
        </w:rPr>
      </w:pPr>
      <w:r>
        <w:rPr>
          <w:rFonts w:ascii="Times New Roman" w:cs="Times New Roman" w:eastAsia="Times New Roman" w:hAnsi="Times New Roman"/>
          <w:sz w:val="18"/>
          <w:szCs w:val="18"/>
          <w:color w:val="auto"/>
        </w:rPr>
        <w:t>currently developing its first product candidate: The Self Cleaning Shunt, or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please visit http://www.microbotmedical.com/technology/virob/.</w:t>
      </w:r>
    </w:p>
    <w:p>
      <w:pPr>
        <w:spacing w:after="0" w:line="8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spacing w:after="0" w:line="2" w:lineRule="exact"/>
        <w:rPr>
          <w:sz w:val="20"/>
          <w:szCs w:val="20"/>
          <w:color w:val="auto"/>
        </w:rPr>
      </w:pPr>
    </w:p>
    <w:p>
      <w:pPr>
        <w:ind w:right="20" w:firstLine="8"/>
        <w:spacing w:after="0" w:line="270" w:lineRule="auto"/>
        <w:tabs>
          <w:tab w:leader="none" w:pos="19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tubular lumens, applying the minimal necessary pressure to achieve the adequate friction required for gentle, fast, and safe advancement within the human body. To learn more about 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visit http://www.microbotmedical.com/technology/tipcat/.</w:t>
      </w:r>
    </w:p>
    <w:p>
      <w:pPr>
        <w:spacing w:after="0" w:line="53"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8"/>
          <w:szCs w:val="18"/>
          <w:color w:val="auto"/>
        </w:rPr>
        <w:t>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contemplates a unique combination of a guidewire and microcatheter, technologies that are broadly used for endoluminal surgery. The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Times New Roman" w:cs="Times New Roman" w:eastAsia="Times New Roman" w:hAnsi="Times New Roman"/>
          <w:sz w:val="18"/>
          <w:szCs w:val="18"/>
          <w:color w:val="auto"/>
        </w:rPr>
        <w:t>the potential to be used in other spaces and applications, such as peripheral intervention, neurosurgery and urology.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bullet"/>
      <w:start w:val="1"/>
    </w:lvl>
  </w:abstractNum>
  <w:abstractNum w:abstractNumId="2">
    <w:nsid w:val="57E4CCAF"/>
    <w:multiLevelType w:val="hybridMultilevel"/>
    <w:lvl w:ilvl="0">
      <w:lvlJc w:val="left"/>
      <w:lvlText w:val="%1)"/>
      <w:numFmt w:val="lowerLetter"/>
      <w:start w:val="1"/>
    </w:lvl>
  </w:abstractNum>
  <w:abstractNum w:abstractNumId="3">
    <w:nsid w:val="7A6D8D3C"/>
    <w:multiLevelType w:val="hybridMultilevel"/>
    <w:lvl w:ilvl="0">
      <w:lvlJc w:val="left"/>
      <w:lvlText w:val="%1)"/>
      <w:numFmt w:val="lowerLetter"/>
      <w:start w:val="2"/>
    </w:lvl>
  </w:abstractNum>
  <w:abstractNum w:abstractNumId="4">
    <w:nsid w:val="4B588F54"/>
    <w:multiLevelType w:val="hybridMultilevel"/>
    <w:lvl w:ilvl="0">
      <w:lvlJc w:val="left"/>
      <w:lvlText w:val="(%1)"/>
      <w:numFmt w:val="upperLetter"/>
      <w:start w:val="1"/>
    </w:lvl>
  </w:abstractNum>
  <w:abstractNum w:abstractNumId="5">
    <w:nsid w:val="542289EC"/>
    <w:multiLevelType w:val="hybridMultilevel"/>
    <w:lvl w:ilvl="0">
      <w:lvlJc w:val="left"/>
      <w:lvlText w:val="(%1)"/>
      <w:numFmt w:val="upperLetter"/>
      <w:start w:val="24"/>
    </w:lvl>
  </w:abstractNum>
  <w:abstractNum w:abstractNumId="6">
    <w:nsid w:val="6DE91B18"/>
    <w:multiLevelType w:val="hybridMultilevel"/>
    <w:lvl w:ilvl="0">
      <w:lvlJc w:val="left"/>
      <w:lvlText w:val="%1)"/>
      <w:numFmt w:val="lowerLetter"/>
      <w:start w:val="4"/>
    </w:lvl>
    <w:lvl w:ilvl="1">
      <w:lvlJc w:val="left"/>
      <w:lvlText w:val="%2."/>
      <w:numFmt w:val="lowerRoman"/>
      <w:start w:val="1"/>
    </w:lvl>
  </w:abstractNum>
  <w:abstractNum w:abstractNumId="7">
    <w:nsid w:val="38437FDB"/>
    <w:multiLevelType w:val="hybridMultilevel"/>
    <w:lvl w:ilvl="0">
      <w:lvlJc w:val="left"/>
      <w:lvlText w:val="%1"/>
      <w:numFmt w:val="decimal"/>
      <w:start w:val="1"/>
    </w:lvl>
    <w:lvl w:ilvl="1">
      <w:lvlJc w:val="left"/>
      <w:lvlText w:val="%2."/>
      <w:numFmt w:val="lowerRoman"/>
      <w:start w:val="2"/>
    </w:lvl>
  </w:abstractNum>
  <w:abstractNum w:abstractNumId="8">
    <w:nsid w:val="7644A45C"/>
    <w:multiLevelType w:val="hybridMultilevel"/>
    <w:lvl w:ilvl="0">
      <w:lvlJc w:val="left"/>
      <w:lvlText w:val="(%1)"/>
      <w:numFmt w:val="decimal"/>
      <w:start w:val="2"/>
    </w:lvl>
    <w:lvl w:ilvl="1">
      <w:lvlJc w:val="left"/>
      <w:lvlText w:val="%2"/>
      <w:numFmt w:val="lowerRoman"/>
      <w:start w:val="1"/>
    </w:lvl>
  </w:abstractNum>
  <w:abstractNum w:abstractNumId="9">
    <w:nsid w:val="32FFF902"/>
    <w:multiLevelType w:val="hybridMultilevel"/>
    <w:lvl w:ilvl="0">
      <w:lvlJc w:val="left"/>
      <w:lvlText w:val="%1."/>
      <w:numFmt w:val="lowerRoman"/>
      <w:start w:val="6"/>
    </w:lvl>
  </w:abstractNum>
  <w:abstractNum w:abstractNumId="10">
    <w:nsid w:val="684A481A"/>
    <w:multiLevelType w:val="hybridMultilevel"/>
    <w:lvl w:ilvl="0">
      <w:lvlJc w:val="left"/>
      <w:lvlText w:val="%1)"/>
      <w:numFmt w:val="lowerLetter"/>
      <w:start w:val="5"/>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1)"/>
      <w:numFmt w:val="lowerLetter"/>
      <w:start w:val="3"/>
    </w:lvl>
  </w:abstractNum>
  <w:abstractNum w:abstractNumId="13">
    <w:nsid w:val="3DC240FB"/>
    <w:multiLevelType w:val="hybridMultilevel"/>
    <w:lvl w:ilvl="0">
      <w:lvlJc w:val="left"/>
      <w:lvlText w:val="%1)"/>
      <w:numFmt w:val="lowerLetter"/>
      <w:start w:val="4"/>
    </w:lvl>
  </w:abstractNum>
  <w:abstractNum w:abstractNumId="14">
    <w:nsid w:val="1BA026FA"/>
    <w:multiLevelType w:val="hybridMultilevel"/>
    <w:lvl w:ilvl="0">
      <w:lvlJc w:val="left"/>
      <w:lvlText w:val="%1)"/>
      <w:numFmt w:val="lowerLetter"/>
      <w:start w:val="5"/>
    </w:lvl>
  </w:abstractNum>
  <w:abstractNum w:abstractNumId="15">
    <w:nsid w:val="79A1DEAA"/>
    <w:multiLevelType w:val="hybridMultilevel"/>
    <w:lvl w:ilvl="0">
      <w:lvlJc w:val="left"/>
      <w:lvlText w:val="%1."/>
      <w:numFmt w:val="lowerRoman"/>
      <w:start w:val="2"/>
    </w:lvl>
  </w:abstractNum>
  <w:abstractNum w:abstractNumId="16">
    <w:nsid w:val="75C6C33A"/>
    <w:multiLevelType w:val="hybridMultilevel"/>
    <w:lvl w:ilvl="0">
      <w:lvlJc w:val="left"/>
      <w:lvlText w:val="%1"/>
      <w:numFmt w:val="decimal"/>
      <w:start w:val="1"/>
    </w:lvl>
    <w:lvl w:ilvl="1">
      <w:lvlJc w:val="left"/>
      <w:lvlText w:val="%2)"/>
      <w:numFmt w:val="lowerLetter"/>
      <w:start w:val="1"/>
    </w:lvl>
  </w:abstractNum>
  <w:abstractNum w:abstractNumId="17">
    <w:nsid w:val="12E685FB"/>
    <w:multiLevelType w:val="hybridMultilevel"/>
    <w:lvl w:ilvl="0">
      <w:lvlJc w:val="left"/>
      <w:lvlText w:val="(%1)"/>
      <w:numFmt w:val="decimal"/>
      <w:start w:val="3"/>
    </w:lvl>
    <w:lvl w:ilvl="1">
      <w:lvlJc w:val="left"/>
      <w:lvlText w:val="%2"/>
      <w:numFmt w:val="lowerLetter"/>
      <w:start w:val="1"/>
    </w:lvl>
  </w:abstractNum>
  <w:abstractNum w:abstractNumId="18">
    <w:nsid w:val="70C6A529"/>
    <w:multiLevelType w:val="hybridMultilevel"/>
    <w:lvl w:ilvl="0">
      <w:lvlJc w:val="left"/>
      <w:lvlText w:val="%1)"/>
      <w:numFmt w:val="lowerLetter"/>
      <w:start w:val="2"/>
    </w:lvl>
  </w:abstractNum>
  <w:abstractNum w:abstractNumId="19">
    <w:nsid w:val="520EEDD1"/>
    <w:multiLevelType w:val="hybridMultilevel"/>
    <w:lvl w:ilvl="0">
      <w:lvlJc w:val="left"/>
      <w:lvlText w:val="%1)"/>
      <w:numFmt w:val="lowerLetter"/>
      <w:start w:val="1"/>
    </w:lvl>
  </w:abstractNum>
  <w:abstractNum w:abstractNumId="20">
    <w:nsid w:val="374A3FE6"/>
    <w:multiLevelType w:val="hybridMultilevel"/>
    <w:lvl w:ilvl="0">
      <w:lvlJc w:val="left"/>
      <w:lvlText w:val="%1)"/>
      <w:numFmt w:val="lowerLetter"/>
      <w:start w:val="2"/>
    </w:lvl>
  </w:abstractNum>
  <w:abstractNum w:abstractNumId="21">
    <w:nsid w:val="4F4EF005"/>
    <w:multiLevelType w:val="hybridMultilevel"/>
    <w:lvl w:ilvl="0">
      <w:lvlJc w:val="left"/>
      <w:lvlText w:val="%1)"/>
      <w:numFmt w:val="lowerLetter"/>
      <w:start w:val="5"/>
    </w:lvl>
  </w:abstractNum>
  <w:abstractNum w:abstractNumId="22">
    <w:nsid w:val="23F9C13C"/>
    <w:multiLevelType w:val="hybridMultilevel"/>
    <w:lvl w:ilvl="0">
      <w:lvlJc w:val="left"/>
      <w:lvlText w:val="%1)"/>
      <w:numFmt w:val="lowerLetter"/>
      <w:start w:val="8"/>
    </w:lvl>
  </w:abstractNum>
  <w:abstractNum w:abstractNumId="23">
    <w:nsid w:val="649BB77C"/>
    <w:multiLevelType w:val="hybridMultilevel"/>
    <w:lvl w:ilvl="0">
      <w:lvlJc w:val="left"/>
      <w:lvlText w:val="%1)"/>
      <w:numFmt w:val="lowerLetter"/>
      <w:start w:val="13"/>
    </w:lvl>
  </w:abstractNum>
  <w:abstractNum w:abstractNumId="24">
    <w:nsid w:val="275AC794"/>
    <w:multiLevelType w:val="hybridMultilevel"/>
    <w:lvl w:ilvl="0">
      <w:lvlJc w:val="left"/>
      <w:lvlText w:val="(%1)"/>
      <w:numFmt w:val="decimal"/>
      <w:start w:val="1"/>
    </w:lvl>
  </w:abstractNum>
  <w:abstractNum w:abstractNumId="25">
    <w:nsid w:val="39386575"/>
    <w:multiLevelType w:val="hybridMultilevel"/>
    <w:lvl w:ilvl="0">
      <w:lvlJc w:val="left"/>
      <w:lvlText w:val="(%1)"/>
      <w:numFmt w:val="decimal"/>
      <w:start w:val="3"/>
    </w:lvl>
  </w:abstractNum>
  <w:abstractNum w:abstractNumId="26">
    <w:nsid w:val="1CF10FD8"/>
    <w:multiLevelType w:val="hybridMultilevel"/>
    <w:lvl w:ilvl="0">
      <w:lvlJc w:val="left"/>
      <w:lvlText w:val="(%1)"/>
      <w:numFmt w:val="decimal"/>
      <w:start w:val="4"/>
    </w:lvl>
  </w:abstractNum>
  <w:abstractNum w:abstractNumId="27">
    <w:nsid w:val="180115BE"/>
    <w:multiLevelType w:val="hybridMultilevel"/>
    <w:lvl w:ilvl="0">
      <w:lvlJc w:val="left"/>
      <w:lvlText w:val="%1)"/>
      <w:numFmt w:val="lowerLetter"/>
      <w:start w:val="1"/>
    </w:lvl>
  </w:abstractNum>
  <w:abstractNum w:abstractNumId="28">
    <w:nsid w:val="235BA861"/>
    <w:multiLevelType w:val="hybridMultilevel"/>
    <w:lvl w:ilvl="0">
      <w:lvlJc w:val="left"/>
      <w:lvlText w:val="%1)"/>
      <w:numFmt w:val="lowerLetter"/>
      <w:start w:val="2"/>
    </w:lvl>
  </w:abstractNum>
  <w:abstractNum w:abstractNumId="29">
    <w:nsid w:val="47398C89"/>
    <w:multiLevelType w:val="hybridMultilevel"/>
    <w:lvl w:ilvl="0">
      <w:lvlJc w:val="left"/>
      <w:lvlText w:val="(%1)"/>
      <w:numFmt w:val="upperLetter"/>
      <w:start w:val="1"/>
    </w:lvl>
  </w:abstractNum>
  <w:abstractNum w:abstractNumId="30">
    <w:nsid w:val="354FE9F9"/>
    <w:multiLevelType w:val="hybridMultilevel"/>
    <w:lvl w:ilvl="0">
      <w:lvlJc w:val="left"/>
      <w:lvlText w:val="(%1)"/>
      <w:numFmt w:val="upperLetter"/>
      <w:start w:val="24"/>
    </w:lvl>
  </w:abstractNum>
  <w:abstractNum w:abstractNumId="31">
    <w:nsid w:val="15B5AF5C"/>
    <w:multiLevelType w:val="hybridMultilevel"/>
    <w:lvl w:ilvl="0">
      <w:lvlJc w:val="left"/>
      <w:lvlText w:val="%1)"/>
      <w:numFmt w:val="lowerLetter"/>
      <w:start w:val="4"/>
    </w:lvl>
    <w:lvl w:ilvl="1">
      <w:lvlJc w:val="left"/>
      <w:lvlText w:val="%2."/>
      <w:numFmt w:val="lowerRoman"/>
      <w:start w:val="1"/>
    </w:lvl>
  </w:abstractNum>
  <w:abstractNum w:abstractNumId="32">
    <w:nsid w:val="741226BB"/>
    <w:multiLevelType w:val="hybridMultilevel"/>
    <w:lvl w:ilvl="0">
      <w:lvlJc w:val="left"/>
      <w:lvlText w:val="%1"/>
      <w:numFmt w:val="decimal"/>
      <w:start w:val="1"/>
    </w:lvl>
    <w:lvl w:ilvl="1">
      <w:lvlJc w:val="left"/>
      <w:lvlText w:val="%2."/>
      <w:numFmt w:val="lowerRoman"/>
      <w:start w:val="2"/>
    </w:lvl>
  </w:abstractNum>
  <w:abstractNum w:abstractNumId="33">
    <w:nsid w:val="D34B6A8"/>
    <w:multiLevelType w:val="hybridMultilevel"/>
    <w:lvl w:ilvl="0">
      <w:lvlJc w:val="left"/>
      <w:lvlText w:val="(%1)"/>
      <w:numFmt w:val="decimal"/>
      <w:start w:val="2"/>
    </w:lvl>
    <w:lvl w:ilvl="1">
      <w:lvlJc w:val="left"/>
      <w:lvlText w:val="%2"/>
      <w:numFmt w:val="lowerRoman"/>
      <w:start w:val="1"/>
    </w:lvl>
  </w:abstractNum>
  <w:abstractNum w:abstractNumId="34">
    <w:nsid w:val="10233C99"/>
    <w:multiLevelType w:val="hybridMultilevel"/>
    <w:lvl w:ilvl="0">
      <w:lvlJc w:val="left"/>
      <w:lvlText w:val="%1."/>
      <w:numFmt w:val="lowerRoman"/>
      <w:start w:val="6"/>
    </w:lvl>
  </w:abstractNum>
  <w:abstractNum w:abstractNumId="35">
    <w:nsid w:val="3F6AB60F"/>
    <w:multiLevelType w:val="hybridMultilevel"/>
    <w:lvl w:ilvl="0">
      <w:lvlJc w:val="left"/>
      <w:lvlText w:val="%1)"/>
      <w:numFmt w:val="lowerLetter"/>
      <w:start w:val="5"/>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lowerLetter"/>
      <w:start w:val="3"/>
    </w:lvl>
  </w:abstractNum>
  <w:abstractNum w:abstractNumId="38">
    <w:nsid w:val="77AE35EB"/>
    <w:multiLevelType w:val="hybridMultilevel"/>
    <w:lvl w:ilvl="0">
      <w:lvlJc w:val="left"/>
      <w:lvlText w:val="%1)"/>
      <w:numFmt w:val="lowerLetter"/>
      <w:start w:val="4"/>
    </w:lvl>
  </w:abstractNum>
  <w:abstractNum w:abstractNumId="39">
    <w:nsid w:val="579BE4F1"/>
    <w:multiLevelType w:val="hybridMultilevel"/>
    <w:lvl w:ilvl="0">
      <w:lvlJc w:val="left"/>
      <w:lvlText w:val="%1)"/>
      <w:numFmt w:val="lowerLetter"/>
      <w:start w:val="5"/>
    </w:lvl>
    <w:lvl w:ilvl="1">
      <w:lvlJc w:val="left"/>
      <w:lvlText w:val="%2."/>
      <w:numFmt w:val="lowerRoman"/>
      <w:start w:val="1"/>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lowerRoman"/>
      <w:start w:val="2"/>
    </w:lvl>
  </w:abstractNum>
  <w:abstractNum w:abstractNumId="42">
    <w:nsid w:val="2F305DEF"/>
    <w:multiLevelType w:val="hybridMultilevel"/>
    <w:lvl w:ilvl="0">
      <w:lvlJc w:val="left"/>
      <w:lvlText w:val="%1)"/>
      <w:numFmt w:val="lowerLetter"/>
      <w:start w:val="2"/>
    </w:lvl>
  </w:abstractNum>
  <w:abstractNum w:abstractNumId="43">
    <w:nsid w:val="25A70BF7"/>
    <w:multiLevelType w:val="hybridMultilevel"/>
    <w:lvl w:ilvl="0">
      <w:lvlJc w:val="left"/>
      <w:lvlText w:val="%1)"/>
      <w:numFmt w:val="lowerLetter"/>
      <w:start w:val="1"/>
    </w:lvl>
  </w:abstractNum>
  <w:abstractNum w:abstractNumId="44">
    <w:nsid w:val="1DBABF00"/>
    <w:multiLevelType w:val="hybridMultilevel"/>
    <w:lvl w:ilvl="0">
      <w:lvlJc w:val="left"/>
      <w:lvlText w:val="%1)"/>
      <w:numFmt w:val="lowerLetter"/>
      <w:start w:val="2"/>
    </w:lvl>
  </w:abstractNum>
  <w:abstractNum w:abstractNumId="45">
    <w:nsid w:val="4AD084E9"/>
    <w:multiLevelType w:val="hybridMultilevel"/>
    <w:lvl w:ilvl="0">
      <w:lvlJc w:val="left"/>
      <w:lvlText w:val="%1)"/>
      <w:numFmt w:val="lowerLetter"/>
      <w:start w:val="5"/>
    </w:lvl>
  </w:abstractNum>
  <w:abstractNum w:abstractNumId="46">
    <w:nsid w:val="1F48EAA1"/>
    <w:multiLevelType w:val="hybridMultilevel"/>
    <w:lvl w:ilvl="0">
      <w:lvlJc w:val="left"/>
      <w:lvlText w:val="%1)"/>
      <w:numFmt w:val="lowerLetter"/>
      <w:start w:val="8"/>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decimal"/>
      <w:start w:val="3"/>
    </w:lvl>
  </w:abstractNum>
  <w:abstractNum w:abstractNumId="49">
    <w:nsid w:val="100F8FCA"/>
    <w:multiLevelType w:val="hybridMultilevel"/>
    <w:lvl w:ilvl="0">
      <w:lvlJc w:val="left"/>
      <w:lvlText w:val="(%1)"/>
      <w:numFmt w:val="decimal"/>
      <w:start w:val="4"/>
    </w:lvl>
  </w:abstractNum>
  <w:abstractNum w:abstractNumId="50">
    <w:nsid w:val="6590700B"/>
    <w:multiLevelType w:val="hybridMultilevel"/>
    <w:lvl w:ilvl="0">
      <w:lvlJc w:val="left"/>
      <w:lvlText w:val="(%1)"/>
      <w:numFmt w:val="lowerLetter"/>
      <w:start w:val="1"/>
    </w:lvl>
    <w:lvl w:ilvl="1">
      <w:lvlJc w:val="left"/>
      <w:lvlText w:val="(%2)"/>
      <w:numFmt w:val="lowerRoman"/>
      <w:start w:val="1"/>
    </w:lvl>
  </w:abstractNum>
  <w:abstractNum w:abstractNumId="51">
    <w:nsid w:val="15014ACB"/>
    <w:multiLevelType w:val="hybridMultilevel"/>
    <w:lvl w:ilvl="0">
      <w:lvlJc w:val="left"/>
      <w:lvlText w:val="(%1)"/>
      <w:numFmt w:val="lowerLetter"/>
      <w:start w:val="1"/>
    </w:lvl>
    <w:lvl w:ilvl="1">
      <w:lvlJc w:val="left"/>
      <w:lvlText w:val="(%2)"/>
      <w:numFmt w:val="lowerRoman"/>
      <w:start w:val="1"/>
    </w:lvl>
  </w:abstractNum>
  <w:abstractNum w:abstractNumId="52">
    <w:nsid w:val="5F5E7FD0"/>
    <w:multiLevelType w:val="hybridMultilevel"/>
    <w:lvl w:ilvl="0">
      <w:lvlJc w:val="left"/>
      <w:lvlText w:val="%1"/>
      <w:numFmt w:val="lowerLetter"/>
      <w:start w:val="1"/>
    </w:lvl>
    <w:lvl w:ilvl="1">
      <w:lvlJc w:val="left"/>
      <w:lvlText w:val="(%2)"/>
      <w:numFmt w:val="lowerLetter"/>
      <w:start w:val="61"/>
    </w:lvl>
  </w:abstractNum>
  <w:abstractNum w:abstractNumId="53">
    <w:nsid w:val="98A3148"/>
    <w:multiLevelType w:val="hybridMultilevel"/>
    <w:lvl w:ilvl="0">
      <w:lvlJc w:val="left"/>
      <w:lvlText w:val="(%1)"/>
      <w:numFmt w:val="lowerLetter"/>
      <w:start w:val="2"/>
    </w:lvl>
    <w:lvl w:ilvl="1">
      <w:lvlJc w:val="left"/>
      <w:lvlText w:val="(%2)"/>
      <w:numFmt w:val="lowerLetter"/>
      <w:start w:val="9"/>
    </w:lvl>
  </w:abstractNum>
  <w:abstractNum w:abstractNumId="54">
    <w:nsid w:val="799D0247"/>
    <w:multiLevelType w:val="hybridMultilevel"/>
    <w:lvl w:ilvl="0">
      <w:lvlJc w:val="left"/>
      <w:lvlText w:val="(%1)"/>
      <w:numFmt w:val="lowerRoman"/>
      <w:start w:val="2"/>
    </w:lvl>
  </w:abstractNum>
  <w:abstractNum w:abstractNumId="55">
    <w:nsid w:val="6B94764"/>
    <w:multiLevelType w:val="hybridMultilevel"/>
    <w:lvl w:ilvl="0">
      <w:lvlJc w:val="left"/>
      <w:lvlText w:val="(%1)"/>
      <w:numFmt w:val="lowerLetter"/>
      <w:start w:val="1"/>
    </w:lvl>
  </w:abstractNum>
  <w:abstractNum w:abstractNumId="56">
    <w:nsid w:val="42C296BD"/>
    <w:multiLevelType w:val="hybridMultilevel"/>
    <w:lvl w:ilvl="0">
      <w:lvlJc w:val="left"/>
      <w:lvlText w:val="(%1)"/>
      <w:numFmt w:val="lowerLetter"/>
      <w:start w:val="2"/>
    </w:lvl>
  </w:abstractNum>
  <w:abstractNum w:abstractNumId="57">
    <w:nsid w:val="168E121F"/>
    <w:multiLevelType w:val="hybridMultilevel"/>
    <w:lvl w:ilvl="0">
      <w:lvlJc w:val="left"/>
      <w:lvlText w:val="(%1)"/>
      <w:numFmt w:val="lowerLetter"/>
      <w:start w:val="4"/>
    </w:lvl>
  </w:abstractNum>
  <w:abstractNum w:abstractNumId="58">
    <w:nsid w:val="1EBA5D23"/>
    <w:multiLevelType w:val="hybridMultilevel"/>
    <w:lvl w:ilvl="0">
      <w:lvlJc w:val="left"/>
      <w:lvlText w:val="(%1)"/>
      <w:numFmt w:val="lowerLetter"/>
      <w:start w:val="6"/>
    </w:lvl>
  </w:abstractNum>
  <w:abstractNum w:abstractNumId="59">
    <w:nsid w:val="661E3F1E"/>
    <w:multiLevelType w:val="hybridMultilevel"/>
    <w:lvl w:ilvl="0">
      <w:lvlJc w:val="left"/>
      <w:lvlText w:val="(%1)"/>
      <w:numFmt w:val="lowerLetter"/>
      <w:start w:val="8"/>
    </w:lvl>
  </w:abstractNum>
  <w:abstractNum w:abstractNumId="60">
    <w:nsid w:val="5DC79EA8"/>
    <w:multiLevelType w:val="hybridMultilevel"/>
    <w:lvl w:ilvl="0">
      <w:lvlJc w:val="left"/>
      <w:lvlText w:val="%1"/>
      <w:numFmt w:val="lowerLetter"/>
      <w:start w:val="1"/>
    </w:lvl>
    <w:lvl w:ilvl="1">
      <w:lvlJc w:val="left"/>
      <w:lvlText w:val="(%2)"/>
      <w:numFmt w:val="lowerLetter"/>
      <w:start w:val="10"/>
    </w:lvl>
  </w:abstractNum>
  <w:abstractNum w:abstractNumId="61">
    <w:nsid w:val="540A471C"/>
    <w:multiLevelType w:val="hybridMultilevel"/>
    <w:lvl w:ilvl="0">
      <w:lvlJc w:val="left"/>
      <w:lvlText w:val="(%1)"/>
      <w:numFmt w:val="lowerLetter"/>
      <w:start w:val="35"/>
    </w:lvl>
    <w:lvl w:ilvl="1">
      <w:lvlJc w:val="left"/>
      <w:lvlText w:val="(%2)"/>
      <w:numFmt w:val="lowerLetter"/>
      <w:start w:val="11"/>
    </w:lvl>
  </w:abstractNum>
  <w:abstractNum w:abstractNumId="62">
    <w:nsid w:val="7BD3EE7B"/>
    <w:multiLevelType w:val="hybridMultilevel"/>
    <w:lvl w:ilvl="0">
      <w:lvlJc w:val="left"/>
      <w:lvlText w:val="(%1)"/>
      <w:numFmt w:val="lowerLetter"/>
      <w:start w:val="12"/>
    </w:lvl>
  </w:abstractNum>
  <w:abstractNum w:abstractNumId="63">
    <w:nsid w:val="51D9C564"/>
    <w:multiLevelType w:val="hybridMultilevel"/>
    <w:lvl w:ilvl="0">
      <w:lvlJc w:val="left"/>
      <w:lvlText w:val="(%1)"/>
      <w:numFmt w:val="lowerLetter"/>
      <w:start w:val="16"/>
    </w:lvl>
  </w:abstractNum>
  <w:abstractNum w:abstractNumId="64">
    <w:nsid w:val="613EFDC5"/>
    <w:multiLevelType w:val="hybridMultilevel"/>
    <w:lvl w:ilvl="0">
      <w:lvlJc w:val="left"/>
      <w:lvlText w:val="(%1)"/>
      <w:numFmt w:val="lowerLetter"/>
      <w:start w:val="19"/>
    </w:lvl>
  </w:abstractNum>
  <w:abstractNum w:abstractNumId="65">
    <w:nsid w:val="BF72B14"/>
    <w:multiLevelType w:val="hybridMultilevel"/>
    <w:lvl w:ilvl="0">
      <w:lvlJc w:val="left"/>
      <w:lvlText w:val="(%1)"/>
      <w:numFmt w:val="lowerLetter"/>
      <w:start w:val="22"/>
    </w:lvl>
  </w:abstractNum>
  <w:abstractNum w:abstractNumId="66">
    <w:nsid w:val="11447B73"/>
    <w:multiLevelType w:val="hybridMultilevel"/>
    <w:lvl w:ilvl="0">
      <w:lvlJc w:val="left"/>
      <w:lvlText w:val="(%1)"/>
      <w:numFmt w:val="lowerLetter"/>
      <w:start w:val="26"/>
    </w:lvl>
  </w:abstractNum>
  <w:abstractNum w:abstractNumId="67">
    <w:nsid w:val="42963E5A"/>
    <w:multiLevelType w:val="hybridMultilevel"/>
    <w:lvl w:ilvl="0">
      <w:lvlJc w:val="left"/>
      <w:lvlText w:val="%1"/>
      <w:numFmt w:val="lowerLetter"/>
      <w:start w:val="1"/>
    </w:lvl>
    <w:lvl w:ilvl="1">
      <w:lvlJc w:val="left"/>
      <w:lvlText w:val="(%2)"/>
      <w:numFmt w:val="lowerLetter"/>
      <w:start w:val="27"/>
    </w:lvl>
  </w:abstractNum>
  <w:abstractNum w:abstractNumId="68">
    <w:nsid w:val="A0382C5"/>
    <w:multiLevelType w:val="hybridMultilevel"/>
    <w:lvl w:ilvl="0">
      <w:lvlJc w:val="left"/>
      <w:lvlText w:val="(%1)"/>
      <w:numFmt w:val="lowerLetter"/>
      <w:start w:val="35"/>
    </w:lvl>
    <w:lvl w:ilvl="1">
      <w:lvlJc w:val="left"/>
      <w:lvlText w:val="%2"/>
      <w:numFmt w:val="lowerLetter"/>
      <w:start w:val="1"/>
    </w:lvl>
  </w:abstractNum>
  <w:abstractNum w:abstractNumId="69">
    <w:nsid w:val="8F2B15E"/>
    <w:multiLevelType w:val="hybridMultilevel"/>
    <w:lvl w:ilvl="0">
      <w:lvlJc w:val="left"/>
      <w:lvlText w:val="(%1)"/>
      <w:numFmt w:val="lowerLetter"/>
      <w:start w:val="28"/>
    </w:lvl>
  </w:abstractNum>
  <w:abstractNum w:abstractNumId="70">
    <w:nsid w:val="1A32234B"/>
    <w:multiLevelType w:val="hybridMultilevel"/>
    <w:lvl w:ilvl="0">
      <w:lvlJc w:val="left"/>
      <w:lvlText w:val="%1"/>
      <w:numFmt w:val="lowerLetter"/>
      <w:start w:val="1"/>
    </w:lvl>
    <w:lvl w:ilvl="1">
      <w:lvlJc w:val="left"/>
      <w:lvlText w:val="(%2)"/>
      <w:numFmt w:val="lowerLetter"/>
      <w:start w:val="32"/>
    </w:lvl>
  </w:abstractNum>
  <w:abstractNum w:abstractNumId="71">
    <w:nsid w:val="3B0FD379"/>
    <w:multiLevelType w:val="hybridMultilevel"/>
    <w:lvl w:ilvl="0">
      <w:lvlJc w:val="left"/>
      <w:lvlText w:val="(%1)"/>
      <w:numFmt w:val="lowerLetter"/>
      <w:start w:val="61"/>
    </w:lvl>
    <w:lvl w:ilvl="1">
      <w:lvlJc w:val="left"/>
      <w:lvlText w:val="(%2)"/>
      <w:numFmt w:val="lowerLetter"/>
      <w:start w:val="33"/>
    </w:lvl>
  </w:abstractNum>
  <w:abstractNum w:abstractNumId="72">
    <w:nsid w:val="68EB2F63"/>
    <w:multiLevelType w:val="hybridMultilevel"/>
    <w:lvl w:ilvl="0">
      <w:lvlJc w:val="left"/>
      <w:lvlText w:val="(%1)"/>
      <w:numFmt w:val="lowerLetter"/>
      <w:start w:val="35"/>
    </w:lvl>
  </w:abstractNum>
  <w:abstractNum w:abstractNumId="73">
    <w:nsid w:val="4962813B"/>
    <w:multiLevelType w:val="hybridMultilevel"/>
    <w:lvl w:ilvl="0">
      <w:lvlJc w:val="left"/>
      <w:lvlText w:val="(%1)"/>
      <w:numFmt w:val="lowerLetter"/>
      <w:start w:val="39"/>
    </w:lvl>
  </w:abstractNum>
  <w:abstractNum w:abstractNumId="74">
    <w:nsid w:val="60B6DF70"/>
    <w:multiLevelType w:val="hybridMultilevel"/>
    <w:lvl w:ilvl="0">
      <w:lvlJc w:val="left"/>
      <w:lvlText w:val="%1"/>
      <w:numFmt w:val="lowerLetter"/>
      <w:start w:val="1"/>
    </w:lvl>
    <w:lvl w:ilvl="1">
      <w:lvlJc w:val="left"/>
      <w:lvlText w:val="(%2)"/>
      <w:numFmt w:val="lowerLetter"/>
      <w:start w:val="1"/>
    </w:lvl>
  </w:abstractNum>
  <w:abstractNum w:abstractNumId="75">
    <w:nsid w:val="6A5EE64"/>
    <w:multiLevelType w:val="hybridMultilevel"/>
    <w:lvl w:ilvl="0">
      <w:lvlJc w:val="left"/>
      <w:lvlText w:val="(%1)"/>
      <w:numFmt w:val="lowerLetter"/>
      <w:start w:val="2"/>
    </w:lvl>
    <w:lvl w:ilvl="1">
      <w:lvlJc w:val="left"/>
      <w:lvlText w:val="(%2)"/>
      <w:numFmt w:val="lowerLetter"/>
      <w:start w:val="3"/>
    </w:lvl>
  </w:abstractNum>
  <w:abstractNum w:abstractNumId="76">
    <w:nsid w:val="14330624"/>
    <w:multiLevelType w:val="hybridMultilevel"/>
    <w:lvl w:ilvl="0">
      <w:lvlJc w:val="left"/>
      <w:lvlText w:val="(%1)"/>
      <w:numFmt w:val="lowerLetter"/>
      <w:start w:val="4"/>
    </w:lvl>
  </w:abstractNum>
  <w:abstractNum w:abstractNumId="77">
    <w:nsid w:val="7FFFCA11"/>
    <w:multiLevelType w:val="hybridMultilevel"/>
    <w:lvl w:ilvl="0">
      <w:lvlJc w:val="left"/>
      <w:lvlText w:val="(%1)"/>
      <w:numFmt w:val="lowerLetter"/>
      <w:start w:val="7"/>
    </w:lvl>
  </w:abstractNum>
  <w:abstractNum w:abstractNumId="78">
    <w:nsid w:val="1A27709E"/>
    <w:multiLevelType w:val="hybridMultilevel"/>
    <w:lvl w:ilvl="0">
      <w:lvlJc w:val="left"/>
      <w:lvlText w:val="(%1)"/>
      <w:numFmt w:val="lowerLetter"/>
      <w:start w:val="1"/>
    </w:lvl>
  </w:abstractNum>
  <w:abstractNum w:abstractNumId="79">
    <w:nsid w:val="71EA1109"/>
    <w:multiLevelType w:val="hybridMultilevel"/>
    <w:lvl w:ilvl="0">
      <w:lvlJc w:val="left"/>
      <w:lvlText w:val="%1"/>
      <w:numFmt w:val="lowerRoman"/>
      <w:start w:val="1"/>
    </w:lvl>
    <w:lvl w:ilvl="1">
      <w:lvlJc w:val="left"/>
      <w:lvlText w:val="(%2)"/>
      <w:numFmt w:val="lowerLetter"/>
      <w:start w:val="3"/>
    </w:lvl>
  </w:abstractNum>
  <w:abstractNum w:abstractNumId="80">
    <w:nsid w:val="100F59DC"/>
    <w:multiLevelType w:val="hybridMultilevel"/>
    <w:lvl w:ilvl="0">
      <w:lvlJc w:val="left"/>
      <w:lvlText w:val="(%1)"/>
      <w:numFmt w:val="lowerRoman"/>
      <w:start w:val="4"/>
    </w:lvl>
    <w:lvl w:ilvl="1">
      <w:lvlJc w:val="left"/>
      <w:lvlText w:val="%2"/>
      <w:numFmt w:val="lowerLetter"/>
      <w:start w:val="1"/>
    </w:lvl>
  </w:abstractNum>
  <w:abstractNum w:abstractNumId="81">
    <w:nsid w:val="7FB7E0AA"/>
    <w:multiLevelType w:val="hybridMultilevel"/>
    <w:lvl w:ilvl="0">
      <w:lvlJc w:val="left"/>
      <w:lvlText w:val="(%1)"/>
      <w:numFmt w:val="lowerLetter"/>
      <w:start w:val="5"/>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lowerLetter"/>
      <w:start w:val="2"/>
    </w:lvl>
  </w:abstractNum>
  <w:abstractNum w:abstractNumId="84">
    <w:nsid w:val="94211F2"/>
    <w:multiLevelType w:val="hybridMultilevel"/>
    <w:lvl w:ilvl="0">
      <w:lvlJc w:val="left"/>
      <w:lvlText w:val="(%1)"/>
      <w:numFmt w:val="lowerLetter"/>
      <w:start w:val="4"/>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jpeg"/><Relationship Id="rId112" Type="http://schemas.openxmlformats.org/officeDocument/2006/relationships/image" Target="media/image104.png"/><Relationship Id="rId113" Type="http://schemas.openxmlformats.org/officeDocument/2006/relationships/image" Target="media/image105.png"/><Relationship Id="rId14" Type="http://schemas.openxmlformats.org/officeDocument/2006/relationships/hyperlink" Target="http://www.sec.gov/Archives/edgar/data/883975/00014931521900067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2019-12-28T17:02:05Z</dcterms:created>
  <dcterms:modified xsi:type="dcterms:W3CDTF">2019-12-28T17:02:05Z</dcterms:modified>
</cp:coreProperties>
</file>