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July 8, 2024, the closing price of our common stock was $1.08.</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16" w:lineRule="auto"/>
        <w:rPr>
          <w:sz w:val="20"/>
          <w:szCs w:val="20"/>
          <w:color w:val="auto"/>
        </w:rPr>
      </w:pPr>
      <w:r>
        <w:rPr>
          <w:rFonts w:ascii="Times New Roman" w:cs="Times New Roman" w:eastAsia="Times New Roman" w:hAnsi="Times New Roman"/>
          <w:sz w:val="18"/>
          <w:szCs w:val="18"/>
          <w:color w:val="auto"/>
        </w:rPr>
        <w:t>The Company completed the first procedure in a patient utilizing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at Baptist Hospital of Miami, which includes Miami Cardiac &amp; Vascular Institute and Miami Cancer Institute. The procedure took place as part of the Company’s pivotal human clinical</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trial, which is part of the Investigational Device Exemption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the Company expects its results will support the future submission to the FDA and subsequent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2024-07-09T16:35:07Z</dcterms:created>
  <dcterms:modified xsi:type="dcterms:W3CDTF">2024-07-09T16:35:07Z</dcterms:modified>
</cp:coreProperties>
</file>