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(Former Name or Former Address, if Changed Since Last Report)</w:t>
            </w:r>
          </w:p>
        </w:tc>
        <w:tc>
          <w:tcPr>
            <w:tcW w:w="276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00" w:type="dxa"/>
            <w:vAlign w:val="bottom"/>
          </w:tcPr>
          <w:p>
            <w:pPr>
              <w:spacing w:after="0"/>
              <w:rPr>
                <w:sz w:val="22"/>
                <w:szCs w:val="22"/>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18, 2023, Microbot Medical Inc. (the “Company”) issued a press release announcing its Core Business Focus Program and cost restructuring plan to continue enhancing the focus on its core LIBERTY technology while maximizing available resources to support it. This includes the focus on completing the validation and verification process and completing the planned first- in- human (FIH) clinical cases with its LIBERTY Robotic Surgical System, both expected during the second half of 2023.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Core Business Focus Program, and to maximize available resources, the Company will eliminate non-core technology expenses by terminating agreements relating to the TipCat, ViRob and CardioSert technologies. In addition, it executed several cost reduction initiatives to reduce expenses that are not directly supporting the Company’s core technology, including reduction in positions not directly supporting the core LIBERTY technology and compensation reductions or restructurings for its leadership team and certain advisors.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information about the Company’s Core Business Focus Program and cost restructuring plan, as well as other information about the Company’s results of operations and financial condition, can be found in its Quarterly Report on Form 10-Q for the fiscal quarter ended March 31, 2023, filed with the Securities and Exchange Commission on May 17,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7660" w:type="dxa"/>
            <w:vAlign w:val="bottom"/>
            <w:shd w:val="clear" w:color="auto" w:fill="000000"/>
          </w:tcPr>
          <w:p>
            <w:pPr>
              <w:spacing w:after="0"/>
              <w:rPr>
                <w:sz w:val="2"/>
                <w:szCs w:val="2"/>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Press Release dated May 18, 2023</w:t>
            </w:r>
          </w:p>
        </w:tc>
        <w:tc>
          <w:tcPr>
            <w:tcW w:w="76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to Enhance Focus on its Core Business and Prioritize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Preparations for Regulatory and First in Human Clinical Cases</w:t>
      </w:r>
    </w:p>
    <w:p>
      <w:pPr>
        <w:spacing w:after="0" w:line="211"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Company will enable focus on its LIBERTY technology through the introduction of the Core Business Focus Program coupled with cost restructuring to support it</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HINGHAM, Mass., May 18, 2023 </w:t>
      </w:r>
      <w:r>
        <w:rPr>
          <w:rFonts w:ascii="Arial" w:cs="Arial" w:eastAsia="Arial" w:hAnsi="Arial"/>
          <w:sz w:val="16"/>
          <w:szCs w:val="16"/>
          <w:color w:val="auto"/>
        </w:rPr>
        <w:t>– Microbot Medical Inc. (Nasdaq: MBOT), the developer of the LIBERTY</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Robotic Surgical System, the first single-use endovascular robotic system, today announced its Core Business Focus Program and cost restructuring plan to continue enhancing the focus on its core technology while maximizing available resources to support it. This includes the focus on completing the validation and verification process and completing the planned first- in- human (FIH) clinical cases with its LIBERTY Robotic Surgical System, both expected during the second half of 2023.</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Core Business Focus Program, and to maximize available resources, the Company will eliminate non-core technology expenses by terminating agreements relating to the TipCat, ViRob and CardioSert technologies. In addition, it executed several cost reduction initiatives to reduce expenses that are not directly supporting the Company’s core technology, including reduction in positions not directly supporting the core LIBERTY technology and compensation reductions or restructurings for its leadership team and certain advisors.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information about the Company’s Core Business Focus Program and cost restructuring plan, as well as other information about the Company’s results of operations and financial condition, can be found in its Quarterly Report on Form 10-Q for the fiscal quarter ended March 31, 2023, filed with the Securities and Exchange Commission on May 17,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2023-05-18T08:38:03Z</dcterms:created>
  <dcterms:modified xsi:type="dcterms:W3CDTF">2023-05-18T08:38:03Z</dcterms:modified>
</cp:coreProperties>
</file>