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9"/>
        <w:spacing w:after="0"/>
        <w:rPr>
          <w:sz w:val="20"/>
          <w:szCs w:val="20"/>
          <w:color w:val="auto"/>
        </w:rPr>
      </w:pPr>
      <w:r>
        <w:rPr>
          <w:rFonts w:ascii="Courier New" w:cs="Courier New" w:eastAsia="Courier New" w:hAnsi="Courier New"/>
          <w:sz w:val="15"/>
          <w:szCs w:val="15"/>
          <w:color w:val="auto"/>
        </w:rPr>
        <w:t>AS FILED WITH THE SECURITIES AND EXCHANGE COMMISSION ON JUNE 29, 2001</w:t>
      </w:r>
    </w:p>
    <w:p>
      <w:pPr>
        <w:spacing w:after="0" w:line="200" w:lineRule="exact"/>
        <w:rPr>
          <w:sz w:val="24"/>
          <w:szCs w:val="24"/>
          <w:color w:val="auto"/>
        </w:rPr>
      </w:pPr>
    </w:p>
    <w:p>
      <w:pPr>
        <w:spacing w:after="0" w:line="313" w:lineRule="exact"/>
        <w:rPr>
          <w:sz w:val="24"/>
          <w:szCs w:val="24"/>
          <w:color w:val="auto"/>
        </w:rPr>
      </w:pPr>
    </w:p>
    <w:p>
      <w:pPr>
        <w:ind w:left="4789"/>
        <w:spacing w:after="0"/>
        <w:rPr>
          <w:sz w:val="20"/>
          <w:szCs w:val="20"/>
          <w:color w:val="auto"/>
        </w:rPr>
      </w:pPr>
      <w:r>
        <w:rPr>
          <w:rFonts w:ascii="Courier New" w:cs="Courier New" w:eastAsia="Courier New" w:hAnsi="Courier New"/>
          <w:sz w:val="15"/>
          <w:szCs w:val="15"/>
          <w:color w:val="auto"/>
        </w:rPr>
        <w:t>REGISTRATION NO. 333-61726</w:t>
      </w:r>
    </w:p>
    <w:p>
      <w:pPr>
        <w:spacing w:after="0" w:line="174"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1329"/>
        <w:spacing w:after="0"/>
        <w:rPr>
          <w:sz w:val="20"/>
          <w:szCs w:val="20"/>
          <w:color w:val="auto"/>
        </w:rPr>
      </w:pPr>
      <w:r>
        <w:rPr>
          <w:rFonts w:ascii="Courier New" w:cs="Courier New" w:eastAsia="Courier New" w:hAnsi="Courier New"/>
          <w:sz w:val="15"/>
          <w:szCs w:val="15"/>
          <w:color w:val="auto"/>
        </w:rPr>
        <w:t>PRE-EFFECTIVE AMENDMENT NO. 1 AMENDING FORM S-1 TO</w:t>
      </w:r>
    </w:p>
    <w:p>
      <w:pPr>
        <w:spacing w:after="0" w:line="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FORM S-3</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ind w:left="3289"/>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THE SECURITIES ACT OF 1933</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3"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1">
            <w:col w:w="11269"/>
          </w:cols>
          <w:pgMar w:left="231" w:top="571" w:right="399" w:bottom="0" w:gutter="0" w:footer="0" w:header="0"/>
        </w:sectPr>
      </w:pPr>
    </w:p>
    <w:p>
      <w:pPr>
        <w:spacing w:after="0" w:line="3" w:lineRule="exact"/>
        <w:rPr>
          <w:sz w:val="24"/>
          <w:szCs w:val="24"/>
          <w:color w:val="auto"/>
        </w:rPr>
      </w:pPr>
    </w:p>
    <w:p>
      <w:pPr>
        <w:ind w:left="529" w:hanging="354"/>
        <w:spacing w:after="0" w:line="264"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080"/>
        <w:spacing w:after="0"/>
        <w:rPr>
          <w:sz w:val="20"/>
          <w:szCs w:val="20"/>
          <w:color w:val="auto"/>
        </w:rPr>
      </w:pPr>
      <w:r>
        <w:rPr>
          <w:rFonts w:ascii="Courier New" w:cs="Courier New" w:eastAsia="Courier New" w:hAnsi="Courier New"/>
          <w:sz w:val="15"/>
          <w:szCs w:val="15"/>
          <w:color w:val="auto"/>
        </w:rPr>
        <w:t>2836</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94-3078125</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23" w:lineRule="exact"/>
        <w:rPr>
          <w:sz w:val="24"/>
          <w:szCs w:val="24"/>
          <w:color w:val="auto"/>
        </w:rPr>
      </w:pPr>
    </w:p>
    <w:p>
      <w:pPr>
        <w:sectPr>
          <w:pgSz w:w="11900" w:h="16838" w:orient="portrait"/>
          <w:cols w:equalWidth="0" w:num="3">
            <w:col w:w="2669" w:space="520"/>
            <w:col w:w="2660" w:space="720"/>
            <w:col w:w="4700"/>
          </w:cols>
          <w:pgMar w:left="231" w:top="571" w:right="399" w:bottom="0" w:gutter="0" w:footer="0" w:header="0"/>
          <w:type w:val="continuous"/>
        </w:sectPr>
      </w:pPr>
    </w:p>
    <w:p>
      <w:pPr>
        <w:spacing w:after="0" w:line="127"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PALO ALTO, CA 94304</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(650) 475-3100</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IRIS BREST, ESQ.</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ind w:left="2749"/>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PALO ALTO, CA 94304</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(650) 475-3100</w:t>
      </w:r>
    </w:p>
    <w:p>
      <w:pPr>
        <w:spacing w:after="0" w:line="3" w:lineRule="exact"/>
        <w:rPr>
          <w:sz w:val="24"/>
          <w:szCs w:val="24"/>
          <w:color w:val="auto"/>
        </w:rPr>
      </w:pPr>
    </w:p>
    <w:p>
      <w:pPr>
        <w:jc w:val="center"/>
        <w:ind w:right="4171"/>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9"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of agent for service)</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COPIES TO:</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GEOFFREY B. DAVIS, ESQ.</w:t>
      </w:r>
    </w:p>
    <w:p>
      <w:pPr>
        <w:spacing w:after="0" w:line="1" w:lineRule="exact"/>
        <w:rPr>
          <w:sz w:val="24"/>
          <w:szCs w:val="24"/>
          <w:color w:val="auto"/>
        </w:rPr>
      </w:pPr>
    </w:p>
    <w:p>
      <w:pPr>
        <w:jc w:val="center"/>
        <w:ind w:right="4171"/>
        <w:spacing w:after="0"/>
        <w:rPr>
          <w:sz w:val="20"/>
          <w:szCs w:val="20"/>
          <w:color w:val="auto"/>
        </w:rPr>
      </w:pPr>
      <w:r>
        <w:rPr>
          <w:rFonts w:ascii="Courier New" w:cs="Courier New" w:eastAsia="Courier New" w:hAnsi="Courier New"/>
          <w:sz w:val="15"/>
          <w:szCs w:val="15"/>
          <w:color w:val="auto"/>
        </w:rPr>
        <w:t>Ropes &amp; Gray</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One International Place</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Boston, Massachusetts 02110</w:t>
      </w:r>
    </w:p>
    <w:p>
      <w:pPr>
        <w:spacing w:after="0" w:line="1" w:lineRule="exact"/>
        <w:rPr>
          <w:sz w:val="24"/>
          <w:szCs w:val="24"/>
          <w:color w:val="auto"/>
        </w:rPr>
      </w:pPr>
    </w:p>
    <w:p>
      <w:pPr>
        <w:ind w:left="3469" w:hanging="540"/>
        <w:spacing w:after="0"/>
        <w:tabs>
          <w:tab w:leader="none" w:pos="346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951-7000</w:t>
      </w:r>
    </w:p>
    <w:p>
      <w:pPr>
        <w:ind w:left="3189" w:hanging="527"/>
        <w:spacing w:after="0"/>
        <w:tabs>
          <w:tab w:leader="none" w:pos="31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951-7050 (fax)</w:t>
      </w:r>
    </w:p>
    <w:p>
      <w:pPr>
        <w:ind w:left="23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4620"/>
        <w:spacing w:after="0" w:line="238"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5" w:lineRule="exact"/>
        <w:rPr>
          <w:sz w:val="24"/>
          <w:szCs w:val="24"/>
          <w:color w:val="auto"/>
        </w:rPr>
      </w:pPr>
    </w:p>
    <w:p>
      <w:pPr>
        <w:ind w:left="9" w:right="4260" w:firstLine="355"/>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175" w:lineRule="exact"/>
        <w:rPr>
          <w:sz w:val="24"/>
          <w:szCs w:val="24"/>
          <w:color w:val="auto"/>
        </w:rPr>
      </w:pPr>
    </w:p>
    <w:p>
      <w:pPr>
        <w:ind w:left="9" w:right="4340" w:firstLine="355"/>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9" w:right="4440"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9" w:right="4440"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9" w:right="4340" w:firstLine="355"/>
        <w:spacing w:after="0" w:line="238"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1269"/>
          </w:cols>
          <w:pgMar w:left="231" w:top="571"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1249" w:right="260" w:hanging="798"/>
        <w:spacing w:after="0" w:line="271"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AMOUNT TO BE</w:t>
      </w:r>
    </w:p>
    <w:p>
      <w:pPr>
        <w:spacing w:after="0" w:line="9"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PROPOSED MAXIMUM</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OFFERING PRICE PER</w:t>
      </w:r>
    </w:p>
    <w:p>
      <w:pPr>
        <w:spacing w:after="0" w:line="9"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PROPOSED MAXIMUM</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AGGREGATE OFFERING</w:t>
      </w:r>
    </w:p>
    <w:p>
      <w:pPr>
        <w:spacing w:after="0" w:line="9"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PRICE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AMOUNT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w:t>
      </w:r>
    </w:p>
    <w:p>
      <w:pPr>
        <w:sectPr>
          <w:pgSz w:w="11900" w:h="16838" w:orient="portrait"/>
          <w:cols w:equalWidth="0" w:num="5">
            <w:col w:w="3629" w:space="720"/>
            <w:col w:w="1060" w:space="540"/>
            <w:col w:w="1600" w:space="260"/>
            <w:col w:w="1600" w:space="440"/>
            <w:col w:w="1420"/>
          </w:cols>
          <w:pgMar w:left="231" w:top="571" w:right="399" w:bottom="0" w:gutter="0" w:footer="0" w:header="0"/>
          <w:type w:val="continuous"/>
        </w:sectPr>
      </w:pPr>
    </w:p>
    <w:bookmarkStart w:id="1" w:name="page2"/>
    <w:bookmarkEnd w:id="1"/>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Common</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8"/>
              </w:rPr>
              <w:t>Stock, par value $.01</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per</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2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up to 10,000,000(1)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Common</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8"/>
              </w:rPr>
              <w:t>Stock, par value $.01</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per</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share(4)...</w:t>
            </w:r>
          </w:p>
        </w:tc>
        <w:tc>
          <w:tcPr>
            <w:tcW w:w="2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$3.15(5)</w:t>
            </w:r>
          </w:p>
        </w:tc>
      </w:tr>
      <w:tr>
        <w:trPr>
          <w:trHeight w:val="171"/>
        </w:trPr>
        <w:tc>
          <w:tcPr>
            <w:tcW w:w="2880" w:type="dxa"/>
            <w:vAlign w:val="bottom"/>
            <w:gridSpan w:val="3"/>
          </w:tcPr>
          <w:p>
            <w:pPr>
              <w:jc w:val="center"/>
              <w:ind w:left="86"/>
              <w:spacing w:after="0"/>
              <w:rPr>
                <w:sz w:val="20"/>
                <w:szCs w:val="20"/>
                <w:color w:val="auto"/>
              </w:rPr>
            </w:pPr>
            <w:r>
              <w:rPr>
                <w:rFonts w:ascii="Courier New" w:cs="Courier New" w:eastAsia="Courier New" w:hAnsi="Courier New"/>
                <w:sz w:val="15"/>
                <w:szCs w:val="15"/>
                <w:color w:val="auto"/>
                <w:w w:val="71"/>
              </w:rPr>
              <w:t>Total:....................................</w:t>
            </w:r>
          </w:p>
        </w:tc>
        <w:tc>
          <w:tcPr>
            <w:tcW w:w="1100" w:type="dxa"/>
            <w:vAlign w:val="bottom"/>
          </w:tcPr>
          <w:p>
            <w:pPr>
              <w:spacing w:after="0"/>
              <w:rPr>
                <w:sz w:val="14"/>
                <w:szCs w:val="14"/>
                <w:color w:val="auto"/>
              </w:rPr>
            </w:pPr>
          </w:p>
        </w:tc>
        <w:tc>
          <w:tcPr>
            <w:tcW w:w="2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10,350,000</w:t>
            </w:r>
          </w:p>
        </w:tc>
        <w:tc>
          <w:tcPr>
            <w:tcW w:w="1020" w:type="dxa"/>
            <w:vAlign w:val="bottom"/>
          </w:tcPr>
          <w:p>
            <w:pPr>
              <w:spacing w:after="0"/>
              <w:rPr>
                <w:sz w:val="14"/>
                <w:szCs w:val="14"/>
                <w:color w:val="auto"/>
              </w:rPr>
            </w:pPr>
          </w:p>
        </w:tc>
      </w:tr>
    </w:tbl>
    <w:p>
      <w:pPr>
        <w:spacing w:after="0" w:line="200" w:lineRule="exact"/>
        <w:rPr>
          <w:sz w:val="20"/>
          <w:szCs w:val="20"/>
          <w:color w:val="auto"/>
        </w:rPr>
      </w:pPr>
    </w:p>
    <w:p>
      <w:pPr>
        <w:spacing w:after="0" w:line="315" w:lineRule="exact"/>
        <w:rPr>
          <w:sz w:val="20"/>
          <w:szCs w:val="20"/>
          <w:color w:val="auto"/>
        </w:rPr>
      </w:pPr>
    </w:p>
    <w:p>
      <w:pPr>
        <w:ind w:left="349" w:right="1060" w:hanging="349"/>
        <w:spacing w:after="0" w:line="238"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457(o) of the Securities Act of 1933.</w:t>
      </w:r>
    </w:p>
    <w:p>
      <w:pPr>
        <w:spacing w:after="0" w:line="174" w:lineRule="exact"/>
        <w:rPr>
          <w:rFonts w:ascii="Courier New" w:cs="Courier New" w:eastAsia="Courier New" w:hAnsi="Courier New"/>
          <w:sz w:val="15"/>
          <w:szCs w:val="15"/>
          <w:color w:val="auto"/>
        </w:rPr>
      </w:pPr>
    </w:p>
    <w:p>
      <w:pPr>
        <w:ind w:left="349" w:right="340"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per share will vary based on the volume-weighted average daily price of the Company's common stock during the drawdown periods described in this registration statement.</w:t>
      </w:r>
    </w:p>
    <w:p>
      <w:pPr>
        <w:spacing w:after="0" w:line="175" w:lineRule="exact"/>
        <w:rPr>
          <w:rFonts w:ascii="Courier New" w:cs="Courier New" w:eastAsia="Courier New" w:hAnsi="Courier New"/>
          <w:sz w:val="15"/>
          <w:szCs w:val="15"/>
          <w:color w:val="auto"/>
        </w:rPr>
      </w:pPr>
    </w:p>
    <w:p>
      <w:pPr>
        <w:ind w:left="349" w:right="440" w:hanging="349"/>
        <w:spacing w:after="0" w:line="261" w:lineRule="auto"/>
        <w:tabs>
          <w:tab w:leader="none" w:pos="3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represents the maximum fair market value of shares sold to Sativum Investments Limited under the common stock purchase agreement. The maximum net proceeds the Company can receive is $30,000,000 less an aggregate cash placement fee of 3% of net proceeds payable to its placement agents Pacific Crest Securities, Inc. and Granite Financial Group, Inc.</w:t>
      </w:r>
    </w:p>
    <w:p>
      <w:pPr>
        <w:spacing w:after="0" w:line="161" w:lineRule="exact"/>
        <w:rPr>
          <w:rFonts w:ascii="Courier New" w:cs="Courier New" w:eastAsia="Courier New" w:hAnsi="Courier New"/>
          <w:sz w:val="14"/>
          <w:szCs w:val="14"/>
          <w:color w:val="auto"/>
        </w:rPr>
      </w:pPr>
    </w:p>
    <w:p>
      <w:pPr>
        <w:ind w:left="349" w:right="620" w:hanging="349"/>
        <w:spacing w:after="0" w:line="271" w:lineRule="auto"/>
        <w:tabs>
          <w:tab w:leader="none" w:pos="3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Issuable upon exercise of the warrants issued to Sativum Investments Limited, Pacific Crest Securities, Inc. and Granite Financial Group, Inc.</w:t>
      </w:r>
    </w:p>
    <w:p>
      <w:pPr>
        <w:spacing w:after="0" w:line="153" w:lineRule="exact"/>
        <w:rPr>
          <w:rFonts w:ascii="Courier New" w:cs="Courier New" w:eastAsia="Courier New" w:hAnsi="Courier New"/>
          <w:sz w:val="14"/>
          <w:szCs w:val="14"/>
          <w:color w:val="auto"/>
        </w:rPr>
      </w:pPr>
    </w:p>
    <w:p>
      <w:pPr>
        <w:ind w:left="349" w:right="440"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of the Securities Act of 1933, based on the average of the high and low prices as reported on the Nasdaq National Market on May 18, 2001.</w:t>
      </w:r>
    </w:p>
    <w:p>
      <w:pPr>
        <w:spacing w:after="0" w:line="344"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May 25, 2001</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40" w:firstLine="355"/>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6"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31,914,894(3)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7,979</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1,102,500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276</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626"/>
              <w:spacing w:after="0"/>
              <w:rPr>
                <w:sz w:val="20"/>
                <w:szCs w:val="20"/>
                <w:color w:val="auto"/>
              </w:rPr>
            </w:pPr>
            <w:r>
              <w:rPr>
                <w:rFonts w:ascii="Courier New" w:cs="Courier New" w:eastAsia="Courier New" w:hAnsi="Courier New"/>
                <w:sz w:val="15"/>
                <w:szCs w:val="15"/>
                <w:color w:val="auto"/>
                <w:w w:val="97"/>
              </w:rPr>
              <w:t>33,017,394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8,255(6)</w:t>
            </w:r>
          </w:p>
        </w:tc>
      </w:tr>
    </w:tbl>
    <w:p>
      <w:pPr>
        <w:sectPr>
          <w:pgSz w:w="11900" w:h="16838" w:orient="portrait"/>
          <w:cols w:equalWidth="0" w:num="2">
            <w:col w:w="7449" w:space="720"/>
            <w:col w:w="2920"/>
          </w:cols>
          <w:pgMar w:left="231" w:top="309" w:right="579" w:bottom="1440" w:gutter="0" w:footer="0" w:header="0"/>
        </w:sectPr>
      </w:pPr>
    </w:p>
    <w:bookmarkStart w:id="2" w:name="page3"/>
    <w:bookmarkEnd w:id="2"/>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10,350,000 SHARES OF COMMON STOCK</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prospectus relates to up to 10,000,000 shares of common stock that may be issued from time to time at our discretion pursuant to a common stock purchase agreement with Sativum Investments Limited, a British Virgin Islands corporation, and 350,000 shares of common stock issuable upon the exercise of warrants issued to Sativum, Pacific Crest Securities, Inc. and Granite Financial Group, Inc. in connection with the common stock purchase agreement. See "Common Stock Purchase Agreement" beginning on page 54.</w:t>
      </w:r>
    </w:p>
    <w:p>
      <w:pPr>
        <w:spacing w:after="0" w:line="200" w:lineRule="exact"/>
        <w:rPr>
          <w:sz w:val="20"/>
          <w:szCs w:val="20"/>
          <w:color w:val="auto"/>
        </w:rPr>
      </w:pPr>
    </w:p>
    <w:p>
      <w:pPr>
        <w:spacing w:after="0" w:line="317"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will receive the net sale price of any common stock that we sell to Sativum pursuant to the common stock purchase agreement or that we issue upon the exercise of the warrants by Sativum, Pacific Crest or Granite. Sativum, Pacific Crest and Granite may resell those shares pursuant to this prospectus. The price at which we will sell the shares to Sativum pursuant to the common stock purchase agreement will be equal to 94% of the average of the volume weighted average price of our common stock during the twenty trading days immediately following our request to draw down an investment by Sativum under the common stock purchase agreement.</w:t>
      </w:r>
    </w:p>
    <w:p>
      <w:pPr>
        <w:spacing w:after="0" w:line="348"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Sativum is an "underwriter" within the meaning of the Securities Act of 1933 in connection with its sales.</w:t>
      </w:r>
    </w:p>
    <w:p>
      <w:pPr>
        <w:spacing w:after="0" w:line="346"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Our common stock is listed on the Nasdaq National Market under the symbol "STEM." The last reported sales price for our common stock on the Nasdaq National Market on June 28, 2001 was $4.49 per share.</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 SECURITIES OFFERED HEREBY INVOLVE A HIGH DEGREE OF RISK.</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SEE "RISK FACTORS" BEGINNING ON PAGE 6.</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DATE OF THIS PROSPECTUS IS JULY 2, 2001.</w:t>
      </w:r>
    </w:p>
    <w:p>
      <w:pPr>
        <w:sectPr>
          <w:pgSz w:w="11900" w:h="16838" w:orient="portrait"/>
          <w:cols w:equalWidth="0" w:num="1">
            <w:col w:w="10219"/>
          </w:cols>
          <w:pgMar w:left="240" w:top="628" w:right="1440" w:bottom="1440" w:gutter="0" w:footer="0" w:header="0"/>
        </w:sectPr>
      </w:pPr>
    </w:p>
    <w:bookmarkStart w:id="3" w:name="page4"/>
    <w:bookmarkEnd w:id="3"/>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tabs>
          <w:tab w:leader="dot" w:pos="406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spacing w:after="0"/>
        <w:tabs>
          <w:tab w:leader="dot" w:pos="40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6</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Industry and Market Data</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Price Range of Common Stock</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1" w:lineRule="exact"/>
        <w:rPr>
          <w:sz w:val="20"/>
          <w:szCs w:val="20"/>
          <w:color w:val="auto"/>
        </w:rPr>
      </w:pPr>
    </w:p>
    <w:p>
      <w:pPr>
        <w:ind w:left="160"/>
        <w:spacing w:after="0"/>
        <w:tabs>
          <w:tab w:leader="dot" w:pos="396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Related Party Transactions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Principal Stockholders</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Common Stock Purchase Agreement</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Drawdown Procedure and the Stock</w:t>
      </w:r>
    </w:p>
    <w:p>
      <w:pPr>
        <w:spacing w:after="0" w:line="1" w:lineRule="exact"/>
        <w:rPr>
          <w:sz w:val="20"/>
          <w:szCs w:val="20"/>
          <w:color w:val="auto"/>
        </w:rPr>
      </w:pPr>
    </w:p>
    <w:p>
      <w:pPr>
        <w:ind w:left="160"/>
        <w:spacing w:after="0"/>
        <w:tabs>
          <w:tab w:leader="dot" w:pos="3960" w:val="left"/>
        </w:tabs>
        <w:rPr>
          <w:sz w:val="20"/>
          <w:szCs w:val="20"/>
          <w:color w:val="auto"/>
        </w:rPr>
      </w:pPr>
      <w:r>
        <w:rPr>
          <w:rFonts w:ascii="Courier New" w:cs="Courier New" w:eastAsia="Courier New" w:hAnsi="Courier New"/>
          <w:sz w:val="15"/>
          <w:szCs w:val="15"/>
          <w:color w:val="auto"/>
        </w:rPr>
        <w:t>Purchases</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Documents by</w:t>
      </w:r>
    </w:p>
    <w:p>
      <w:pPr>
        <w:spacing w:after="0" w:line="1" w:lineRule="exact"/>
        <w:rPr>
          <w:sz w:val="20"/>
          <w:szCs w:val="20"/>
          <w:color w:val="auto"/>
        </w:rPr>
      </w:pPr>
    </w:p>
    <w:p>
      <w:pPr>
        <w:ind w:left="160"/>
        <w:spacing w:after="0"/>
        <w:tabs>
          <w:tab w:leader="dot" w:pos="396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spacing w:after="0"/>
        <w:tabs>
          <w:tab w:leader="dot" w:pos="388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57" w:right="1440" w:bottom="1440" w:gutter="0" w:footer="0" w:header="0"/>
        </w:sectPr>
      </w:pPr>
    </w:p>
    <w:bookmarkStart w:id="4" w:name="page5"/>
    <w:bookmarkEnd w:id="4"/>
    <w:p>
      <w:pPr>
        <w:jc w:val="center"/>
        <w:ind w:right="3119"/>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are engaged in research and development efforts focused on the identification, isolation and expansion of stem cells as the underlying technology for developing potential cell transplant therapies. Stem cells are key cells in the body that produce all of the functional mature cell types found in normal, healthy individuals. Our goal is to develop therapies that will use stem cells to repopulate or repair tissues, such as those of the brain, pancreas or liver, that have been damaged or lost as a result of disease or injury. All of our programs are currently at the discovery or pre-clinical stage.</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pancreas and the liver by identifying novel markers on the surface of cells so they can be isolated and tested to determine whether they are stem cells.</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established our intellectual property position with respect to stem cell therapies for each of these three areas--the central nervous system, the pancreas and the liver--by patenting or seeking patent protection for our discoveries and by entering into exclusive licensing arrangements. Our portfolio of issued patents includes a method of culturing normal human neural stem cells in our proprietary medium, and our published studies show that our cultured and expanded cells give rise to all three major cell types of the central nervous system. In addition, the Company recently announced the results of a new study that showed that human brain stem cells can be successfully isolated with the use of markers present on the surface of freshly obtained brain cells. We believe this is the first reproducible process for isolating highly purified populations of well-characterized normal human neural stem cells, and we have applied for a composition of matter patent. We also have filed an improved process patent for the growth and expansion of these purified normal human neural cells.</w:t>
      </w:r>
    </w:p>
    <w:p>
      <w:pPr>
        <w:spacing w:after="0" w:line="182"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Historical Note: We were formerly known as CytoTherapeutics and were incorporated in Delaware in 1988. We currently have one subsidiary, StemCells California, Inc., a California corporation we acquired in September 1997. Until mid-1999, we had programs in a different technology, encapsulated cell therapy, as well as stem cell programs. In 1999, we embarked on a major restructuring of our research and development operations and sold the encapsulated cell therapy technology. We now focus exclusively on the discovery, development and commercialization of our proprietary platform of stem cell technologies.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7" w:right="1440" w:bottom="1440" w:gutter="0" w:footer="0" w:header="0"/>
        </w:sectPr>
      </w:pPr>
    </w:p>
    <w:bookmarkStart w:id="5" w:name="page6"/>
    <w:bookmarkEnd w:id="5"/>
    <w:p>
      <w:pPr>
        <w:ind w:left="2660"/>
        <w:spacing w:after="0"/>
        <w:rPr>
          <w:sz w:val="20"/>
          <w:szCs w:val="20"/>
          <w:color w:val="auto"/>
        </w:rPr>
      </w:pPr>
      <w:r>
        <w:rPr>
          <w:rFonts w:ascii="Courier New" w:cs="Courier New" w:eastAsia="Courier New" w:hAnsi="Courier New"/>
          <w:sz w:val="15"/>
          <w:szCs w:val="15"/>
          <w:color w:val="auto"/>
        </w:rPr>
        <w:t>RECENT DEVELOPMENTS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MODEX SHARES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On April 30, 2001, we sold 103,577 shares in Modex Therapeutics, Ltd.,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Swiss biotherapeutics company, for a net price of 87.30 Swiss Francs per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converts to approximately $50.30, for total proceeds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$5,200,000, net of commissions and fees. We no longer hold any shares of Modex.</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"Business--Corporate Collaboration."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PURCHASE AGREEMENT RELATING TO EQUITY LINE</w:t>
      </w:r>
    </w:p>
    <w:p>
      <w:pPr>
        <w:spacing w:after="0" w:line="34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On May 10, 2001, we entered into a common stock purchase agreement with Sativum Investments Limited for the potential future issuance and sale of up to $30,000,000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Our volume weighted average market price is calculated by adding the total dollars traded in every transaction in a given trading day and dividing that number by the total number of shares traded during that trading day. We are limited with respect to how often we can exercise a drawdown and the amount of each drawdown. For more details on the equity line, see "Common Stock Purchase Agreement" elsewhere in this prospectus.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NEW PATENTS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June 7, 2001, we announced the issuance to us of two new patents that further our proprietary position in our neural and pancreatic research programs. The first patent is a process patent that covers a novel method to separate neural stem cells for growth in culture. The second patent covers a unique model useful for identifying stem cells for the pancreas and liver. With these new patents, we now own or have exclusive license to 25 issued U.S. patents in the neural stem cell field, as well as fifteen U.S. applications, including two that have been allowed, and pending foreign counterparts.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SHARES AND WARRANTS TO MILLENNIUM PARTNERS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On June 8, 2001, Millennium Partners, L.P. exercised an option to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 of our common stock. At the closing on June 21, 2001, Millennium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457,750 shares of our common stock at $4.3692 per share. We received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$1,500,000 of the purchase price at the closing on June 21, 2001, and we 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 the remaining $500,000 upon effectiveness of a registration statement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covering the shares purchased by Millennium and issuable upon exercise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received by Millennium. Millennium also received a warrant to purchase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50,352 shares of our common stock at a price per share of $4.7664. This warrant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callable by us at any time at $7.944 per underlying share. In addition,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Millennium received an adjustable warrant similar to the adjustable warrant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to Millennium on August 3, 2000. See "Description of Capital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Stock--Warrants." The registration statement of which this prospectus forms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does not cover the shares purchased by or issuable to Millennium.</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7" w:right="1440" w:bottom="1440" w:gutter="0" w:footer="0" w:header="0"/>
        </w:sectPr>
      </w:pPr>
    </w:p>
    <w:bookmarkStart w:id="6" w:name="page7"/>
    <w:bookmarkEnd w:id="6"/>
    <w:p>
      <w:pPr>
        <w:ind w:left="300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59"/>
        <w:spacing w:after="0" w:line="238" w:lineRule="auto"/>
        <w:rPr>
          <w:sz w:val="20"/>
          <w:szCs w:val="20"/>
          <w:color w:val="auto"/>
        </w:rPr>
      </w:pPr>
      <w:r>
        <w:rPr>
          <w:rFonts w:ascii="Courier New" w:cs="Courier New" w:eastAsia="Courier New" w:hAnsi="Courier New"/>
          <w:sz w:val="15"/>
          <w:szCs w:val="15"/>
          <w:color w:val="auto"/>
        </w:rPr>
        <w:t>Up to 10,350,000 shares of common stock. None of these shares will be offered by us.</w:t>
      </w:r>
    </w:p>
    <w:p>
      <w:pPr>
        <w:spacing w:after="0" w:line="172"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ind w:left="4160"/>
        <w:spacing w:after="0"/>
        <w:rPr>
          <w:sz w:val="20"/>
          <w:szCs w:val="20"/>
          <w:color w:val="auto"/>
        </w:rPr>
      </w:pPr>
      <w:r>
        <w:rPr>
          <w:rFonts w:ascii="Courier New" w:cs="Courier New" w:eastAsia="Courier New" w:hAnsi="Courier New"/>
          <w:sz w:val="15"/>
          <w:szCs w:val="15"/>
          <w:color w:val="auto"/>
        </w:rPr>
        <w:t>Up to 10,000,000 of these shares may be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offered for resale by Sativum Investments</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Limited. We may require Sativum to purchase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up to $30,000,000 of shares of our common</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stock from time to time at our discretion at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a discount to a market-based price at the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time of each sale to Sativum. The number of</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shares sold by us to Sativum and resold by</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this prospectus may be significantly lower</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than 10,000,000 shares. See "Common Stock</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Purchase Agreement and "Risk Factors--Risks</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Related to the Equity Line and Our Financial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Condition."</w:t>
      </w:r>
    </w:p>
    <w:p>
      <w:pPr>
        <w:spacing w:after="0" w:line="17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The remaining 350,000 shares, issuable upon</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the exercise of warrants, may be offered for</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resale by this prospectus by Sativum, Pacific</w:t>
      </w:r>
    </w:p>
    <w:p>
      <w:pPr>
        <w:spacing w:after="0" w:line="9"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Crest Securities Inc., Granite Financial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Group Inc. or their transferees.</w:t>
      </w:r>
    </w:p>
    <w:p>
      <w:pPr>
        <w:sectPr>
          <w:pgSz w:w="11900" w:h="16838" w:orient="portrait"/>
          <w:cols w:equalWidth="0" w:num="1">
            <w:col w:w="10219"/>
          </w:cols>
          <w:pgMar w:left="240" w:top="460" w:right="1440" w:bottom="1440" w:gutter="0" w:footer="0" w:header="0"/>
          <w:type w:val="continuous"/>
        </w:sectPr>
      </w:pPr>
    </w:p>
    <w:p>
      <w:pPr>
        <w:spacing w:after="0" w:line="174" w:lineRule="exact"/>
        <w:rPr>
          <w:sz w:val="20"/>
          <w:szCs w:val="20"/>
          <w:color w:val="auto"/>
        </w:rPr>
      </w:pPr>
    </w:p>
    <w:p>
      <w:pPr>
        <w:spacing w:after="0" w:line="271" w:lineRule="auto"/>
        <w:rPr>
          <w:sz w:val="20"/>
          <w:szCs w:val="20"/>
          <w:color w:val="auto"/>
        </w:rPr>
      </w:pPr>
      <w:r>
        <w:rPr>
          <w:rFonts w:ascii="Courier New" w:cs="Courier New" w:eastAsia="Courier New" w:hAnsi="Courier New"/>
          <w:sz w:val="14"/>
          <w:szCs w:val="14"/>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2059"/>
        <w:spacing w:after="0"/>
        <w:rPr>
          <w:sz w:val="20"/>
          <w:szCs w:val="20"/>
          <w:color w:val="auto"/>
        </w:rPr>
      </w:pPr>
      <w:r>
        <w:rPr>
          <w:rFonts w:ascii="Courier New" w:cs="Courier New" w:eastAsia="Courier New" w:hAnsi="Courier New"/>
          <w:sz w:val="15"/>
          <w:szCs w:val="15"/>
          <w:color w:val="auto"/>
        </w:rPr>
        <w:t>Up to 36,808,211 shares of common stock, assuming that 10,350,000 shares are issued under the common stock purchase agreement and the warrants. We are not permitted to issue more than 3,922,606 shares pursuant to the common stock purchase agreement without stockholder approval, which we have not yet sought or received. In calculating the number of shares of common stock, we did not include 4,133,926 shares issuable upon exercise of options outstanding as of March 31, 2001, warrants or shares issuable upon conversion of our 6% cumulative convertible preferred stock. See "Capitalization."</w:t>
      </w:r>
    </w:p>
    <w:p>
      <w:pPr>
        <w:spacing w:after="0" w:line="181"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2059"/>
        <w:spacing w:after="0"/>
        <w:rPr>
          <w:sz w:val="20"/>
          <w:szCs w:val="20"/>
          <w:color w:val="auto"/>
        </w:rPr>
      </w:pPr>
      <w:r>
        <w:rPr>
          <w:rFonts w:ascii="Courier New" w:cs="Courier New" w:eastAsia="Courier New" w:hAnsi="Courier New"/>
          <w:sz w:val="15"/>
          <w:szCs w:val="15"/>
          <w:color w:val="auto"/>
        </w:rPr>
        <w:t>We will not receive any of the proceeds of the resale of shares by Sativum, Pacific Crest or Granite. We will, however, receive proceeds from sales of shares to Sativum under the common stock purchase agreement and upon exercise of warrants by Sativum, Pacific Crest or Granite, and we intend to use these net proceeds for general corporate purposes. See "Use of Proceeds."</w:t>
      </w:r>
    </w:p>
    <w:p>
      <w:pPr>
        <w:spacing w:after="0" w:line="175"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STEM</w:t>
      </w:r>
    </w:p>
    <w:p>
      <w:pPr>
        <w:spacing w:after="0" w:line="200"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460" w:right="1440" w:bottom="1440" w:gutter="0" w:footer="0" w:header="0"/>
          <w:type w:val="continuous"/>
        </w:sectPr>
      </w:pPr>
    </w:p>
    <w:bookmarkStart w:id="7" w:name="page8"/>
    <w:bookmarkEnd w:id="7"/>
    <w:p>
      <w:pPr>
        <w:jc w:val="center"/>
        <w:ind w:right="3460"/>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174" w:lineRule="exact"/>
        <w:rPr>
          <w:sz w:val="20"/>
          <w:szCs w:val="20"/>
          <w:color w:val="auto"/>
        </w:rPr>
      </w:pPr>
    </w:p>
    <w:p>
      <w:pPr>
        <w:ind w:right="3460" w:firstLine="355"/>
        <w:spacing w:after="0" w:line="262" w:lineRule="auto"/>
        <w:rPr>
          <w:sz w:val="20"/>
          <w:szCs w:val="20"/>
          <w:color w:val="auto"/>
        </w:rPr>
      </w:pPr>
      <w:r>
        <w:rPr>
          <w:rFonts w:ascii="Courier New" w:cs="Courier New" w:eastAsia="Courier New" w:hAnsi="Courier New"/>
          <w:sz w:val="14"/>
          <w:szCs w:val="14"/>
          <w:color w:val="auto"/>
        </w:rPr>
        <w:t>The following tables summarize the consolidated financial data for our business. You should read this table together with "Management's Discussion and Analysis of Financial Condition and Results of Operations" and our consolidated financial statements and notes included elsewhere in this prospectus.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YEAR</w:t>
            </w:r>
          </w:p>
        </w:tc>
        <w:tc>
          <w:tcPr>
            <w:tcW w:w="2300" w:type="dxa"/>
            <w:vAlign w:val="bottom"/>
            <w:gridSpan w:val="4"/>
          </w:tcPr>
          <w:p>
            <w:pPr>
              <w:spacing w:after="0"/>
              <w:rPr>
                <w:sz w:val="20"/>
                <w:szCs w:val="20"/>
                <w:color w:val="auto"/>
              </w:rPr>
            </w:pPr>
            <w:r>
              <w:rPr>
                <w:rFonts w:ascii="Courier New" w:cs="Courier New" w:eastAsia="Courier New" w:hAnsi="Courier New"/>
                <w:sz w:val="15"/>
                <w:szCs w:val="15"/>
                <w:color w:val="auto"/>
              </w:rPr>
              <w:t>ENDED DECEMBER 31,</w:t>
            </w:r>
          </w:p>
        </w:tc>
        <w:tc>
          <w:tcPr>
            <w:tcW w:w="180" w:type="dxa"/>
            <w:vAlign w:val="bottom"/>
          </w:tcPr>
          <w:p>
            <w:pPr>
              <w:spacing w:after="0"/>
              <w:rPr>
                <w:sz w:val="14"/>
                <w:szCs w:val="14"/>
                <w:color w:val="auto"/>
              </w:rPr>
            </w:pPr>
          </w:p>
        </w:tc>
        <w:tc>
          <w:tcPr>
            <w:tcW w:w="160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ind w:left="28"/>
              <w:spacing w:after="0"/>
              <w:rPr>
                <w:sz w:val="20"/>
                <w:szCs w:val="20"/>
                <w:color w:val="auto"/>
              </w:rPr>
            </w:pPr>
            <w:r>
              <w:rPr>
                <w:rFonts w:ascii="Courier New" w:cs="Courier New" w:eastAsia="Courier New" w:hAnsi="Courier New"/>
                <w:sz w:val="7"/>
                <w:szCs w:val="7"/>
                <w:color w:val="auto"/>
                <w:w w:val="76"/>
              </w:rPr>
              <w:t>----------------------------------</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2001</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(IN</w:t>
            </w:r>
          </w:p>
        </w:tc>
        <w:tc>
          <w:tcPr>
            <w:tcW w:w="3560" w:type="dxa"/>
            <w:vAlign w:val="bottom"/>
            <w:gridSpan w:val="7"/>
          </w:tcPr>
          <w:p>
            <w:pPr>
              <w:spacing w:after="0"/>
              <w:rPr>
                <w:sz w:val="20"/>
                <w:szCs w:val="20"/>
                <w:color w:val="auto"/>
              </w:rPr>
            </w:pPr>
            <w:r>
              <w:rPr>
                <w:rFonts w:ascii="Courier New" w:cs="Courier New" w:eastAsia="Courier New" w:hAnsi="Courier New"/>
                <w:sz w:val="15"/>
                <w:szCs w:val="15"/>
                <w:color w:val="auto"/>
                <w:w w:val="98"/>
              </w:rPr>
              <w:t>THOUSANDS, EXCEPT INCOME PER SHARE DATA)</w:t>
            </w:r>
          </w:p>
        </w:tc>
        <w:tc>
          <w:tcPr>
            <w:tcW w:w="52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 DATA:</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agreements and grants............</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  8,803</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5,022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Gain on sale of investment..................................</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1,428</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2,550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expenses...........................</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17,659</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9,984</w:t>
            </w:r>
          </w:p>
        </w:tc>
        <w:tc>
          <w:tcPr>
            <w:tcW w:w="8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5,979</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907</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1,644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ECT wind-down expenses......................................</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6,048</w:t>
            </w:r>
          </w:p>
        </w:tc>
        <w:tc>
          <w:tcPr>
            <w:tcW w:w="8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3,327</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$(12,628)</w:t>
            </w:r>
          </w:p>
        </w:tc>
        <w:tc>
          <w:tcPr>
            <w:tcW w:w="2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$(15,709)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(11,125)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(1,794)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269</w:t>
            </w:r>
          </w:p>
        </w:tc>
      </w:tr>
      <w:tr>
        <w:trPr>
          <w:trHeight w:val="853"/>
        </w:trPr>
        <w:tc>
          <w:tcPr>
            <w:tcW w:w="540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AS OF</w:t>
            </w:r>
          </w:p>
        </w:tc>
        <w:tc>
          <w:tcPr>
            <w:tcW w:w="220" w:type="dxa"/>
            <w:vAlign w:val="bottom"/>
          </w:tcPr>
          <w:p>
            <w:pPr>
              <w:spacing w:after="0"/>
              <w:rPr>
                <w:sz w:val="24"/>
                <w:szCs w:val="2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AS OF</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980" w:type="dxa"/>
            <w:vAlign w:val="bottom"/>
          </w:tcPr>
          <w:p>
            <w:pPr>
              <w:jc w:val="center"/>
              <w:ind w:left="188"/>
              <w:spacing w:after="0"/>
              <w:rPr>
                <w:sz w:val="20"/>
                <w:szCs w:val="20"/>
                <w:color w:val="auto"/>
              </w:rPr>
            </w:pPr>
            <w:r>
              <w:rPr>
                <w:rFonts w:ascii="Courier New" w:cs="Courier New" w:eastAsia="Courier New" w:hAnsi="Courier New"/>
                <w:sz w:val="15"/>
                <w:szCs w:val="15"/>
                <w:color w:val="auto"/>
                <w:w w:val="99"/>
              </w:rPr>
              <w:t>2000</w:t>
            </w:r>
          </w:p>
        </w:tc>
        <w:tc>
          <w:tcPr>
            <w:tcW w:w="2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ind w:left="28"/>
              <w:spacing w:after="0"/>
              <w:rPr>
                <w:sz w:val="20"/>
                <w:szCs w:val="20"/>
                <w:color w:val="auto"/>
              </w:rPr>
            </w:pPr>
            <w:r>
              <w:rPr>
                <w:rFonts w:ascii="Courier New" w:cs="Courier New" w:eastAsia="Courier New" w:hAnsi="Courier New"/>
                <w:sz w:val="15"/>
                <w:szCs w:val="15"/>
                <w:color w:val="auto"/>
                <w:w w:val="93"/>
              </w:rPr>
              <w:t>-------------</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w w:val="95"/>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(IN</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THOUSANDS)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Cash, cash equivalents and marketable securities............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$ 6,069</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$ 4,499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Restricted investments......................................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16,356</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29,795</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21,507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Long-term debt, including capitalized leases................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2,605</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22,982</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15,462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345" w:lineRule="exact"/>
        <w:rPr>
          <w:sz w:val="20"/>
          <w:szCs w:val="20"/>
          <w:color w:val="auto"/>
        </w:rPr>
      </w:pPr>
    </w:p>
    <w:p>
      <w:pPr>
        <w:ind w:right="3460" w:firstLine="355"/>
        <w:spacing w:after="0" w:line="259" w:lineRule="auto"/>
        <w:rPr>
          <w:sz w:val="20"/>
          <w:szCs w:val="20"/>
          <w:color w:val="auto"/>
        </w:rPr>
      </w:pPr>
      <w:r>
        <w:rPr>
          <w:rFonts w:ascii="Courier New" w:cs="Courier New" w:eastAsia="Courier New" w:hAnsi="Courier New"/>
          <w:sz w:val="14"/>
          <w:szCs w:val="14"/>
          <w:color w:val="auto"/>
        </w:rPr>
        <w:t>In July 1999 we began restructuring the company to focus solely on our stem cell technology. As part of this restructuring we terminated all activities related to our former encapsulated cell technology and we relocated our headquarters from Rhode Island to California. The results shown for the year ended December 31, 1999 and 2000 includes $6,047,806 and $3,327,360, respectively, in expenses related to the restructuring. For more information on this restructuring see "Business" and "Management's Discussion and Analysis of Financial Condition and Results of Operations" and our consolidated financial statements and notes included elsewhere in this prospectus.</w:t>
      </w:r>
    </w:p>
    <w:p>
      <w:pPr>
        <w:spacing w:after="0" w:line="1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2000, in connection with our investment in Modex Therapeutics,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Swiss biotechnology company that completed an initial public offering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23, 2000, we realized a $1,427,686 gain and recognized an increase in value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our remaining holdings of $16,356,334 as of December 31, 2000. During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months ended March 31, 2001, we realized a gain of $2,550,000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further sales of Modex shares. After a subsequent sale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30, 2001, we no longer hold any shares of Modex. For more information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Modex, see "Recent Developments" and "Management's Discussion and Analysis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and Results of Operations" and our consolidated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and notes included elsewhere in this prospectus.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460"/>
          </w:cols>
          <w:pgMar w:left="240" w:top="457" w:right="1199" w:bottom="1440" w:gutter="0" w:footer="0" w:header="0"/>
        </w:sectPr>
      </w:pPr>
    </w:p>
    <w:bookmarkStart w:id="8" w:name="page9"/>
    <w:bookmarkEnd w:id="8"/>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OFFERING INVOLVES A HIGH DEGREE OF RISK. YOU SHOULD CAREFULLY CONSIDER THE RISKS DESCRIBED BELOW AND THE OTHER INFORMATION IN THIS PROSPECTUS BEFORE MAKING AN INVESTMENT DECISION REGARDING STEMCELLS, INC.OUR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16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RISKS RELATED TO OUR BUSINESS</w:t>
      </w:r>
    </w:p>
    <w:p>
      <w:pPr>
        <w:spacing w:after="0" w:line="345"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COMMERCIALLY ACCEPTABLE PRODUCTS.</w:t>
      </w:r>
    </w:p>
    <w:p>
      <w:pPr>
        <w:spacing w:after="0" w:line="200" w:lineRule="exact"/>
        <w:rPr>
          <w:sz w:val="20"/>
          <w:szCs w:val="20"/>
          <w:color w:val="auto"/>
        </w:rPr>
      </w:pPr>
    </w:p>
    <w:p>
      <w:pPr>
        <w:spacing w:after="0" w:line="31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200" w:lineRule="exact"/>
        <w:rPr>
          <w:sz w:val="20"/>
          <w:szCs w:val="20"/>
          <w:color w:val="auto"/>
        </w:rPr>
      </w:pPr>
    </w:p>
    <w:p>
      <w:pPr>
        <w:spacing w:after="0" w:line="314" w:lineRule="exact"/>
        <w:rPr>
          <w:sz w:val="20"/>
          <w:szCs w:val="20"/>
          <w:color w:val="auto"/>
        </w:rPr>
      </w:pPr>
    </w:p>
    <w:p>
      <w:pPr>
        <w:ind w:left="520" w:hanging="174"/>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survive and persist in the desired location;</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intended therapeutic benefits;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integrate into existing tissue in the desired manner; or</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therapeutic benefits equal to or better than the standard of treatment at the time of testing.</w:t>
      </w:r>
    </w:p>
    <w:p>
      <w:pPr>
        <w:spacing w:after="0" w:line="200" w:lineRule="exact"/>
        <w:rPr>
          <w:sz w:val="20"/>
          <w:szCs w:val="20"/>
          <w:color w:val="auto"/>
        </w:rPr>
      </w:pPr>
    </w:p>
    <w:p>
      <w:pPr>
        <w:spacing w:after="0" w:line="316"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333"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347"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WE HAVE PAYMENT OBLIGATIONS RESULTING FROM REAL PROPERTY OWNED OR LEASED BY US IN RHODE ISLAND, WHICH DIVERTS FUNDING FROM OUR STEM CELL RESEARCH AND DEVELOPMENT.</w:t>
      </w:r>
    </w:p>
    <w:p>
      <w:pPr>
        <w:spacing w:after="0" w:line="200" w:lineRule="exact"/>
        <w:rPr>
          <w:sz w:val="20"/>
          <w:szCs w:val="20"/>
          <w:color w:val="auto"/>
        </w:rPr>
      </w:pPr>
    </w:p>
    <w:p>
      <w:pPr>
        <w:spacing w:after="0" w:line="31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operating costs of approximately $1,200,000 per year for our former science and administrative facility, which we have leased through June 30, 2013, and debt service payments and operating costs of approximately $1,000,000 per year for our former encapsulated cell therapy pilot manufacturing facility, which we own.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In March 2001, our landlord approved a sublease of part of the premises.</w:t>
      </w:r>
    </w:p>
    <w:p>
      <w:pPr>
        <w:spacing w:after="0" w:line="335"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WE MAY NEED BUT FAIL TO OBTAIN PARTNERS TO SUPPORT OUR STEM CELL DEVELOPMENT EFFORTS AND TO COMMERCIALIZE OUR TECHNOLOGY.</w:t>
      </w:r>
    </w:p>
    <w:p>
      <w:pPr>
        <w:spacing w:after="0" w:line="34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Equity and debt financings alone may not be sufficient to fund the cost of developing our stem cell technologies, and we may need to rely on our ability to reach partnering arrangements to provide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7" w:right="1440" w:bottom="628" w:gutter="0" w:footer="0" w:header="0"/>
        </w:sectPr>
      </w:pPr>
    </w:p>
    <w:bookmarkStart w:id="9" w:name="page10"/>
    <w:bookmarkEnd w:id="9"/>
    <w:p>
      <w:pPr>
        <w:ind w:right="3219"/>
        <w:spacing w:after="0"/>
        <w:rPr>
          <w:sz w:val="20"/>
          <w:szCs w:val="20"/>
          <w:color w:val="auto"/>
        </w:rPr>
      </w:pPr>
      <w:r>
        <w:rPr>
          <w:rFonts w:ascii="Courier New" w:cs="Courier New" w:eastAsia="Courier New" w:hAnsi="Courier New"/>
          <w:sz w:val="15"/>
          <w:szCs w:val="15"/>
          <w:color w:val="auto"/>
        </w:rPr>
        <w:t>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353"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WE HAVE A HISTORY OF OPERATING LOSSES AND WE MAY FAIL TO OBTAIN REVENUES OR BECOME PROFITABLE.</w:t>
      </w:r>
    </w:p>
    <w:p>
      <w:pPr>
        <w:spacing w:after="0" w:line="34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have incurred $130,229,646 in operating losses through March 31, 2001 and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200" w:lineRule="exact"/>
        <w:rPr>
          <w:sz w:val="20"/>
          <w:szCs w:val="20"/>
          <w:color w:val="auto"/>
        </w:rPr>
      </w:pPr>
    </w:p>
    <w:p>
      <w:pPr>
        <w:spacing w:after="0" w:line="306" w:lineRule="exact"/>
        <w:rPr>
          <w:sz w:val="20"/>
          <w:szCs w:val="20"/>
          <w:color w:val="auto"/>
        </w:rPr>
      </w:pPr>
    </w:p>
    <w:p>
      <w:pPr>
        <w:ind w:right="3919" w:firstLine="355"/>
        <w:spacing w:after="0" w:line="271" w:lineRule="auto"/>
        <w:rPr>
          <w:sz w:val="20"/>
          <w:szCs w:val="20"/>
          <w:color w:val="auto"/>
        </w:rPr>
      </w:pPr>
      <w:r>
        <w:rPr>
          <w:rFonts w:ascii="Courier New" w:cs="Courier New" w:eastAsia="Courier New" w:hAnsi="Courier New"/>
          <w:sz w:val="14"/>
          <w:szCs w:val="14"/>
          <w:color w:val="auto"/>
        </w:rPr>
        <w:t>IF WE ARE UNABLE TO PROTECT OUR PATENTS AND PROPRIETARY RIGHTS, OUR BUSINESS, FINANCIAL CONDITION AND RESULTS OF OPERATION WILL BE HARMED.</w:t>
      </w:r>
    </w:p>
    <w:p>
      <w:pPr>
        <w:spacing w:after="0" w:line="200" w:lineRule="exact"/>
        <w:rPr>
          <w:sz w:val="20"/>
          <w:szCs w:val="20"/>
          <w:color w:val="auto"/>
        </w:rPr>
      </w:pPr>
    </w:p>
    <w:p>
      <w:pPr>
        <w:spacing w:after="0" w:line="29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0" w:name="page11"/>
    <w:bookmarkEnd w:id="10"/>
    <w:p>
      <w:pPr>
        <w:ind w:right="3119" w:firstLine="355"/>
        <w:spacing w:after="0"/>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200" w:lineRule="exact"/>
        <w:rPr>
          <w:sz w:val="20"/>
          <w:szCs w:val="20"/>
          <w:color w:val="auto"/>
        </w:rPr>
      </w:pPr>
    </w:p>
    <w:p>
      <w:pPr>
        <w:spacing w:after="0" w:line="320"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IF OTHERS ARE FIRST TO DISCOVER AND PATENT THE STEM CELLS WE ARE SEEKING TO DISCOVER, WE COULD BE BLOCKED FROM FURTHER WORK ON THOSE STEM CELLS.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200" w:lineRule="exact"/>
        <w:rPr>
          <w:sz w:val="20"/>
          <w:szCs w:val="20"/>
          <w:color w:val="auto"/>
        </w:rPr>
      </w:pPr>
    </w:p>
    <w:p>
      <w:pPr>
        <w:spacing w:after="0" w:line="316"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WE MAY BE UNABLE TO OBTAIN NECESSARY LICENSES TO THIRD PARTY PATENTS AND OTHER RIGHTS.</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200" w:lineRule="exact"/>
        <w:rPr>
          <w:sz w:val="20"/>
          <w:szCs w:val="20"/>
          <w:color w:val="auto"/>
        </w:rPr>
      </w:pPr>
    </w:p>
    <w:p>
      <w:pPr>
        <w:spacing w:after="0" w:line="319"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33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COMPETE WITH COMPANIES THAT HAVE SIGNIFICANT ADVANTAGES OVER US.</w:t>
      </w:r>
    </w:p>
    <w:p>
      <w:pPr>
        <w:spacing w:after="0" w:line="34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 cell-based.</w:t>
      </w:r>
    </w:p>
    <w:p>
      <w:pPr>
        <w:spacing w:after="0" w:line="200" w:lineRule="exact"/>
        <w:rPr>
          <w:sz w:val="20"/>
          <w:szCs w:val="20"/>
          <w:color w:val="auto"/>
        </w:rPr>
      </w:pPr>
    </w:p>
    <w:p>
      <w:pPr>
        <w:spacing w:after="0" w:line="30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Our competitors may succeed in developing technologies and products that are more effective than the ones we are developing, or that would render our technology obsolete or non-competitive.</w:t>
      </w:r>
    </w:p>
    <w:p>
      <w:pPr>
        <w:spacing w:after="0" w:line="346"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140" w:gutter="0" w:footer="0" w:header="0"/>
        </w:sectPr>
      </w:pPr>
    </w:p>
    <w:bookmarkStart w:id="11" w:name="page12"/>
    <w:bookmarkEnd w:id="11"/>
    <w:p>
      <w:pPr>
        <w:ind w:right="3299"/>
        <w:spacing w:after="0" w:line="264" w:lineRule="auto"/>
        <w:rPr>
          <w:sz w:val="20"/>
          <w:szCs w:val="20"/>
          <w:color w:val="auto"/>
        </w:rPr>
      </w:pPr>
      <w:r>
        <w:rPr>
          <w:rFonts w:ascii="Courier New" w:cs="Courier New" w:eastAsia="Courier New" w:hAnsi="Courier New"/>
          <w:sz w:val="14"/>
          <w:szCs w:val="14"/>
          <w:color w:val="auto"/>
        </w:rPr>
        <w:t>ability to gather market acceptance and market share. With respect to clinical testing, competition may delay progress by limiting the number of clinical investigators and patients available to test our potential products.</w:t>
      </w:r>
    </w:p>
    <w:p>
      <w:pPr>
        <w:spacing w:after="0" w:line="330" w:lineRule="exact"/>
        <w:rPr>
          <w:sz w:val="20"/>
          <w:szCs w:val="20"/>
          <w:color w:val="auto"/>
        </w:rPr>
      </w:pPr>
    </w:p>
    <w:p>
      <w:pPr>
        <w:ind w:right="3579" w:firstLine="355"/>
        <w:spacing w:after="0" w:line="238" w:lineRule="auto"/>
        <w:rPr>
          <w:sz w:val="20"/>
          <w:szCs w:val="20"/>
          <w:color w:val="auto"/>
        </w:rPr>
      </w:pPr>
      <w:r>
        <w:rPr>
          <w:rFonts w:ascii="Courier New" w:cs="Courier New" w:eastAsia="Courier New" w:hAnsi="Courier New"/>
          <w:sz w:val="15"/>
          <w:szCs w:val="15"/>
          <w:color w:val="auto"/>
        </w:rPr>
        <w:t>DEVELOPMENT OF OUR TECHNOLOGY IS SUBJECT TO AND RESTRICTED BY EXTENSIVE GOVERNMENT REGULATION.</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200" w:lineRule="exact"/>
        <w:rPr>
          <w:sz w:val="20"/>
          <w:szCs w:val="20"/>
          <w:color w:val="auto"/>
        </w:rPr>
      </w:pPr>
    </w:p>
    <w:p>
      <w:pPr>
        <w:spacing w:after="0" w:line="32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200" w:lineRule="exact"/>
        <w:rPr>
          <w:sz w:val="20"/>
          <w:szCs w:val="20"/>
          <w:color w:val="auto"/>
        </w:rPr>
      </w:pPr>
    </w:p>
    <w:p>
      <w:pPr>
        <w:spacing w:after="0" w:line="319"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34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DEPEND ON A LIMITED NUMBER OF KEY PERSONNEL.</w:t>
      </w:r>
    </w:p>
    <w:p>
      <w:pPr>
        <w:spacing w:after="0" w:line="34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are highly dependent on the principal members of our management and scientific staff and some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 personnel, rather than permanent employees, in key management and scientific positions. Loss of services of any of these individuals could have a material adverse effect on our operations because these individuals possess management experience or specialized scientific skills that we do not otherwise have and that we may not be able to replace.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3119" w:firstLine="355"/>
        <w:spacing w:after="0" w:line="238" w:lineRule="auto"/>
        <w:rPr>
          <w:sz w:val="20"/>
          <w:szCs w:val="20"/>
          <w:color w:val="auto"/>
        </w:rPr>
      </w:pPr>
      <w:r>
        <w:rPr>
          <w:rFonts w:ascii="Courier New" w:cs="Courier New" w:eastAsia="Courier New" w:hAnsi="Courier New"/>
          <w:sz w:val="15"/>
          <w:szCs w:val="15"/>
          <w:color w:val="auto"/>
        </w:rPr>
        <w:t>HEALTH CARE INSURERS AND OTHER ORGANIZATIONS MAY NOT PAY FOR OUR PRODUCTS OR MAY IMPOSE LIMITS ON REIMBURSEMENTS.</w:t>
      </w:r>
    </w:p>
    <w:p>
      <w:pPr>
        <w:spacing w:after="0" w:line="200" w:lineRule="exact"/>
        <w:rPr>
          <w:sz w:val="20"/>
          <w:szCs w:val="20"/>
          <w:color w:val="auto"/>
        </w:rPr>
      </w:pPr>
    </w:p>
    <w:p>
      <w:pPr>
        <w:spacing w:after="0" w:line="316"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In both domestic and foreign markets, sales of potential products are likely to depend in part upon the availability and amounts of reimbursement from third party health care payor organizations,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0" w:right="1440" w:bottom="1440" w:gutter="0" w:footer="0" w:header="0"/>
        </w:sectPr>
      </w:pPr>
    </w:p>
    <w:bookmarkStart w:id="12" w:name="page13"/>
    <w:bookmarkEnd w:id="12"/>
    <w:p>
      <w:pPr>
        <w:ind w:right="3119"/>
        <w:spacing w:after="0"/>
        <w:rPr>
          <w:sz w:val="20"/>
          <w:szCs w:val="20"/>
          <w:color w:val="auto"/>
        </w:rPr>
      </w:pPr>
      <w:r>
        <w:rPr>
          <w:rFonts w:ascii="Courier New" w:cs="Courier New" w:eastAsia="Courier New" w:hAnsi="Courier New"/>
          <w:sz w:val="15"/>
          <w:szCs w:val="15"/>
          <w:color w:val="auto"/>
        </w:rPr>
        <w:t>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200" w:lineRule="exact"/>
        <w:rPr>
          <w:sz w:val="20"/>
          <w:szCs w:val="20"/>
          <w:color w:val="auto"/>
        </w:rPr>
      </w:pPr>
    </w:p>
    <w:p>
      <w:pPr>
        <w:spacing w:after="0" w:line="32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33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RISKS RELATED TO THE EQUITY LINE AND OUR FINANCIAL CONDITION</w:t>
      </w:r>
    </w:p>
    <w:p>
      <w:pPr>
        <w:spacing w:after="0" w:line="174" w:lineRule="exact"/>
        <w:rPr>
          <w:sz w:val="20"/>
          <w:szCs w:val="20"/>
          <w:color w:val="auto"/>
        </w:rPr>
      </w:pPr>
    </w:p>
    <w:p>
      <w:pPr>
        <w:ind w:right="3659" w:firstLine="355"/>
        <w:spacing w:after="0" w:line="239"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If we are unable to draw down on the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MAY BE UNABLE TO ACCESS ALL OR PART OF OUR EQUITY LINE.</w:t>
      </w:r>
    </w:p>
    <w:p>
      <w:pPr>
        <w:spacing w:after="0" w:line="174" w:lineRule="exact"/>
        <w:rPr>
          <w:sz w:val="20"/>
          <w:szCs w:val="20"/>
          <w:color w:val="auto"/>
        </w:rPr>
      </w:pPr>
    </w:p>
    <w:p>
      <w:pPr>
        <w:ind w:right="4019" w:firstLine="355"/>
        <w:spacing w:after="0" w:line="258" w:lineRule="auto"/>
        <w:rPr>
          <w:sz w:val="20"/>
          <w:szCs w:val="20"/>
          <w:color w:val="auto"/>
        </w:rPr>
      </w:pPr>
      <w:r>
        <w:rPr>
          <w:rFonts w:ascii="Courier New" w:cs="Courier New" w:eastAsia="Courier New" w:hAnsi="Courier New"/>
          <w:sz w:val="14"/>
          <w:szCs w:val="14"/>
          <w:color w:val="auto"/>
        </w:rPr>
        <w:t>If the trading volume and/or price of our common stock falls below established levels, then we will not be able to draw down all of the</w:t>
      </w:r>
    </w:p>
    <w:p>
      <w:pPr>
        <w:ind w:right="3119"/>
        <w:spacing w:after="0"/>
        <w:rPr>
          <w:sz w:val="20"/>
          <w:szCs w:val="20"/>
          <w:color w:val="auto"/>
        </w:rPr>
      </w:pPr>
      <w:r>
        <w:rPr>
          <w:rFonts w:ascii="Courier New" w:cs="Courier New" w:eastAsia="Courier New" w:hAnsi="Courier New"/>
          <w:sz w:val="15"/>
          <w:szCs w:val="15"/>
          <w:color w:val="auto"/>
        </w:rPr>
        <w:t>$30 million committed by Sativum pursuant to the equity line. In addition, we may choose not to draw down some or all of the equity line. If we do not receive stockholder approval to issue more than 3,922,606 shares under the equity line, we also will not be able to access some of the funds in the equity line. Furthermore, if our common stock is delisted from the Nasdaq National Market, or if we experience a material adverse change to our business, operations, properties or financial condition that is not cured within 30 days of the change, the common stock purchase agreement will terminate. If we are unable to meet the conditions to a drawdown in the common stock purchase agreement, we will not be able to draw down any funds until those conditions are met. See "Common Stock Purchase Agreement."</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3" w:name="page14"/>
    <w:bookmarkEnd w:id="13"/>
    <w:p>
      <w:pPr>
        <w:ind w:right="3219" w:firstLine="355"/>
        <w:spacing w:after="0" w:line="239" w:lineRule="auto"/>
        <w:rPr>
          <w:sz w:val="20"/>
          <w:szCs w:val="20"/>
          <w:color w:val="auto"/>
        </w:rPr>
      </w:pPr>
      <w:r>
        <w:rPr>
          <w:rFonts w:ascii="Courier New" w:cs="Courier New" w:eastAsia="Courier New" w:hAnsi="Courier New"/>
          <w:sz w:val="15"/>
          <w:szCs w:val="15"/>
          <w:color w:val="auto"/>
        </w:rPr>
        <w:t>OUR COMMON STOCK PURCHASE AGREEMENT WITH SATIVUM AND THE ISSUANCE OF SHARES TO SATIVUM THEREUNDER MAY CAUSE SIGNIFICANT DILUTION TO OUR STOCKHOLDERS OR CONTRIBUTE TO A PERCEIVED RISK OF DILUTION.</w:t>
      </w:r>
    </w:p>
    <w:p>
      <w:pPr>
        <w:spacing w:after="0" w:line="175"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resale by Sativum of the common stock that it purchases from us will increase the number of our publicly traded shares, which could depress the market price of our common stock. Moreover, because all the shares we sell to Sativum will be available for immediate resale, the prospect of our sales to Sativum could depress the market price for our common stock. The shares of our common stock issuable to Sativum under the equity line will be sold at a 6% discount to the volume-weighted average daily price of our common stock during the applicable drawdown period, and the proceeds paid to us upon each drawdown will be net of an aggregate 3% placement fee to our placement agents, Pacific Crest Securities Inc. and Granite Financial Group, Inc., so we will be required to issue more shares than would be necessary at a market price to receive a given amount of cash proceeds. If we require Sativum to purchase our common stock at a time when our stock price is low, our existing common stockholders will experience substantial dilution. The perceived risk of dilution may cause some stockholders to sell their shares or encourage short sales, which may contribute to a downward movement in the market price of our common stock.</w:t>
      </w:r>
    </w:p>
    <w:p>
      <w:pPr>
        <w:spacing w:after="0" w:line="163"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IF OUR COMMON STOCK PRICE DROPS SIGNIFICANTLY, WE MAY BE DELISTED FROM THE NASDAQ NATIONAL MARKET, WHICH COULD ELIMINATE THE TRADING MARKET FOR OUR COMMON STOCK.</w:t>
      </w:r>
    </w:p>
    <w:p>
      <w:pPr>
        <w:spacing w:after="0" w:line="17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$4,000,000 in net tangible assets and $5,000,000 market value of the public float. The public float excludes shares held directly or indirectly by any of our officers, directors and holders of 10% or more of our outstanding common stock. As of March 31, 2001, we had approximately $15.4 million of net tangible assets. As of May 24, 2001, the market value of our public float was approximately $71.6 million, and the lowest bid price of our common stock since March 31, 2001 was $1.47. We cannot assure you that we will continue to meet these listing criteria. The issuance by us of shares of common stock to Sativum, or the subsequent resale by Sativum of those shares, in either case at a discount to the market price, may cause the trading price of our common stock to fall to a level below the Nasdaq minimum bid price requirement. Failure to meet these maintenance criteria may result in the delisting of our common stock from the Nasdaq National Market. If our common stock is delisted and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34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If our common stock were delisted from the Nasdaq National Market, we would not be able to draw down any additional funds on the equity line, and we also may be required to pay damages to other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0" w:right="1440" w:bottom="1440" w:gutter="0" w:footer="0" w:header="0"/>
        </w:sectPr>
      </w:pPr>
    </w:p>
    <w:bookmarkStart w:id="14" w:name="page15"/>
    <w:bookmarkEnd w:id="14"/>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 looking statements attributable to us or persons acting on our behalf are expressly qualified in their entirety by the cautionary statements and risk factors contained throughout this prospectus.</w:t>
      </w:r>
    </w:p>
    <w:p>
      <w:pPr>
        <w:spacing w:after="0" w:line="18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INDUSTRY AND MARKET DATA</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In this prospectus, we rely on and refer to information and statistics regarding disease occurrences, costs of treatment, biotechnology, and the market sectors in which we may compete in the future. We obtained this information and statistics from various third party sources, discussions with our consultants and/or our own internal estimates. We believe that these sources and estimates are reliable, but we have not independently verified them.</w:t>
      </w:r>
    </w:p>
    <w:p>
      <w:pPr>
        <w:spacing w:after="0" w:line="16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will not receive any of the proceeds from the sale of shares offered by Sativum under this prospectus. However, we will receive the net sale price of any common stock we sell to Sativum under the terms of the common stock purchase agreement described in this prospectus. We intend to use the net proceeds from any sales to Sativum primarily for general corporate purposes. Our management will have significant flexibility and discretion in applying the net proceeds received by us. Pending any use, we will invest the net proceeds of any common stock sold to Sativum in short-term, investment grade, interest-bearing securities.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7" w:right="1440" w:bottom="1440" w:gutter="0" w:footer="0" w:header="0"/>
        </w:sectPr>
      </w:pPr>
    </w:p>
    <w:bookmarkStart w:id="15" w:name="page16"/>
    <w:bookmarkEnd w:id="15"/>
    <w:p>
      <w:pPr>
        <w:jc w:val="center"/>
        <w:ind w:right="3219"/>
        <w:spacing w:after="0"/>
        <w:rPr>
          <w:sz w:val="20"/>
          <w:szCs w:val="20"/>
          <w:color w:val="auto"/>
        </w:rPr>
      </w:pPr>
      <w:r>
        <w:rPr>
          <w:rFonts w:ascii="Courier New" w:cs="Courier New" w:eastAsia="Courier New" w:hAnsi="Courier New"/>
          <w:sz w:val="15"/>
          <w:szCs w:val="15"/>
          <w:color w:val="auto"/>
        </w:rPr>
        <w:t>PRICE RANGE OF COMMON STOCK</w:t>
      </w:r>
    </w:p>
    <w:p>
      <w:pPr>
        <w:spacing w:after="0" w:line="174" w:lineRule="exact"/>
        <w:rPr>
          <w:sz w:val="20"/>
          <w:szCs w:val="20"/>
          <w:color w:val="auto"/>
        </w:rPr>
      </w:pPr>
    </w:p>
    <w:p>
      <w:pPr>
        <w:ind w:right="3399" w:firstLine="355"/>
        <w:spacing w:after="0" w:line="264" w:lineRule="auto"/>
        <w:rPr>
          <w:sz w:val="20"/>
          <w:szCs w:val="20"/>
          <w:color w:val="auto"/>
        </w:rPr>
      </w:pPr>
      <w:r>
        <w:rPr>
          <w:rFonts w:ascii="Courier New" w:cs="Courier New" w:eastAsia="Courier New" w:hAnsi="Courier New"/>
          <w:sz w:val="14"/>
          <w:szCs w:val="14"/>
          <w:color w:val="auto"/>
        </w:rPr>
        <w:t>Our common stock is quoted on the Nasdaq National Market under the symbol "STEM." The following table sets forth the high and low sale prices of our common stock for the periods indicated on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COMMON STOCK PRICE</w:t>
            </w:r>
          </w:p>
        </w:tc>
      </w:tr>
      <w:tr>
        <w:trPr>
          <w:trHeight w:val="171"/>
        </w:trPr>
        <w:tc>
          <w:tcPr>
            <w:tcW w:w="50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HIGH</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04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First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Second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$0.53</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Third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$0.69</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Fourth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First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20.00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Second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Third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$3.53</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Fourth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First Quarter 2001......................................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Second Quarter 2001 (through June 28)...................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There were approximately 287 record holders of our common stock as of April 25, 2001. On June 28, 2001, the reported last sale price on the Nasdaq National Market for our common stock was $4.49 per share.</w:t>
      </w:r>
    </w:p>
    <w:p>
      <w:pPr>
        <w:spacing w:after="0" w:line="34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have never declared or paid any cash dividends on our common stock. We currently intend to retain any future earnings to fund the development and growth of our business. We do not, therefore, anticipate paying any cash dividends within the next five years. Any future determination to pay dividends will be at the discretion of our board of directors and will be dependent on then existing conditions, including our financial stability, results of operations, contractual restrictions, capital requirements, business prospects and other factors our board of directors deems relevant.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7" w:right="1440" w:bottom="1440" w:gutter="0" w:footer="0" w:header="0"/>
        </w:sectPr>
      </w:pPr>
    </w:p>
    <w:bookmarkStart w:id="16" w:name="page17"/>
    <w:bookmarkEnd w:id="16"/>
    <w:p>
      <w:pPr>
        <w:ind w:left="2920"/>
        <w:spacing w:after="0"/>
        <w:rPr>
          <w:sz w:val="20"/>
          <w:szCs w:val="20"/>
          <w:color w:val="auto"/>
        </w:rPr>
      </w:pPr>
      <w:r>
        <w:rPr>
          <w:rFonts w:ascii="Courier New" w:cs="Courier New" w:eastAsia="Courier New" w:hAnsi="Courier New"/>
          <w:sz w:val="15"/>
          <w:szCs w:val="15"/>
          <w:color w:val="auto"/>
        </w:rPr>
        <w:t>CAPITALIZATION</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presents our consolidated capitalization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2001. This table excludes:</w:t>
      </w:r>
    </w:p>
    <w:p>
      <w:pPr>
        <w:spacing w:after="0" w:line="345" w:lineRule="exact"/>
        <w:rPr>
          <w:sz w:val="20"/>
          <w:szCs w:val="20"/>
          <w:color w:val="auto"/>
        </w:rPr>
      </w:pPr>
    </w:p>
    <w:p>
      <w:pPr>
        <w:ind w:left="520" w:right="3119" w:hanging="174"/>
        <w:spacing w:after="0" w:line="238" w:lineRule="auto"/>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4,133,926 shares of common stock issuable upon the exercise of outstanding stock options and warrants as follows:</w:t>
      </w:r>
    </w:p>
    <w:p>
      <w:pPr>
        <w:spacing w:after="0" w:line="345" w:lineRule="exact"/>
        <w:rPr>
          <w:rFonts w:ascii="Courier New" w:cs="Courier New" w:eastAsia="Courier New" w:hAnsi="Courier New"/>
          <w:sz w:val="15"/>
          <w:szCs w:val="15"/>
          <w:color w:val="auto"/>
        </w:rPr>
      </w:pPr>
    </w:p>
    <w:p>
      <w:pPr>
        <w:ind w:left="700" w:right="311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31, 2001, 3,164,618 shares of common stock issuable upon the exercise of stock options pursuant to our stock option plans at a weighted average price of $4.11 per share.</w:t>
      </w:r>
    </w:p>
    <w:p>
      <w:pPr>
        <w:spacing w:after="0" w:line="175" w:lineRule="exact"/>
        <w:rPr>
          <w:rFonts w:ascii="Courier New" w:cs="Courier New" w:eastAsia="Courier New" w:hAnsi="Courier New"/>
          <w:sz w:val="15"/>
          <w:szCs w:val="15"/>
          <w:color w:val="auto"/>
        </w:rPr>
      </w:pPr>
    </w:p>
    <w:p>
      <w:pPr>
        <w:jc w:val="both"/>
        <w:ind w:left="700" w:right="3399" w:hanging="265"/>
        <w:spacing w:after="0" w:line="271" w:lineRule="auto"/>
        <w:tabs>
          <w:tab w:leader="none" w:pos="7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622,469 shares of common stock issuable upon the exercise of warrants held by Millennium Partners, at an exercise price of $0.01 per share.</w:t>
      </w:r>
    </w:p>
    <w:p>
      <w:pPr>
        <w:spacing w:after="0" w:line="324" w:lineRule="exact"/>
        <w:rPr>
          <w:rFonts w:ascii="Courier New" w:cs="Courier New" w:eastAsia="Courier New" w:hAnsi="Courier New"/>
          <w:sz w:val="14"/>
          <w:szCs w:val="14"/>
          <w:color w:val="auto"/>
        </w:rPr>
      </w:pPr>
    </w:p>
    <w:p>
      <w:pPr>
        <w:ind w:left="700" w:right="339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171,839 shares of common stock issuable upon the exercise of warrants held by Millennium Partners at a weighted average exercise price of $4.89 per share.</w:t>
      </w:r>
    </w:p>
    <w:p>
      <w:pPr>
        <w:spacing w:after="0" w:line="345" w:lineRule="exact"/>
        <w:rPr>
          <w:rFonts w:ascii="Courier New" w:cs="Courier New" w:eastAsia="Courier New" w:hAnsi="Courier New"/>
          <w:sz w:val="15"/>
          <w:szCs w:val="15"/>
          <w:color w:val="auto"/>
        </w:rPr>
      </w:pPr>
    </w:p>
    <w:p>
      <w:pPr>
        <w:ind w:left="700" w:right="339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 shares of common stock issuable upon the exercise of warrants granted to May Davis Group, Inc. and four of its affiliates at an exercise price of $5.0375 per share.</w:t>
      </w:r>
    </w:p>
    <w:p>
      <w:pPr>
        <w:spacing w:after="0" w:line="175" w:lineRule="exact"/>
        <w:rPr>
          <w:rFonts w:ascii="Courier New" w:cs="Courier New" w:eastAsia="Courier New" w:hAnsi="Courier New"/>
          <w:sz w:val="15"/>
          <w:szCs w:val="15"/>
          <w:color w:val="auto"/>
        </w:rPr>
      </w:pPr>
    </w:p>
    <w:p>
      <w:pPr>
        <w:ind w:left="700" w:right="321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75,000 shares of common stock issuable upon the exercise of warrants at $6.58 per share held by holders of our 6% cumulative convertible preferred stock.</w:t>
      </w:r>
    </w:p>
    <w:p>
      <w:pPr>
        <w:spacing w:after="0" w:line="345"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457,750 shares of common stock sold to Millennium Partners on June 21, 2001 and shares issuable upon exercise of an adjustable warrant issued to Millennium on June 21, 2001.</w:t>
      </w:r>
    </w:p>
    <w:p>
      <w:pPr>
        <w:spacing w:after="0" w:line="345" w:lineRule="exact"/>
        <w:rPr>
          <w:rFonts w:ascii="Courier New" w:cs="Courier New" w:eastAsia="Courier New" w:hAnsi="Courier New"/>
          <w:sz w:val="15"/>
          <w:szCs w:val="15"/>
          <w:color w:val="auto"/>
        </w:rPr>
      </w:pPr>
    </w:p>
    <w:p>
      <w:pPr>
        <w:jc w:val="both"/>
        <w:ind w:left="520" w:right="3219" w:hanging="174"/>
        <w:spacing w:after="0" w:line="239" w:lineRule="auto"/>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holders of our 6% cumulative convertible preferred stock to convert their shares of preferred stock into shares of common stock at $3.77 per share.</w:t>
      </w:r>
    </w:p>
    <w:p>
      <w:pPr>
        <w:spacing w:after="0" w:line="175" w:lineRule="exact"/>
        <w:rPr>
          <w:sz w:val="20"/>
          <w:szCs w:val="20"/>
          <w:color w:val="auto"/>
        </w:rPr>
      </w:pPr>
    </w:p>
    <w:p>
      <w:pPr>
        <w:ind w:right="3219" w:firstLine="355"/>
        <w:spacing w:after="0" w:line="264" w:lineRule="auto"/>
        <w:rPr>
          <w:sz w:val="20"/>
          <w:szCs w:val="20"/>
          <w:color w:val="auto"/>
        </w:rPr>
      </w:pPr>
      <w:r>
        <w:rPr>
          <w:rFonts w:ascii="Courier New" w:cs="Courier New" w:eastAsia="Courier New" w:hAnsi="Courier New"/>
          <w:sz w:val="14"/>
          <w:szCs w:val="14"/>
          <w:color w:val="auto"/>
        </w:rPr>
        <w:t>This table should be read in conjunction with "Management's Discussion and Analysis of Financial Condition and Results of Operations" and our consolidated financial statements and notes thereto included elsewhere in this prospectus.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(UNAUDITED)</w:t>
            </w:r>
          </w:p>
        </w:tc>
      </w:tr>
      <w:tr>
        <w:trPr>
          <w:trHeight w:val="341"/>
        </w:trPr>
        <w:tc>
          <w:tcPr>
            <w:tcW w:w="5400" w:type="dxa"/>
            <w:vAlign w:val="bottom"/>
          </w:tcPr>
          <w:p>
            <w:pPr>
              <w:jc w:val="right"/>
              <w:ind w:right="3466"/>
              <w:spacing w:after="0"/>
              <w:rPr>
                <w:sz w:val="20"/>
                <w:szCs w:val="20"/>
                <w:color w:val="auto"/>
              </w:rPr>
            </w:pPr>
            <w:r>
              <w:rPr>
                <w:rFonts w:ascii="Courier New" w:cs="Courier New" w:eastAsia="Courier New" w:hAnsi="Courier New"/>
                <w:sz w:val="15"/>
                <w:szCs w:val="15"/>
                <w:color w:val="auto"/>
                <w:w w:val="97"/>
              </w:rPr>
              <w:t>Stockholders' equity:</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Convertible Preferred Stock, par value $0.01 per share,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1,000,000 shares authorized, 2,626 designated as 6%</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Cumulative Convertible Preferred Stock, 1,500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par value $0.01 per share, 45,000,000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authorized, 21,458,211 shares issued....................</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214,612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paid-in-capital................................</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137,608,696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(130,229,646)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8,412,650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(2,044,609)</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15,461,703</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tcPr>
          <w:p>
            <w:pPr>
              <w:jc w:val="right"/>
              <w:ind w:right="1706"/>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17" w:name="page18"/>
    <w:bookmarkEnd w:id="17"/>
    <w:p>
      <w:pPr>
        <w:ind w:left="194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4" w:lineRule="exact"/>
        <w:rPr>
          <w:sz w:val="20"/>
          <w:szCs w:val="20"/>
          <w:color w:val="auto"/>
        </w:rPr>
      </w:pPr>
    </w:p>
    <w:p>
      <w:pPr>
        <w:ind w:right="3640" w:firstLine="355"/>
        <w:spacing w:after="0"/>
        <w:rPr>
          <w:sz w:val="20"/>
          <w:szCs w:val="20"/>
          <w:color w:val="auto"/>
        </w:rPr>
      </w:pPr>
      <w:r>
        <w:rPr>
          <w:rFonts w:ascii="Courier New" w:cs="Courier New" w:eastAsia="Courier New" w:hAnsi="Courier New"/>
          <w:sz w:val="15"/>
          <w:szCs w:val="15"/>
          <w:color w:val="auto"/>
        </w:rPr>
        <w:t>The following selected consolidated financial data should be read in conjunction with "Management's Discussion and Analysis of Financial Condition and Results of Operations" and our consolidated financial statements and notes to those statements and other financial information included elsewhere in this prospectus.</w:t>
      </w:r>
    </w:p>
    <w:p>
      <w:pPr>
        <w:spacing w:after="0" w:line="174" w:lineRule="exact"/>
        <w:rPr>
          <w:sz w:val="20"/>
          <w:szCs w:val="20"/>
          <w:color w:val="auto"/>
        </w:rPr>
      </w:pPr>
    </w:p>
    <w:p>
      <w:pPr>
        <w:ind w:right="3460" w:firstLine="355"/>
        <w:spacing w:after="0"/>
        <w:rPr>
          <w:sz w:val="20"/>
          <w:szCs w:val="20"/>
          <w:color w:val="auto"/>
        </w:rPr>
      </w:pPr>
      <w:r>
        <w:rPr>
          <w:rFonts w:ascii="Courier New" w:cs="Courier New" w:eastAsia="Courier New" w:hAnsi="Courier New"/>
          <w:sz w:val="15"/>
          <w:szCs w:val="15"/>
          <w:color w:val="auto"/>
        </w:rPr>
        <w:t>The consolidated historical financial data presented below as of December 31, 1996, 1997, 1998, 1999 and 2000 and for the years then ended are derived from our consolidated financial statements, which have been audited by Ernst &amp; Young LLP, our independent auditors. The selected consolidated financial data as of March 31, 2001, and for the three months ended March 31, 2000 and 2001 are derived from our unaudited financial statements. In the opinion of our management, the unaudited financial statements have been prepared on the same basis as the audited consolidated financial statements and include all adjustments (consisting only of normal recurring adjustments) necessary for a fair presentation of the financial position and results of operations for such periods. The selected consolidated financial data for the three months ended March 31, 2001 are not necessarily indicative of the results that may be expected for the year ended December 31, 2001 or any other future period.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0" w:type="dxa"/>
            <w:vAlign w:val="bottom"/>
            <w:gridSpan w:val="4"/>
          </w:tcPr>
          <w:p>
            <w:pPr>
              <w:jc w:val="right"/>
              <w:ind w:right="20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506"/>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346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4"/>
                <w:szCs w:val="4"/>
                <w:color w:val="auto"/>
                <w:w w:val="76"/>
              </w:rPr>
              <w: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346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60" w:type="dxa"/>
            <w:vAlign w:val="bottom"/>
            <w:gridSpan w:val="9"/>
          </w:tcPr>
          <w:p>
            <w:pPr>
              <w:jc w:val="right"/>
              <w:ind w:right="466"/>
              <w:spacing w:after="0"/>
              <w:rPr>
                <w:sz w:val="20"/>
                <w:szCs w:val="20"/>
                <w:color w:val="auto"/>
              </w:rPr>
            </w:pPr>
            <w:r>
              <w:rPr>
                <w:rFonts w:ascii="Courier New" w:cs="Courier New" w:eastAsia="Courier New" w:hAnsi="Courier New"/>
                <w:sz w:val="15"/>
                <w:szCs w:val="15"/>
                <w:color w:val="auto"/>
              </w:rPr>
              <w:t>(IN THOUSANDS, EXCEPT INCOME PER SHARE DATA)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DATA:</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5"/>
              </w:rPr>
              <w:t>and grants............................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7,104</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$ 10,617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Gain on sale of investment..............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1,428</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2,550</w:t>
            </w:r>
          </w:p>
        </w:tc>
      </w:tr>
      <w:tr>
        <w:trPr>
          <w:trHeight w:val="171"/>
        </w:trPr>
        <w:tc>
          <w:tcPr>
            <w:tcW w:w="346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17,130</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18,604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17,659</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9,984</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5,979</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1,644</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Acquired research and development.......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8,344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ECT wind-down and corporate relocation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expenses..............................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3,327</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5"/>
              </w:rPr>
              <w:t>Net income (loss).......................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(13,759)</w:t>
            </w:r>
          </w:p>
        </w:tc>
        <w:tc>
          <w:tcPr>
            <w:tcW w:w="980" w:type="dxa"/>
            <w:vAlign w:val="bottom"/>
            <w:gridSpan w:val="2"/>
          </w:tcPr>
          <w:p>
            <w:pPr>
              <w:jc w:val="right"/>
              <w:ind w:right="109"/>
              <w:spacing w:after="0"/>
              <w:rPr>
                <w:sz w:val="20"/>
                <w:szCs w:val="20"/>
                <w:color w:val="auto"/>
              </w:rPr>
            </w:pPr>
            <w:r>
              <w:rPr>
                <w:rFonts w:ascii="Courier New" w:cs="Courier New" w:eastAsia="Courier New" w:hAnsi="Courier New"/>
                <w:sz w:val="15"/>
                <w:szCs w:val="15"/>
                <w:color w:val="auto"/>
                <w:w w:val="96"/>
              </w:rPr>
              <w:t>$(18,114)</w:t>
            </w:r>
          </w:p>
        </w:tc>
        <w:tc>
          <w:tcPr>
            <w:tcW w:w="9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3"/>
              </w:rPr>
              <w:t>$(12,628)</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$(15,709)</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$(11,125)</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$(1,794)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Basic and diluted net income (loss) per</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share applicable to common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8"/>
              </w:rPr>
              <w:t>stockholders before cumulative effect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5"/>
              </w:rPr>
              <w:t>of a change in accounting principle...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(0.57)</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(0.09)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accounting principle..................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(loss) per share applicable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5"/>
              </w:rPr>
              <w:t>to common stockholders................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(0.58)</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(0.09)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net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income (loss) per share...............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15,430</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16,704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20,068</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19,330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20,989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Shares used in computing diluted income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(loss) per share......................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15,430</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16,704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20,068</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19,330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22,405</w:t>
            </w:r>
          </w:p>
        </w:tc>
      </w:tr>
      <w:tr>
        <w:trPr>
          <w:trHeight w:val="853"/>
        </w:trPr>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506"/>
              <w:spacing w:after="0"/>
              <w:rPr>
                <w:sz w:val="20"/>
                <w:szCs w:val="20"/>
                <w:color w:val="auto"/>
              </w:rPr>
            </w:pPr>
            <w:r>
              <w:rPr>
                <w:rFonts w:ascii="Courier New" w:cs="Courier New" w:eastAsia="Courier New" w:hAnsi="Courier New"/>
                <w:sz w:val="15"/>
                <w:szCs w:val="15"/>
                <w:color w:val="auto"/>
              </w:rPr>
              <w:t>AS OF DECEMBER 31,</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Courier New" w:cs="Courier New" w:eastAsia="Courier New" w:hAnsi="Courier New"/>
                <w:sz w:val="4"/>
                <w:szCs w:val="4"/>
                <w:color w:val="auto"/>
                <w:w w:val="72"/>
              </w:rPr>
              <w:t>----------------------------------------------------</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w w:val="98"/>
              </w:rPr>
              <w:t>Cash, cash equivalents and marketable securities.....</w:t>
            </w: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$42,607</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$29,050</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$17,386</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$ 4,760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$ 6,069</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$ 4,499</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Restricted investments...............................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16,356</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8,413</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Total assets.........................................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58,397</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44,301</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32,866</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15,781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29,795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21,507</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w w:val="98"/>
              </w:rPr>
              <w:t>Long-term debt, including capitalized leases.........</w:t>
            </w: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8,223</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4,108</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3,762</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2,937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2,521</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Redeemable common stock..............................</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8,159</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5,583</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5,249</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5,249</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Stockholders' equity.................................</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34,747</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28,900</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17,897</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3,506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22,982</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15,462</w:t>
            </w:r>
          </w:p>
        </w:tc>
      </w:tr>
      <w:tr>
        <w:trPr>
          <w:trHeight w:val="512"/>
        </w:trPr>
        <w:tc>
          <w:tcPr>
            <w:tcW w:w="34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560"/>
          </w:cols>
          <w:pgMar w:left="240" w:top="457" w:right="1099" w:bottom="1440" w:gutter="0" w:footer="0" w:header="0"/>
        </w:sectPr>
      </w:pPr>
    </w:p>
    <w:bookmarkStart w:id="18" w:name="page19"/>
    <w:bookmarkEnd w:id="18"/>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FOLLOWING DISCUSSION OF OUR FINANCIAL CONDITION AND RESULTS OF OPERATIONS FOR THE THREE MONTHS ENDED MARCH 31, 2001 AND 2000 AND THE YEARS ENDED DECEMBER 31, 2000, 1999 AND 1998 SHOULD BE READ IN CONJUNCTION WITH THE "SELECTED CONSOLIDATED FINANCIAL DATA" SECTION OF THIS PROSPECTUS AND OUR CONSOLIDATED FINANCIAL STATEMENTS AND NOTES TO THOSE STATEMENTS AND OTHER FINANCIAL INFORMATION INCLUDED ELSEWHERE IN THIS PROSPECTUS. THE FORWARD-LOOKING STATEMENTS IN THIS DISCUSSION REGARDING OUR EXPECTATIONS REGARDING OUR FUTURE PERFORMANCE, LIQUIDITY AND CAPITAL RESOURCES AND OTHER NON-HISTORICAL STATEMENTS IN THIS DISCUSSION INVOLVE NUMEROUS RISKS AND UNCERTAINTIES AS DESCRIBED IN THE "RISK FACTORS" SECTION OF THIS PROSPECTUS. OUR ACTUAL RESULTS MAY DIFFER MATERIALLY FROM THOSE CONTAINED IN ANY FORWARD-LOOKING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At the beginning of 1999,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California. As a result of a restructuring in the second half of 1999, our sole focus is now on our stem cell technology. The year 2000 was a year of transition, in which we completed the consolidation and restructuring of our operations. Comparisons with results of operations prior to 2000 are correspondingly less meaningful than they may be under other circumstances.</w:t>
      </w:r>
    </w:p>
    <w:p>
      <w:pPr>
        <w:spacing w:after="0" w:line="180"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or partnering revenues will be available when needed or on terms acceptable to us.</w:t>
      </w:r>
    </w:p>
    <w:p>
      <w:pPr>
        <w:spacing w:after="0" w:line="180"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sale of marketable securities and the initiation or termination of research collaborations, in addition to the winding-down of terminated research and development programs referred to above.</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THREE MONTHS ENDED MARCH 31, 2001 AND 2000</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For the three months ended March 31, 2001, revenues from grants totaled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There was no such revenue for the three months ended March 31, 2000.</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On January 9, 2001, we sold 22,616 Modex shares for a net price of 182.00 Swiss francs per share, which converts to $112.76 per share, for total proceeds and a realized gain of $2,550,000.</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7" w:right="1440" w:bottom="1440" w:gutter="0" w:footer="0" w:header="0"/>
        </w:sectPr>
      </w:pPr>
    </w:p>
    <w:bookmarkStart w:id="19" w:name="page20"/>
    <w:bookmarkEnd w:id="19"/>
    <w:p>
      <w:pPr>
        <w:ind w:right="3119" w:firstLine="355"/>
        <w:spacing w:after="0"/>
        <w:rPr>
          <w:sz w:val="20"/>
          <w:szCs w:val="20"/>
          <w:color w:val="auto"/>
        </w:rPr>
      </w:pPr>
      <w:r>
        <w:rPr>
          <w:rFonts w:ascii="Courier New" w:cs="Courier New" w:eastAsia="Courier New" w:hAnsi="Courier New"/>
          <w:sz w:val="15"/>
          <w:szCs w:val="15"/>
          <w:color w:val="auto"/>
        </w:rPr>
        <w:t>Research and development expenses totaled $1,644,257 for the three months ended March 31, 2001, compared with $906,632 for the same period in 2000. The increase of $737,625 or 81% from 2000 to 2001 was primarily attributable to the related costs of an increase in personnel from 11 full time employees to 19 full time employees to facilitate the expansion of our research programs and initiate development and the cost of leasing a larger facility.</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General and administrative expenses were $996,862 for the three months ended March 31, 2001, compared with $657,714 for the same period in 2000. The increase of $339,148, or 52%, from 2000 to 2001 was primarily attributable to the related costs of an increase in personnel from 5 full time employees to 8 full time employees, which included the hiring of senior management personnel as part of the restructuring and consolidation of our operations in California and the cost of leasing a larger facility.</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expenses related to our ECT research, our Rhode Island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transfer of our headquarters to California for the three months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2000 were $234,386. In December 2000, we created a reserve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$1,780,578 related to the carrying costs for the Rhode Island facilities through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At March 31, 2001 the reserve was $1,381,946.</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Interest income for the three months ended March 31, 2001 and 2000 was $79,041 and $73,332 respectively. Interest expense of $64,460 for the three months ended March 31, 2001 was booked against the wind-down reserve created in 2000 for the whole of 2001, as the expense was part of the bond payments related to the Rhode Island facilities. Interest expense for the same period in 2000 was $68,858. The decrease in 2001 was attributable to lower outstanding debt and capital lease balances in 2001 compared to 2000.</w:t>
      </w:r>
    </w:p>
    <w:p>
      <w:pPr>
        <w:spacing w:after="0" w:line="176"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Other income for the three months ended March 31, 2001 was $180,389, which was a refund from the Citizens Bank of Rhode Island for an overpayment of property taxes in prior years.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Net income for the three months ended March 31, 2001 was $268,541 or $0.01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as compared to net loss of $1,794,258, or $0.09 per share,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period in 2000. The decrease in net loss of $2,062,800 or 115%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same period in 2000 was primarily attributable to a realized gain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$2,550,230 from the sale of a portion of our Modex investment, offset by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expenses attributable to an increase in personnel and the costs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with our move to a larger facility.</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YEARS ENDED DECEMBER 31, 2000, 1999 AND 1998</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Revenues totaled $74,000, $5,022,000 and $8,803,000 for the years ending December 31, 2000, 1999 and 1998, respectively. Revenues for 2000 are from Neurotech, S.A. in return for the assignment of our intellectual property assets relating to Encapsulated Cell Technology. Revenues for 1999 and 1998 were from collaborative agreements, earned primarily from a Development, Marketing and License Agreement with AstraZeneca Group plc, which was signed in March 1995. The decrease in revenues from 1998 to 1999 to 2000 resulted primarily from the June 1999 termination of the Astra agreement.</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Research and development expenses totaled $5,979,000 in 2000, as compared to $9,984,000 in 1999 and $17,659,000 in 1998. The decrease of $4,005,000, or 40%, from 1999 to 2000 and the decrease of $7,675,000 or 43%, from 1998 to 1999, was primarily attributable to the wind-down of research activities relating to our encapsulated cell technology, precipitated by termination of the Astra Agreement.</w:t>
      </w:r>
    </w:p>
    <w:p>
      <w:pPr>
        <w:spacing w:after="0" w:line="17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General and administrative expenses were $3,361,000 in 2000, compared with $4,927,000 in 1999 and $4,603,000 in 1998. The decrease of $1,566,000 or 32%, from 1999 to 2000 was primarily attributable to the relocation of our headquarters to a smaller facility as well as a reduction of personnel.</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0" w:right="1440" w:bottom="1440" w:gutter="0" w:footer="0" w:header="0"/>
        </w:sectPr>
      </w:pPr>
    </w:p>
    <w:bookmarkStart w:id="20" w:name="page21"/>
    <w:bookmarkEnd w:id="20"/>
    <w:p>
      <w:pPr>
        <w:ind w:left="340"/>
        <w:spacing w:after="0"/>
        <w:rPr>
          <w:sz w:val="20"/>
          <w:szCs w:val="20"/>
          <w:color w:val="auto"/>
        </w:rPr>
      </w:pPr>
      <w:r>
        <w:rPr>
          <w:rFonts w:ascii="Courier New" w:cs="Courier New" w:eastAsia="Courier New" w:hAnsi="Courier New"/>
          <w:sz w:val="15"/>
          <w:szCs w:val="15"/>
          <w:color w:val="auto"/>
        </w:rPr>
        <w:t>Wind-down expenses related to our ECT research, our Rhode Island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transfer of our headquarters to California totaled $3,327,000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$6,048,000 for 2000 and 1999, respectively. No such expenses were incurred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1999 expenses included accruals of approximately $1.6 million for employee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costs, $1.9 million in losses and reserves for the write-down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patents and fixed assets, $1.2 million for our costs of settlement of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1989 funding agreement with RIPSAT, $700,000 of estimated additional carrying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through June 30, 2000, and other related expenses totaling $760,000.</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During 2000, we incurred approximately $290,000 of costs in excess of the amounts accrued as of December 31, 1999 for the carrying costs, including lease payments, property taxes and utilities, through the expected June 30, 2000 disposition of the Rhode Island facilities. During the third and fourth quarters of 2000 we incurred additional $1.3 million in carrying costs for the Rhode Island facilities, because we were unable to dispose of them as we had expected. We have created a reserve of $1,780,000 related to the carrying costs for the Rhode Island facilities through 2001. In February 2001, we subleased portions of the facilities and are actively seeking to sublease, assign or sell our remaining interests in the properties. However, there can be no assurance that we will be able to dispose of these facilities in a reasonable time, if at all.</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Interest income for the years ended December 31, 2000, 1999 and 1998 totaled $303,000, $564,000 and $1,254,000, respectively. The average cash and investment balances were $5,668,000, $10,663,000 and $21,795,000 in 2000, 1999 and 1998, respectively. The decrease in interest income from 1998 to 1999 to 2000 was attributable to lower average balances.</w:t>
      </w:r>
    </w:p>
    <w:p>
      <w:pPr>
        <w:spacing w:after="0" w:line="174" w:lineRule="exact"/>
        <w:rPr>
          <w:sz w:val="20"/>
          <w:szCs w:val="20"/>
          <w:color w:val="auto"/>
        </w:rPr>
      </w:pPr>
    </w:p>
    <w:p>
      <w:pPr>
        <w:jc w:val="both"/>
        <w:ind w:right="3479" w:firstLine="355"/>
        <w:spacing w:after="0" w:line="239" w:lineRule="auto"/>
        <w:rPr>
          <w:sz w:val="20"/>
          <w:szCs w:val="20"/>
          <w:color w:val="auto"/>
        </w:rPr>
      </w:pPr>
      <w:r>
        <w:rPr>
          <w:rFonts w:ascii="Courier New" w:cs="Courier New" w:eastAsia="Courier New" w:hAnsi="Courier New"/>
          <w:sz w:val="15"/>
          <w:szCs w:val="15"/>
          <w:color w:val="auto"/>
        </w:rPr>
        <w:t>In 2000, interest expense was $273,000, compared to $335,000 in 1999 and $472,000 in 1998. The decrease from 1998 to 1999 to 2000 was attributable to lower outstanding debt and capital lease balances.</w:t>
      </w:r>
    </w:p>
    <w:p>
      <w:pPr>
        <w:spacing w:after="0" w:line="175"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During the second quarter 2000 we realized a $1,427,000 gain in connection with the sale of a portion of our investment in Modex. Modex</w:t>
      </w:r>
    </w:p>
    <w:p>
      <w:pPr>
        <w:spacing w:after="0" w:line="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Therapeutics, Ltd., a Swiss biotechnology company that completed an initial public offering on June 23, 2000, and is publicly traded on the Swiss Neue Market exchange.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net loss in 2000, 1999 and 1998 was $11,125,000, $15,709,000,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$12,628,000, respectively. The loss per share was $0.58, $.84 and $.69 in 2000,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1998, respectively. The decrease from 1999 to 2000 is primarily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the wind-down of our encapsulated cell technology research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Rhode Island operations and offset by the elimination of revenue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Astra Agreement. The increase from 1998 to 1999 is primarily attributable to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elimination of revenue from the Astra Agreement, which was terminated in</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June 1999, as well as expenses related to the wind-down of our encapsulated cell technology research and our other Rhode Island operations, the transfer of our corporate headquarters to California and an accrual for the our estimate of the costs of settlement of a funding agreement with RIPSAT.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Since our inception, we have financed our operations through the sale of our common and preferred stock, the issuance of long-term debt and capitalized lease obligations, revenues from collaborative agreements, research grants, sales of marketable securities and interest income.</w:t>
      </w:r>
    </w:p>
    <w:p>
      <w:pPr>
        <w:spacing w:after="0" w:line="176" w:lineRule="exact"/>
        <w:rPr>
          <w:sz w:val="20"/>
          <w:szCs w:val="20"/>
          <w:color w:val="auto"/>
        </w:rPr>
      </w:pPr>
    </w:p>
    <w:p>
      <w:pPr>
        <w:ind w:right="3839" w:firstLine="355"/>
        <w:spacing w:after="0" w:line="271" w:lineRule="auto"/>
        <w:rPr>
          <w:sz w:val="20"/>
          <w:szCs w:val="20"/>
          <w:color w:val="auto"/>
        </w:rPr>
      </w:pPr>
      <w:r>
        <w:rPr>
          <w:rFonts w:ascii="Courier New" w:cs="Courier New" w:eastAsia="Courier New" w:hAnsi="Courier New"/>
          <w:sz w:val="14"/>
          <w:szCs w:val="14"/>
          <w:color w:val="auto"/>
        </w:rPr>
        <w:t>We had unrestricted cash and cash equivalents totaling $4,499,000 at March 31, 2001. Cash equivalents are invested in money market funds.</w:t>
      </w:r>
    </w:p>
    <w:p>
      <w:pPr>
        <w:spacing w:after="0" w:line="15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encapsulated cell technology, or ECT. These relationships are now terminated, and we have not yet established corporate partnerships with respect to our stem cell technology.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7" w:right="1440" w:bottom="1440" w:gutter="0" w:footer="0" w:header="0"/>
        </w:sectPr>
      </w:pPr>
    </w:p>
    <w:bookmarkStart w:id="21" w:name="page22"/>
    <w:bookmarkEnd w:id="21"/>
    <w:p>
      <w:pPr>
        <w:ind w:right="3119" w:firstLine="355"/>
        <w:spacing w:after="0"/>
        <w:rPr>
          <w:sz w:val="20"/>
          <w:szCs w:val="20"/>
          <w:color w:val="auto"/>
        </w:rPr>
      </w:pPr>
      <w:r>
        <w:rPr>
          <w:rFonts w:ascii="Courier New" w:cs="Courier New" w:eastAsia="Courier New" w:hAnsi="Courier New"/>
          <w:sz w:val="15"/>
          <w:szCs w:val="15"/>
          <w:color w:val="auto"/>
        </w:rPr>
        <w:t>In the third quarter of 1999, we announced restructuring plans to wind down operations relating to our ECT and to focus our resources on the research and development of our platform of proprietary stem cell technologies. We terminated approximately 68 full time employees and, in October 1999, relocated our corporate headquarters to California. As part of our restructuring of operations and relocation of corporate headquarters to California, we identified a significant amount of excess fixed assets. In December 1999, we completed the disposition of those excess fixed assets, from which we received more than $746,000.</w:t>
      </w:r>
    </w:p>
    <w:p>
      <w:pPr>
        <w:spacing w:after="0" w:line="177" w:lineRule="exact"/>
        <w:rPr>
          <w:sz w:val="20"/>
          <w:szCs w:val="20"/>
          <w:color w:val="auto"/>
        </w:rPr>
      </w:pPr>
    </w:p>
    <w:p>
      <w:pPr>
        <w:jc w:val="both"/>
        <w:ind w:right="3219" w:firstLine="355"/>
        <w:spacing w:after="0" w:line="258"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w:t>
      </w:r>
    </w:p>
    <w:p>
      <w:pPr>
        <w:spacing w:after="0" w:line="1"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 addition, we retained certain non-exclusive rights to use ECT in combination with our proprietary stem cell technologies and in the field of vaccines for prevention and treatment of infectious diseases.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the Rhode Island Partnership for Science and Technology, or RIPSAT,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demanded payment of approximately $2.6 million. While we believe we were not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them under the Funding Agreement. At the same time, IRBA agreed to return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18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 debt service payments and 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177"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0" w:right="1440" w:bottom="1440" w:gutter="0" w:footer="0" w:header="0"/>
        </w:sectPr>
      </w:pPr>
    </w:p>
    <w:bookmarkStart w:id="22" w:name="page23"/>
    <w:bookmarkEnd w:id="22"/>
    <w:p>
      <w:pPr>
        <w:ind w:right="3219"/>
        <w:spacing w:after="0"/>
        <w:rPr>
          <w:sz w:val="20"/>
          <w:szCs w:val="20"/>
          <w:color w:val="auto"/>
        </w:rPr>
      </w:pPr>
      <w:r>
        <w:rPr>
          <w:rFonts w:ascii="Courier New" w:cs="Courier New" w:eastAsia="Courier New" w:hAnsi="Courier New"/>
          <w:sz w:val="15"/>
          <w:szCs w:val="15"/>
          <w:color w:val="auto"/>
        </w:rPr>
        <w:t>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Any unconverted preferred stock will be converted to common stock, at the applicable conversion price, on April 13, 2002. The warrants expire on April 13, 2005.</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is entitled, pursuant to an adjustable warrant issued on August 3, 2000 in connection with the sale of common stock to the Fund, to purchase additional shares of common stock for $0.01 per share. The adjustments to the adjustable warrant are calculated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On January 27, 2001, the Fund's adjustable warrant became exercisable for 463,369 shares of our common stock, and the Fund purchased all of those shares on March 30, 2001, for $4,634. On April 27, 2001, the Fund's adjustable warrant became exercisable for an additional 622,469 shares of our common stock, and the warrant has not been exercised with respect to those shares. The Fund also received on August 3, 2000 a warrant to purchase up to 101,587 shares of common stock at $4.725 per share. This warrant is callable by us at $7.875 per underlying share.</w:t>
      </w:r>
    </w:p>
    <w:p>
      <w:pPr>
        <w:spacing w:after="0" w:line="359"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In addition, the Fund was granted an option for twelve months to purchase up to $3 million of additional common stock. On August 23, 2000 the Fund exercised $1,000,000 of its option to purchase additional common stock at $5.53 per share. The Fund paid $750,000 of the purchase price in connection with the closing on August 30, 2000, and paid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on</w:t>
      </w:r>
    </w:p>
    <w:p>
      <w:pPr>
        <w:spacing w:after="0" w:line="2"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August 23, 2000 a warrant to purchase up to 19,900 shares of common stock at $6.03 per share. This warrant is callable by us at any time at $10.05 per underlying share.</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June 8, 2001, the Fund exercised its remaining option to purchase $2 million of our common stock. At the closing on June 21, 2001, the Fund purchased 457,750 shares of our common stock at $4.3692 per share. The Fund paid $1,500,000 of the purchase price at the closing and will pay the remainder upon effectiveness of a registration statement covering the shares purchased by the Fund and issuable upon exercise of the warrants received by the Fund. The registration statement of which this prospectus forms a part does not cover the shares purchased by or issuable to the Fund. In connection with the closing, the Fund received an adjustable warrant similar to the adjustable warrant issued on August 3, 2000. The Fund also received a warrant to purchase 50,352 shares of our common stock at a price per share of $4.7664. This warrant is callable by us at any time at $7.944 per underlying share.</w:t>
      </w:r>
    </w:p>
    <w:p>
      <w:pPr>
        <w:spacing w:after="0" w:line="350"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We have sold all of our shares of Modex Therapeutics, Ltd. Our final sale of Modex shares occurred on April 30, 2001, when we realized a gain of $5,232,168 net of commissions and other fees. All other sales occurred prior to March 31, 2001. In addition, on April 30, 2001, we sold Modex our rights to future payments under the agreement between us and Neurotech S.A. for $300,000.</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0" w:right="1440" w:bottom="1440" w:gutter="0" w:footer="0" w:header="0"/>
        </w:sectPr>
      </w:pPr>
    </w:p>
    <w:bookmarkStart w:id="23" w:name="page24"/>
    <w:bookmarkEnd w:id="23"/>
    <w:p>
      <w:pPr>
        <w:ind w:right="3119" w:firstLine="355"/>
        <w:spacing w:after="0" w:line="259" w:lineRule="auto"/>
        <w:rPr>
          <w:sz w:val="20"/>
          <w:szCs w:val="20"/>
          <w:color w:val="auto"/>
        </w:rPr>
      </w:pPr>
      <w:r>
        <w:rPr>
          <w:rFonts w:ascii="Courier New" w:cs="Courier New" w:eastAsia="Courier New" w:hAnsi="Courier New"/>
          <w:sz w:val="14"/>
          <w:szCs w:val="14"/>
          <w:color w:val="auto"/>
        </w:rPr>
        <w:t>On May 10, 2001, we entered into a common stock purchase agreement with Sativum Investments Limited for the potential future issuance and sale of up to $30,000,000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We are limited with respect to how often we can exercise a drawdown and the amount of each drawdown. For more details on the equity line, see "Common Stock Purchase Agreement" elsewhere in this prospectus.</w:t>
      </w:r>
    </w:p>
    <w:p>
      <w:pPr>
        <w:spacing w:after="0" w:line="33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8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may, but are not required to, draw down on the equity line from time to time as necessary and possible under the terms of the facility. We also intend to pursue opportunities to obtain additional financing in the future through grants and collaborative research arrangements. We are permitted under the terms of the equity line to pursue unrelated debt and equity financing other than other stand-by equity based credit facilities.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through December 2001. Our cash requirements may vary, however, depending on numerous factors. If for some reason we are not able to drawdown on the equity line, lack of necessary funds may require us to delay, scale back or eliminate some or all of our research and product development programs and/or our capital expenditures or to license our potential products or technologies to third parties.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w:t>
      </w:r>
    </w:p>
    <w:p>
      <w:pPr>
        <w:spacing w:after="0" w:line="174"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(SFAS 133). The statement requires us to recognize all derivatives on the balance sheet at fair value. Derivatives 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Because we had no derivative instruments and do not currently engage in hedging activities, the adoption of Statement No. 133 on January 1, 2001 had no impact on our results of operations or financial position.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24" w:name="page25"/>
    <w:bookmarkEnd w:id="24"/>
    <w:p>
      <w:pPr>
        <w:ind w:left="3180"/>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33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were formerly known as CytoTherapeutics, Inc. Until mid-1990 we had programs in a different technology, encapsulated cell therapy, as well as stem cell programs. We now focus exclusively on the discovery, development and commercialization of our proprietary platform of stem cell technologies. Effective May 2000 we changed our name to StemCells, Inc.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THERAPY BACKGROUND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34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that are essential to life. When cells are damaged or destroyed, they no longer produce, metabolize or accurately regulate these substances. Impaired cellular function is associated with the progressive decline common to many degenerative diseases of the nervous system, such as Parkinson's disease, Alzheimer's disease and amyotrophic lateral sclerosis.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 Cells, however, do this naturally. As a result, investigators have considered replacing failing cells that are no longer producing</w:t>
      </w:r>
    </w:p>
    <w:p>
      <w:pPr>
        <w:spacing w:after="0" w:line="200" w:lineRule="exact"/>
        <w:rPr>
          <w:sz w:val="20"/>
          <w:szCs w:val="20"/>
          <w:color w:val="auto"/>
        </w:rPr>
      </w:pPr>
    </w:p>
    <w:p>
      <w:pPr>
        <w:spacing w:after="0" w:line="30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7" w:right="1440" w:bottom="1440" w:gutter="0" w:footer="0" w:header="0"/>
        </w:sectPr>
      </w:pPr>
    </w:p>
    <w:bookmarkStart w:id="25" w:name="page26"/>
    <w:bookmarkEnd w:id="25"/>
    <w:p>
      <w:pPr>
        <w:ind w:right="3119"/>
        <w:spacing w:after="0"/>
        <w:rPr>
          <w:sz w:val="20"/>
          <w:szCs w:val="20"/>
          <w:color w:val="auto"/>
        </w:rPr>
      </w:pPr>
      <w:r>
        <w:rPr>
          <w:rFonts w:ascii="Courier New" w:cs="Courier New" w:eastAsia="Courier New" w:hAnsi="Courier New"/>
          <w:sz w:val="15"/>
          <w:szCs w:val="15"/>
          <w:color w:val="auto"/>
        </w:rPr>
        <w:t>the needed substances or proteins by implanting stem or progenitor cells capable of regenerating the cell that the degenerative condition has damaged or destroyed. Where there has been irreversible tissue damage or organ failure, transplantation of stem cells offers the possibility of generating new and healthy tissue, thus potentially restoring the organ function and the patient's health.</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347"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obtaining the cells often requires significant surgical procedures. The challenge, therefore, has been three-fold:</w:t>
      </w:r>
    </w:p>
    <w:p>
      <w:pPr>
        <w:spacing w:after="0" w:line="200" w:lineRule="exact"/>
        <w:rPr>
          <w:sz w:val="20"/>
          <w:szCs w:val="20"/>
          <w:color w:val="auto"/>
        </w:rPr>
      </w:pPr>
    </w:p>
    <w:p>
      <w:pPr>
        <w:spacing w:after="0" w:line="300" w:lineRule="exact"/>
        <w:rPr>
          <w:sz w:val="20"/>
          <w:szCs w:val="20"/>
          <w:color w:val="auto"/>
        </w:rPr>
      </w:pPr>
    </w:p>
    <w:p>
      <w:pPr>
        <w:ind w:left="520" w:hanging="174"/>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we can use to expand these rare cells in sufficient quantities for effective transplants;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we can use for transplantation into individuals whose own cells are not suitable because of disease or other reasons.</w:t>
      </w:r>
    </w:p>
    <w:p>
      <w:pPr>
        <w:spacing w:after="0" w:line="34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34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Because these cells have not been genetically modified, they may be especially suitable for transplantation and may provide a safer and more effective alternative to therapies that are based on cells derived from cancer cells, cells modified by a cancer gene, an unpurified mixture of many different cell types, or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hosts accept CNS stem cells that are transplanted into them, and that the cells continue to migrate and specialize to produce mature neurons and glial cells.</w:t>
      </w:r>
    </w:p>
    <w:p>
      <w:pPr>
        <w:spacing w:after="0" w:line="350"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74" w:lineRule="exact"/>
        <w:rPr>
          <w:sz w:val="20"/>
          <w:szCs w:val="20"/>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will be pursuing alliances in these key areas.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345" w:lineRule="exact"/>
        <w:rPr>
          <w:sz w:val="20"/>
          <w:szCs w:val="20"/>
          <w:color w:val="auto"/>
        </w:rPr>
      </w:pPr>
    </w:p>
    <w:p>
      <w:pPr>
        <w:ind w:left="520" w:right="3659" w:hanging="174"/>
        <w:spacing w:after="0" w:line="238"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99" w:hanging="174"/>
        <w:spacing w:after="0" w:line="239"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Stem cells exist for many systems of the human body: the blood and immune system; the central and peripheral nervous systems (including the brain); and the liver, pancreas endocrine, and skin systems. These cells are responsible for organ regeneration during normal cell replacement and, to a limited extent, after injury. We believe that further research and development will allow stem cells to be cultivated and administered in ways that enhance their natural function, so as to form the basis of therapies that will replace specific subsets of cells that disease, injury or genetic defect has damaged or destroyed.</w:t>
      </w:r>
    </w:p>
    <w:p>
      <w:pPr>
        <w:spacing w:after="0" w:line="34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34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Our published studies show that these cultured and expanded cells give rise to all three major cell types of the central nervous system. Also, a separate study that we sponsored that used these cultured stem and progenitor cells showed that the cells are accepted, migrate, and successfully specialize to produce neurons and glial cells.</w:t>
      </w:r>
    </w:p>
    <w:p>
      <w:pPr>
        <w:spacing w:after="0" w:line="200" w:lineRule="exact"/>
        <w:rPr>
          <w:sz w:val="20"/>
          <w:szCs w:val="20"/>
          <w:color w:val="auto"/>
        </w:rPr>
      </w:pPr>
    </w:p>
    <w:p>
      <w:pPr>
        <w:spacing w:after="0" w:line="319"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More recently, we announced the results of a new study that showed that markers present on the surface of freshly obtained brain cells can successfully isolate human central nervous system stem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to therapies that are based on cells derived from cancer cells, cells modified by a cancer gene, an unpurified mixture of cell types, or animal-derived cells. We have also filed an improved process patent for the growth and expansion of these purified normal human central nervous system cells.</w:t>
      </w:r>
    </w:p>
    <w:p>
      <w:pPr>
        <w:spacing w:after="0" w:line="200" w:lineRule="exact"/>
        <w:rPr>
          <w:sz w:val="20"/>
          <w:szCs w:val="20"/>
          <w:color w:val="auto"/>
        </w:rPr>
      </w:pPr>
    </w:p>
    <w:p>
      <w:pPr>
        <w:spacing w:after="0" w:line="306"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to research and develop human central nervous system stem and progenitor cell-based therapies for these diseases.</w:t>
      </w:r>
    </w:p>
    <w:p>
      <w:pPr>
        <w:spacing w:after="0" w:line="200" w:lineRule="exact"/>
        <w:rPr>
          <w:sz w:val="20"/>
          <w:szCs w:val="20"/>
          <w:color w:val="auto"/>
        </w:rPr>
      </w:pPr>
    </w:p>
    <w:p>
      <w:pPr>
        <w:spacing w:after="0" w:line="30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continue to research the islet stem cell in the human pancreas and the liver stem cell. Islet cells are the cells that produce insulin, so islet stem cells may be useful in the treatment of Type 1 diabetes and those cases of Type 2 diabetes where insulin secretion is defective. Liver stem cells may be useful in the treatment of diseases such as hepatitis, cirrhosis of the liver and liver cancer.</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OTHER TREATMENT</w:t>
      </w:r>
    </w:p>
    <w:p>
      <w:pPr>
        <w:spacing w:after="0" w:line="34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loss of nervous system tissue.</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devoted substantial resources to research the isolation and development of a series of stem and progenitor cells that would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following table lists the potential therapeutic indications for, and current status of, our primary research and product development programs. The table is qualified in its entirety by reference to the more detailed descriptions of such programs appearing elsewhere in this prospectus. We continually evaluate our research and product development and reallocate resources in light of experimental results, commercial potential, availability of third party funding, likelihood of near-term efficacy, collaboration success or significant technology enhancement, or other relevant factors. Our research and product development programs are in early stages of development and will require substantial resources to commercialize.</w:t>
      </w:r>
    </w:p>
    <w:p>
      <w:pPr>
        <w:spacing w:after="0" w:line="200" w:lineRule="exact"/>
        <w:rPr>
          <w:sz w:val="20"/>
          <w:szCs w:val="20"/>
          <w:color w:val="auto"/>
        </w:rPr>
      </w:pPr>
    </w:p>
    <w:p>
      <w:pPr>
        <w:spacing w:after="0" w:line="30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7" w:right="1440" w:bottom="1440" w:gutter="0" w:footer="0" w:header="0"/>
        </w:sectPr>
      </w:pPr>
    </w:p>
    <w:bookmarkStart w:id="28" w:name="page29"/>
    <w:bookmarkEnd w:id="28"/>
    <w:p>
      <w:pPr>
        <w:ind w:left="9"/>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9"/>
        <w:spacing w:after="0"/>
        <w:tabs>
          <w:tab w:leader="none" w:pos="5749" w:val="left"/>
        </w:tabs>
        <w:rPr>
          <w:sz w:val="20"/>
          <w:szCs w:val="20"/>
          <w:color w:val="auto"/>
        </w:rPr>
      </w:pPr>
      <w:r>
        <w:rPr>
          <w:rFonts w:ascii="Courier New" w:cs="Courier New" w:eastAsia="Courier New" w:hAnsi="Courier New"/>
          <w:sz w:val="15"/>
          <w:szCs w:val="15"/>
          <w:color w:val="auto"/>
        </w:rPr>
        <w:t>PROGRAM DESCRIPTION AND OBJECTIVE</w:t>
      </w:r>
      <w:r>
        <w:rPr>
          <w:sz w:val="20"/>
          <w:szCs w:val="20"/>
          <w:color w:val="auto"/>
        </w:rPr>
        <w:tab/>
      </w:r>
      <w:r>
        <w:rPr>
          <w:rFonts w:ascii="Courier New" w:cs="Courier New" w:eastAsia="Courier New" w:hAnsi="Courier New"/>
          <w:sz w:val="14"/>
          <w:szCs w:val="14"/>
          <w:color w:val="auto"/>
        </w:rPr>
        <w:t>STAGE/STATUS(1)</w:t>
      </w:r>
    </w:p>
    <w:p>
      <w:pPr>
        <w:spacing w:after="0" w:line="1" w:lineRule="exact"/>
        <w:rPr>
          <w:sz w:val="20"/>
          <w:szCs w:val="20"/>
          <w:color w:val="auto"/>
        </w:rPr>
      </w:pPr>
    </w:p>
    <w:p>
      <w:pPr>
        <w:ind w:left="9"/>
        <w:spacing w:after="0"/>
        <w:tabs>
          <w:tab w:leader="none" w:pos="41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889"/>
        <w:spacing w:after="0"/>
        <w:tabs>
          <w:tab w:leader="none" w:pos="6449" w:val="left"/>
        </w:tabs>
        <w:rPr>
          <w:sz w:val="20"/>
          <w:szCs w:val="20"/>
          <w:color w:val="auto"/>
        </w:rPr>
      </w:pPr>
      <w:r>
        <w:rPr>
          <w:rFonts w:ascii="Courier New" w:cs="Courier New" w:eastAsia="Courier New" w:hAnsi="Courier New"/>
          <w:sz w:val="15"/>
          <w:szCs w:val="15"/>
          <w:color w:val="auto"/>
        </w:rPr>
        <w:t>HUMAN NEURAL STEM CELL</w:t>
      </w:r>
      <w:r>
        <w:rPr>
          <w:sz w:val="20"/>
          <w:szCs w:val="20"/>
          <w:color w:val="auto"/>
        </w:rPr>
        <w:tab/>
      </w:r>
      <w:r>
        <w:rPr>
          <w:rFonts w:ascii="Courier New" w:cs="Courier New" w:eastAsia="Courier New" w:hAnsi="Courier New"/>
          <w:sz w:val="14"/>
          <w:szCs w:val="14"/>
          <w:color w:val="auto"/>
        </w:rPr>
        <w:t>PRECLINICAL</w:t>
      </w:r>
    </w:p>
    <w:p>
      <w:pPr>
        <w:sectPr>
          <w:pgSz w:w="11900" w:h="16838" w:orient="portrait"/>
          <w:cols w:equalWidth="0" w:num="1">
            <w:col w:w="10228"/>
          </w:cols>
          <w:pgMar w:left="231" w:top="457" w:right="1440" w:bottom="1440" w:gutter="0" w:footer="0" w:header="0"/>
        </w:sectPr>
      </w:pPr>
    </w:p>
    <w:p>
      <w:pPr>
        <w:spacing w:after="0" w:line="174" w:lineRule="exact"/>
        <w:rPr>
          <w:sz w:val="20"/>
          <w:szCs w:val="20"/>
          <w:color w:val="auto"/>
        </w:rPr>
      </w:pPr>
    </w:p>
    <w:p>
      <w:pPr>
        <w:ind w:left="9" w:right="255"/>
        <w:spacing w:after="0" w:line="239" w:lineRule="auto"/>
        <w:rPr>
          <w:sz w:val="20"/>
          <w:szCs w:val="20"/>
          <w:color w:val="auto"/>
        </w:rPr>
      </w:pPr>
      <w:r>
        <w:rPr>
          <w:rFonts w:ascii="Courier New" w:cs="Courier New" w:eastAsia="Courier New" w:hAnsi="Courier New"/>
          <w:sz w:val="15"/>
          <w:szCs w:val="15"/>
          <w:color w:val="auto"/>
        </w:rPr>
        <w:t>Repair or replace damaged central nervous system tissue (including spinal cord, degenerated retinas and tissue affected by certain genetic disorders)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45" w:right="1439" w:hanging="345"/>
        <w:spacing w:after="0"/>
        <w:tabs>
          <w:tab w:leader="none" w:pos="3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3" w:lineRule="exact"/>
        <w:rPr>
          <w:rFonts w:ascii="Courier New" w:cs="Courier New" w:eastAsia="Courier New" w:hAnsi="Courier New"/>
          <w:sz w:val="15"/>
          <w:szCs w:val="15"/>
          <w:color w:val="auto"/>
        </w:rPr>
      </w:pPr>
    </w:p>
    <w:p>
      <w:pPr>
        <w:ind w:left="345" w:right="1619" w:hanging="345"/>
        <w:spacing w:after="0" w:line="258" w:lineRule="auto"/>
        <w:tabs>
          <w:tab w:leader="none" w:pos="34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Demonstrated the ability of neurosphere-initiating stem cells from human brain</w:t>
      </w:r>
    </w:p>
    <w:p>
      <w:pPr>
        <w:ind w:left="345" w:right="1359" w:hanging="345"/>
        <w:spacing w:after="0"/>
        <w:tabs>
          <w:tab w:leader="none" w:pos="3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172" w:lineRule="exact"/>
        <w:rPr>
          <w:sz w:val="20"/>
          <w:szCs w:val="20"/>
          <w:color w:val="auto"/>
        </w:rPr>
      </w:pPr>
    </w:p>
    <w:p>
      <w:pPr>
        <w:sectPr>
          <w:pgSz w:w="11900" w:h="16838" w:orient="portrait"/>
          <w:cols w:equalWidth="0" w:num="2">
            <w:col w:w="3984" w:space="720"/>
            <w:col w:w="5525"/>
          </w:cols>
          <w:pgMar w:left="231" w:top="457" w:right="1440" w:bottom="1440" w:gutter="0" w:footer="0" w:header="0"/>
          <w:type w:val="continuous"/>
        </w:sectPr>
      </w:pPr>
    </w:p>
    <w:p>
      <w:pPr>
        <w:ind w:left="789"/>
        <w:spacing w:after="0"/>
        <w:tabs>
          <w:tab w:leader="none" w:pos="6549" w:val="left"/>
        </w:tabs>
        <w:rPr>
          <w:sz w:val="20"/>
          <w:szCs w:val="20"/>
          <w:color w:val="auto"/>
        </w:rPr>
      </w:pPr>
      <w:r>
        <w:rPr>
          <w:rFonts w:ascii="Courier New" w:cs="Courier New" w:eastAsia="Courier New" w:hAnsi="Courier New"/>
          <w:sz w:val="15"/>
          <w:szCs w:val="15"/>
          <w:color w:val="auto"/>
        </w:rPr>
        <w:t>PANCREAS ISLET STEM CELL</w:t>
      </w:r>
      <w:r>
        <w:rPr>
          <w:sz w:val="20"/>
          <w:szCs w:val="20"/>
          <w:color w:val="auto"/>
        </w:rPr>
        <w:tab/>
      </w:r>
      <w:r>
        <w:rPr>
          <w:rFonts w:ascii="Courier New" w:cs="Courier New" w:eastAsia="Courier New" w:hAnsi="Courier New"/>
          <w:sz w:val="14"/>
          <w:szCs w:val="14"/>
          <w:color w:val="auto"/>
        </w:rPr>
        <w:t>RESEARCH</w:t>
      </w:r>
    </w:p>
    <w:p>
      <w:pPr>
        <w:sectPr>
          <w:pgSz w:w="11900" w:h="16838" w:orient="portrait"/>
          <w:cols w:equalWidth="0" w:num="1">
            <w:col w:w="10228"/>
          </w:cols>
          <w:pgMar w:left="231" w:top="457" w:right="1440" w:bottom="1440" w:gutter="0" w:footer="0" w:header="0"/>
          <w:type w:val="continuous"/>
        </w:sectPr>
      </w:pPr>
    </w:p>
    <w:p>
      <w:pPr>
        <w:spacing w:after="0" w:line="174" w:lineRule="exact"/>
        <w:rPr>
          <w:sz w:val="20"/>
          <w:szCs w:val="20"/>
          <w:color w:val="auto"/>
        </w:rPr>
      </w:pPr>
    </w:p>
    <w:p>
      <w:pPr>
        <w:ind w:left="9" w:right="435"/>
        <w:spacing w:after="0" w:line="238" w:lineRule="auto"/>
        <w:rPr>
          <w:sz w:val="20"/>
          <w:szCs w:val="20"/>
          <w:color w:val="auto"/>
        </w:rPr>
      </w:pPr>
      <w:r>
        <w:rPr>
          <w:rFonts w:ascii="Courier New" w:cs="Courier New" w:eastAsia="Courier New" w:hAnsi="Courier New"/>
          <w:sz w:val="15"/>
          <w:szCs w:val="15"/>
          <w:color w:val="auto"/>
        </w:rPr>
        <w:t>Repair or replace damaged pancreas islet tissue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ind w:left="345" w:right="1439" w:hanging="345"/>
        <w:spacing w:after="0" w:line="239" w:lineRule="auto"/>
        <w:tabs>
          <w:tab w:leader="none" w:pos="3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markers on the surface of cells to isolate and culture islet stem cells of the pancreas</w:t>
      </w:r>
    </w:p>
    <w:p>
      <w:pPr>
        <w:spacing w:after="0" w:line="1" w:lineRule="exact"/>
        <w:rPr>
          <w:rFonts w:ascii="Courier New" w:cs="Courier New" w:eastAsia="Courier New" w:hAnsi="Courier New"/>
          <w:sz w:val="15"/>
          <w:szCs w:val="15"/>
          <w:color w:val="auto"/>
        </w:rPr>
      </w:pPr>
    </w:p>
    <w:p>
      <w:pPr>
        <w:ind w:left="345" w:hanging="345"/>
        <w:spacing w:after="0"/>
        <w:tabs>
          <w:tab w:leader="none" w:pos="3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171" w:lineRule="exact"/>
        <w:rPr>
          <w:sz w:val="20"/>
          <w:szCs w:val="20"/>
          <w:color w:val="auto"/>
        </w:rPr>
      </w:pPr>
    </w:p>
    <w:p>
      <w:pPr>
        <w:sectPr>
          <w:pgSz w:w="11900" w:h="16838" w:orient="portrait"/>
          <w:cols w:equalWidth="0" w:num="2">
            <w:col w:w="3984" w:space="720"/>
            <w:col w:w="5525"/>
          </w:cols>
          <w:pgMar w:left="231" w:top="457" w:right="1440" w:bottom="1440" w:gutter="0" w:footer="0" w:header="0"/>
          <w:type w:val="continuous"/>
        </w:sectPr>
      </w:pPr>
    </w:p>
    <w:p>
      <w:pPr>
        <w:ind w:left="1249"/>
        <w:spacing w:after="0"/>
        <w:rPr>
          <w:sz w:val="20"/>
          <w:szCs w:val="20"/>
          <w:color w:val="auto"/>
        </w:rPr>
      </w:pPr>
      <w:r>
        <w:rPr>
          <w:rFonts w:ascii="Courier New" w:cs="Courier New" w:eastAsia="Courier New" w:hAnsi="Courier New"/>
          <w:sz w:val="15"/>
          <w:szCs w:val="15"/>
          <w:color w:val="auto"/>
        </w:rPr>
        <w:t>LIVER STEM CELL</w:t>
      </w:r>
    </w:p>
    <w:p>
      <w:pPr>
        <w:spacing w:after="0" w:line="3" w:lineRule="exact"/>
        <w:rPr>
          <w:sz w:val="20"/>
          <w:szCs w:val="20"/>
          <w:color w:val="auto"/>
        </w:rPr>
      </w:pPr>
    </w:p>
    <w:p>
      <w:pPr>
        <w:ind w:left="9" w:right="515"/>
        <w:spacing w:after="0" w:line="239" w:lineRule="auto"/>
        <w:rPr>
          <w:sz w:val="20"/>
          <w:szCs w:val="20"/>
          <w:color w:val="auto"/>
        </w:rPr>
      </w:pPr>
      <w:r>
        <w:rPr>
          <w:rFonts w:ascii="Courier New" w:cs="Courier New" w:eastAsia="Courier New" w:hAnsi="Courier New"/>
          <w:sz w:val="15"/>
          <w:szCs w:val="15"/>
          <w:color w:val="auto"/>
        </w:rPr>
        <w:t>Repair or replace damaged liver tissue including tissue resulting from certain metabolic genetic diseases</w:t>
      </w:r>
    </w:p>
    <w:p>
      <w:pPr>
        <w:spacing w:after="0" w:line="20" w:lineRule="exact"/>
        <w:rPr>
          <w:sz w:val="20"/>
          <w:szCs w:val="20"/>
          <w:color w:val="auto"/>
        </w:rPr>
      </w:pPr>
      <w:r>
        <w:rPr>
          <w:sz w:val="20"/>
          <w:szCs w:val="20"/>
          <w:color w:val="auto"/>
        </w:rPr>
        <w:br w:type="column"/>
      </w:r>
    </w:p>
    <w:p>
      <w:pPr>
        <w:jc w:val="center"/>
        <w:ind w:right="1094"/>
        <w:spacing w:after="0"/>
        <w:rPr>
          <w:sz w:val="20"/>
          <w:szCs w:val="20"/>
          <w:color w:val="auto"/>
        </w:rPr>
      </w:pPr>
      <w:r>
        <w:rPr>
          <w:rFonts w:ascii="Courier New" w:cs="Courier New" w:eastAsia="Courier New" w:hAnsi="Courier New"/>
          <w:sz w:val="15"/>
          <w:szCs w:val="15"/>
          <w:color w:val="auto"/>
        </w:rPr>
        <w:t>RESEARCH</w:t>
      </w:r>
    </w:p>
    <w:p>
      <w:pPr>
        <w:spacing w:after="0" w:line="3" w:lineRule="exact"/>
        <w:rPr>
          <w:sz w:val="20"/>
          <w:szCs w:val="20"/>
          <w:color w:val="auto"/>
        </w:rPr>
      </w:pPr>
    </w:p>
    <w:p>
      <w:pPr>
        <w:ind w:left="345" w:right="1439" w:hanging="345"/>
        <w:spacing w:after="0" w:line="239" w:lineRule="auto"/>
        <w:tabs>
          <w:tab w:leader="none" w:pos="34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4" w:lineRule="exact"/>
        <w:rPr>
          <w:rFonts w:ascii="Courier New" w:cs="Courier New" w:eastAsia="Courier New" w:hAnsi="Courier New"/>
          <w:sz w:val="15"/>
          <w:szCs w:val="15"/>
          <w:color w:val="auto"/>
        </w:rPr>
      </w:pPr>
    </w:p>
    <w:p>
      <w:pPr>
        <w:ind w:left="345" w:right="1539" w:hanging="345"/>
        <w:spacing w:after="0" w:line="239" w:lineRule="auto"/>
        <w:tabs>
          <w:tab w:leader="none" w:pos="34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5" w:lineRule="exact"/>
        <w:rPr>
          <w:rFonts w:ascii="Courier New" w:cs="Courier New" w:eastAsia="Courier New" w:hAnsi="Courier New"/>
          <w:sz w:val="15"/>
          <w:szCs w:val="15"/>
          <w:color w:val="auto"/>
        </w:rPr>
      </w:pPr>
    </w:p>
    <w:p>
      <w:pPr>
        <w:ind w:left="345" w:right="1539" w:hanging="345"/>
        <w:spacing w:after="0" w:line="239" w:lineRule="auto"/>
        <w:tabs>
          <w:tab w:leader="none" w:pos="34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200" w:lineRule="exact"/>
        <w:rPr>
          <w:sz w:val="20"/>
          <w:szCs w:val="20"/>
          <w:color w:val="auto"/>
        </w:rPr>
      </w:pPr>
    </w:p>
    <w:p>
      <w:pPr>
        <w:sectPr>
          <w:pgSz w:w="11900" w:h="16838" w:orient="portrait"/>
          <w:cols w:equalWidth="0" w:num="2">
            <w:col w:w="3984" w:space="720"/>
            <w:col w:w="5525"/>
          </w:cols>
          <w:pgMar w:left="231" w:top="457" w:right="1440" w:bottom="1440" w:gutter="0" w:footer="0" w:header="0"/>
          <w:type w:val="continuous"/>
        </w:sect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62" w:lineRule="auto"/>
        <w:tabs>
          <w:tab w:leader="none" w:pos="34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32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200" w:lineRule="exact"/>
        <w:rPr>
          <w:sz w:val="20"/>
          <w:szCs w:val="20"/>
          <w:color w:val="auto"/>
        </w:rPr>
      </w:pPr>
    </w:p>
    <w:p>
      <w:pPr>
        <w:spacing w:after="0" w:line="31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Currently, our portfolio of stem cell technology results from our exclusive licensing of central nervous system, stem and progenitor cell technology, animal models for the identification and/or testing of stem and progenitor cells and our own research and development efforts. We believe that therapies using stem cells represent a fundamentally new approach to the treatment of diseases caused by lost or damaged tissue. We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34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345" w:lineRule="exact"/>
        <w:rPr>
          <w:sz w:val="20"/>
          <w:szCs w:val="20"/>
          <w:color w:val="auto"/>
        </w:rPr>
      </w:pPr>
    </w:p>
    <w:p>
      <w:pPr>
        <w:ind w:left="9" w:right="3479" w:firstLine="355"/>
        <w:spacing w:after="0" w:line="262" w:lineRule="auto"/>
        <w:rPr>
          <w:sz w:val="20"/>
          <w:szCs w:val="20"/>
          <w:color w:val="auto"/>
        </w:rPr>
      </w:pPr>
      <w:r>
        <w:rPr>
          <w:rFonts w:ascii="Courier New" w:cs="Courier New" w:eastAsia="Courier New" w:hAnsi="Courier New"/>
          <w:sz w:val="14"/>
          <w:szCs w:val="14"/>
          <w:color w:val="auto"/>
        </w:rPr>
        <w:t>We began our work with central nervous system stem and progenitor cell cultures in collaboration with NeuroSpheres, Ltd., in 1992. We believe NeuroSpheres first invented these cultures. Further, NeuroSpheres granted us exclusive, worldwide licenses, encompassing all uses, to numerous inventions</w:t>
      </w:r>
    </w:p>
    <w:p>
      <w:pPr>
        <w:spacing w:after="0" w:line="32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8"/>
          </w:cols>
          <w:pgMar w:left="231" w:top="457" w:right="1440" w:bottom="1440" w:gutter="0" w:footer="0" w:header="0"/>
          <w:type w:val="continuous"/>
        </w:sectPr>
      </w:pPr>
    </w:p>
    <w:bookmarkStart w:id="29" w:name="page30"/>
    <w:bookmarkEnd w:id="29"/>
    <w:p>
      <w:pPr>
        <w:ind w:right="3219"/>
        <w:spacing w:after="0" w:line="264" w:lineRule="auto"/>
        <w:rPr>
          <w:sz w:val="20"/>
          <w:szCs w:val="20"/>
          <w:color w:val="auto"/>
        </w:rPr>
      </w:pPr>
      <w:r>
        <w:rPr>
          <w:rFonts w:ascii="Courier New" w:cs="Courier New" w:eastAsia="Courier New" w:hAnsi="Courier New"/>
          <w:sz w:val="14"/>
          <w:szCs w:val="14"/>
          <w:color w:val="auto"/>
        </w:rPr>
        <w:t>and associated patents and patent applications. These inventions and associated patents and patent applications are subsequently noted in the section entitled "License Agreements and Sponsored Research Agreements--NeuroSpheres, Ltd."</w:t>
      </w:r>
    </w:p>
    <w:p>
      <w:pPr>
        <w:spacing w:after="0" w:line="200" w:lineRule="exact"/>
        <w:rPr>
          <w:sz w:val="20"/>
          <w:szCs w:val="20"/>
          <w:color w:val="auto"/>
        </w:rPr>
      </w:pPr>
    </w:p>
    <w:p>
      <w:pPr>
        <w:spacing w:after="0" w:line="301"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1997, our scientists invented a reproducible method for growing human central nervous system, stem and progenitor cells in cultures. In preclinical IN VITRO and early IN VIVO studies, we demonstrated that these cells specialize into all three of the cell types of the central nervous system, or CNS.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200" w:lineRule="exact"/>
        <w:rPr>
          <w:sz w:val="20"/>
          <w:szCs w:val="20"/>
          <w:color w:val="auto"/>
        </w:rPr>
      </w:pPr>
    </w:p>
    <w:p>
      <w:pPr>
        <w:spacing w:after="0" w:line="30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The US Patent and Trademark Office has since allowed a patent on those methods. We are expanding our preclinical efforts toward the goal of selecting the proper indications to pursue.</w:t>
      </w:r>
    </w:p>
    <w:p>
      <w:pPr>
        <w:spacing w:after="0" w:line="200" w:lineRule="exact"/>
        <w:rPr>
          <w:sz w:val="20"/>
          <w:szCs w:val="20"/>
          <w:color w:val="auto"/>
        </w:rPr>
      </w:pPr>
    </w:p>
    <w:p>
      <w:pPr>
        <w:spacing w:after="0" w:line="31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This patent covered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200" w:lineRule="exact"/>
        <w:rPr>
          <w:sz w:val="20"/>
          <w:szCs w:val="20"/>
          <w:color w:val="auto"/>
        </w:rPr>
      </w:pPr>
    </w:p>
    <w:p>
      <w:pPr>
        <w:spacing w:after="0" w:line="317"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200" w:lineRule="exact"/>
        <w:rPr>
          <w:sz w:val="20"/>
          <w:szCs w:val="20"/>
          <w:color w:val="auto"/>
        </w:rPr>
      </w:pPr>
    </w:p>
    <w:p>
      <w:pPr>
        <w:spacing w:after="0" w:line="31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using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200" w:lineRule="exact"/>
        <w:rPr>
          <w:sz w:val="20"/>
          <w:szCs w:val="20"/>
          <w:color w:val="auto"/>
        </w:rPr>
      </w:pPr>
    </w:p>
    <w:p>
      <w:pPr>
        <w:spacing w:after="0" w:line="30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The unmodified cells are normal human CNS stem cells and, therefore, may be especially suitable for transplantation. In addition, the cells may provide a safer and more effective alternative to therapies based on cells derived from cancer cells or from an unpurified mix of many different cell types, or from animal derived cells.</w:t>
      </w:r>
    </w:p>
    <w:p>
      <w:pPr>
        <w:spacing w:after="0" w:line="200" w:lineRule="exact"/>
        <w:rPr>
          <w:sz w:val="20"/>
          <w:szCs w:val="20"/>
          <w:color w:val="auto"/>
        </w:rPr>
      </w:pPr>
    </w:p>
    <w:p>
      <w:pPr>
        <w:spacing w:after="0" w:line="317" w:lineRule="exact"/>
        <w:rPr>
          <w:sz w:val="20"/>
          <w:szCs w:val="20"/>
          <w:color w:val="auto"/>
        </w:rPr>
      </w:pPr>
    </w:p>
    <w:p>
      <w:pPr>
        <w:ind w:right="3119" w:firstLine="355"/>
        <w:spacing w:after="0" w:line="262" w:lineRule="auto"/>
        <w:rPr>
          <w:sz w:val="20"/>
          <w:szCs w:val="20"/>
          <w:color w:val="auto"/>
        </w:rPr>
      </w:pPr>
      <w:r>
        <w:rPr>
          <w:rFonts w:ascii="Courier New" w:cs="Courier New" w:eastAsia="Courier New" w:hAnsi="Courier New"/>
          <w:sz w:val="14"/>
          <w:szCs w:val="14"/>
          <w:color w:val="auto"/>
        </w:rPr>
        <w:t>In January 2000, we reported what we regard as an even more important result: In long term animal studies, our researchers took purified and expanded stem cells and transplanted them into the normal brains of immunodeficient mouse hosts, where they took hold and grew into neurons and glial cells.</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30" w:name="page31"/>
    <w:bookmarkEnd w:id="30"/>
    <w:p>
      <w:pPr>
        <w:ind w:right="3119" w:firstLine="355"/>
        <w:spacing w:after="0"/>
        <w:rPr>
          <w:sz w:val="20"/>
          <w:szCs w:val="20"/>
          <w:color w:val="auto"/>
        </w:rPr>
      </w:pPr>
      <w:r>
        <w:rPr>
          <w:rFonts w:ascii="Courier New" w:cs="Courier New" w:eastAsia="Courier New" w:hAnsi="Courier New"/>
          <w:sz w:val="15"/>
          <w:szCs w:val="15"/>
          <w:color w:val="auto"/>
        </w:rPr>
        <w:t>Throughout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347" w:lineRule="exact"/>
        <w:rPr>
          <w:sz w:val="20"/>
          <w:szCs w:val="20"/>
          <w:color w:val="auto"/>
        </w:rPr>
      </w:pPr>
    </w:p>
    <w:p>
      <w:pPr>
        <w:ind w:right="3219" w:firstLine="355"/>
        <w:spacing w:after="0" w:line="258"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175" w:lineRule="exact"/>
        <w:rPr>
          <w:sz w:val="20"/>
          <w:szCs w:val="20"/>
          <w:color w:val="auto"/>
        </w:rPr>
      </w:pPr>
    </w:p>
    <w:p>
      <w:pPr>
        <w:ind w:left="520" w:right="3299" w:hanging="174"/>
        <w:spacing w:after="0" w:line="239" w:lineRule="auto"/>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175"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346"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In addition, this technology could provide a unique animal model for the testing of drugs that act on human brain cells either for effectiveness of the drug against the disease or its toxicity to human nerve cells.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Nora Sarvetnick, Ph.D., of The Scripps Research Institute, in collaboration with some of our senior researchers, has conducted our discovery program directed to the identification, isolation and culturing of the pancreas stem and progenitor cells. It is our intention to bring the research on stem and progenitor cells of the pancreas in house. We expect that Dr. Sarvetnick will continue to consult with us.</w:t>
      </w:r>
    </w:p>
    <w:p>
      <w:pPr>
        <w:spacing w:after="0" w:line="34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31" w:name="page32"/>
    <w:bookmarkEnd w:id="31"/>
    <w:p>
      <w:pPr>
        <w:ind w:right="3219" w:firstLine="355"/>
        <w:spacing w:after="0" w:line="258"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Dr. Sarvetnick and her research team identified these novel markers as being unique to the pancreas islet stem cell for which we have now filed a US patent application. In collaboration with</w:t>
      </w:r>
    </w:p>
    <w:p>
      <w:pPr>
        <w:spacing w:after="0" w:line="1"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Dr. Sarvetnick, we continue to advance the discovery program directed at the identification, isolation and culturing of pancreas stem and progenitor cells using this technology.</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345"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In addition, we obtained a worldwide exclusive license to a novel mouse model of liver failure for evaluating cell transplantation developed by Dr. Grompe.</w:t>
      </w:r>
    </w:p>
    <w:p>
      <w:pPr>
        <w:spacing w:after="0" w:line="200" w:lineRule="exact"/>
        <w:rPr>
          <w:sz w:val="20"/>
          <w:szCs w:val="20"/>
          <w:color w:val="auto"/>
        </w:rPr>
      </w:pPr>
    </w:p>
    <w:p>
      <w:pPr>
        <w:spacing w:after="0" w:line="31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 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200" w:lineRule="exact"/>
        <w:rPr>
          <w:sz w:val="20"/>
          <w:szCs w:val="20"/>
          <w:color w:val="auto"/>
        </w:rPr>
      </w:pPr>
    </w:p>
    <w:p>
      <w:pPr>
        <w:spacing w:after="0" w:line="317"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In 1999, our researchers devised a culture assay that we will use in our efforts to identify liver stem and progenitor cells. In addition to supporting the growth of an early human liver bipotent progenitor cell, it is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200" w:lineRule="exact"/>
        <w:rPr>
          <w:sz w:val="20"/>
          <w:szCs w:val="20"/>
          <w:color w:val="auto"/>
        </w:rPr>
      </w:pPr>
    </w:p>
    <w:p>
      <w:pPr>
        <w:spacing w:after="0" w:line="30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Further, we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Failing to meet this criteria caused AstraZeneca to terminate the collaboration in June 1999.</w:t>
      </w:r>
    </w:p>
    <w:p>
      <w:pPr>
        <w:spacing w:after="0" w:line="200" w:lineRule="exact"/>
        <w:rPr>
          <w:sz w:val="20"/>
          <w:szCs w:val="20"/>
          <w:color w:val="auto"/>
        </w:rPr>
      </w:pPr>
    </w:p>
    <w:p>
      <w:pPr>
        <w:spacing w:after="0" w:line="31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California. We subleased a portion of our former corporate headquarters building and our pilot manufacturing and cell processing facility in Rhode Island are actively seeking to sublease, assign or sell our interest in the remainder.</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32" w:name="page33"/>
    <w:bookmarkEnd w:id="32"/>
    <w:p>
      <w:pPr>
        <w:ind w:right="3219" w:firstLine="355"/>
        <w:spacing w:after="0"/>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transferred these rights to royalties and other payments to Modex. We retained certain non-exclusive rights to use the ECT in combination with our proprietary stem cell technology, and in the field of vaccines for prevention and treatment of infectious diseases.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CALIFORNIA, INC.</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September 26, 1997, we acquired by merger the California corporation StemCells, Inc., currently StemCells California, Inc.,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COLLABORATIONS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34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In July 1996, we, together with certain founding scientists, established Modex Therapeutics, Ltd., a Swiss biotherapeutics company, to pursue extensions of our former technology of ECT for certain applications outside the central nervous system. We, along with the scientists, formed Modex, headquartered in Lausanne, Switzerland,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continued to hold approximately 17% of its stock. Modex completed an initial public offering on June 23, 2000, in the course of which we realized a gain of approximately $1.4 million from the sale of certain shares. After Modex's IPO, we owned 126,193 shares, or approximately 9%, of Modex's equity, subject to a lockup until December 23, 2000. The closing market price of Modex stock on the Swiss Neue Market exchange on January 2, 2001 was 210.00 Swiss francs, or approximately $130.39, per share. On January 9, 2001, we sold 22,616 Modex shares for a net price of 182.00 Swiss francs per share, which converts to $112.76 per share, for total proceeds of approximately $2,550,000. In connection with this sale, we agreed not to resell any more of our remaining 103,577 Modex shares until April 12, 2001. On April 30, 2001, we sold our remaining 103,577 Modex shares for a net price of 87.30 Swiss francs per share, which converts to approximately $50.30, for proceeds from that sale of approximately $5,200,000.</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SPONSORED RESEARCH AGREEMENTS</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In addition, we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200" w:lineRule="exact"/>
        <w:rPr>
          <w:sz w:val="20"/>
          <w:szCs w:val="20"/>
          <w:color w:val="auto"/>
        </w:rPr>
      </w:pPr>
    </w:p>
    <w:p>
      <w:pPr>
        <w:spacing w:after="0" w:line="317" w:lineRule="exact"/>
        <w:rPr>
          <w:sz w:val="20"/>
          <w:szCs w:val="20"/>
          <w:color w:val="auto"/>
        </w:rPr>
      </w:pPr>
    </w:p>
    <w:p>
      <w:pPr>
        <w:jc w:val="both"/>
        <w:ind w:right="3219" w:firstLine="355"/>
        <w:spacing w:after="0" w:line="239" w:lineRule="auto"/>
        <w:rPr>
          <w:sz w:val="20"/>
          <w:szCs w:val="20"/>
          <w:color w:val="auto"/>
        </w:rPr>
      </w:pPr>
      <w:r>
        <w:rPr>
          <w:rFonts w:ascii="Courier New" w:cs="Courier New" w:eastAsia="Courier New" w:hAnsi="Courier New"/>
          <w:sz w:val="15"/>
          <w:szCs w:val="15"/>
          <w:color w:val="auto"/>
        </w:rPr>
        <w:t>Our research agreement with Scripps expired on November 14, 2000. It is our intention to bring the research on stem and progenitor cells of the pancreas in house. Dr. Nora Sarvetnick, who led the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1" w:right="1440" w:bottom="1440" w:gutter="0" w:footer="0" w:header="0"/>
        </w:sectPr>
      </w:pPr>
    </w:p>
    <w:bookmarkStart w:id="33" w:name="page34"/>
    <w:bookmarkEnd w:id="33"/>
    <w:p>
      <w:pPr>
        <w:ind w:right="3119"/>
        <w:spacing w:after="0"/>
        <w:rPr>
          <w:sz w:val="20"/>
          <w:szCs w:val="20"/>
          <w:color w:val="auto"/>
        </w:rPr>
      </w:pPr>
      <w:r>
        <w:rPr>
          <w:rFonts w:ascii="Courier New" w:cs="Courier New" w:eastAsia="Courier New" w:hAnsi="Courier New"/>
          <w:sz w:val="15"/>
          <w:szCs w:val="15"/>
          <w:color w:val="auto"/>
        </w:rPr>
        <w:t>research at Scripps, will continue to consult with us. Our license agreements with Scripps are not affected by the expiration of the research agreement. They will terminate upon expiration, revocation or invalidation of the patents licensed to us, unless governmental regulations require a shorter term. In addition, these license agreements are subject to early termination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 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issued 12,800 shares of common stock amounting to $10,000 to the California Institute of Technology upon execution of the license agreements, and we must pay an additional $10,000 upon the issuance of the patent licensed to us under the relevant agreement. In addition, we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entered into a number of license agreements with commercial and non-profit institutions, as well as a number of research-plus-license agreements with academic organizations. The research agreements provide that we will fund certain research costs, and in return, will possess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SIGNAL PHARMACEUTICALS, INC.</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Celgene has now acquired Signal. Each agreement with Signal will terminate at the expiration of all patents licensed under it, but the licensing party can terminate earlier if the other party breaches its obligations under the agreement or declares bankruptcy. Further,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NEUROSPHERES, LTD.</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so that together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through appropriate testing and by banking representative vials of large-scale cultures. Commercial production is expected to involve expansion of banked cells and packaging them in appropriate containers after formulating the cells in an effective carrier. In addition, the carrier may be used to improve the stability and acceptance of the stem cells or their progeny. Our stem and progenitor cell programs are still in an early stage and, therefore, all of the issues surrounding the manufacture of stem and progenitor cell products are not yet clear.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We intend to have the marketing of our products undertaken by such partners, although we may seek to retain limited marketing rights in specific narrow markets where the product may be addressed by a specialty or niche sales force.</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34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believe that proprietary protection of our inventions will be of major importance to our future business. We possess an aggressive program of vigorously seeking and protecting our intellectual property which we believe might be useful in connection with our products. In addition, we believe that our know-how will provide a significant competitive advantage, and we intend to continue to develop and protect our proprietary know-how. We may also from time to time seek to acquire licenses to important externally developed technologies.</w:t>
      </w:r>
    </w:p>
    <w:p>
      <w:pPr>
        <w:spacing w:after="0" w:line="200" w:lineRule="exact"/>
        <w:rPr>
          <w:sz w:val="20"/>
          <w:szCs w:val="20"/>
          <w:color w:val="auto"/>
        </w:rPr>
      </w:pPr>
    </w:p>
    <w:p>
      <w:pPr>
        <w:spacing w:after="0" w:line="30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possess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57" w:right="1440" w:bottom="1440" w:gutter="0" w:footer="0" w:header="0"/>
        </w:sectPr>
      </w:pPr>
    </w:p>
    <w:bookmarkStart w:id="35" w:name="page36"/>
    <w:bookmarkEnd w:id="35"/>
    <w:p>
      <w:pPr>
        <w:ind w:right="3479"/>
        <w:spacing w:after="0" w:line="239" w:lineRule="auto"/>
        <w:rPr>
          <w:sz w:val="20"/>
          <w:szCs w:val="20"/>
          <w:color w:val="auto"/>
        </w:rPr>
      </w:pPr>
      <w:r>
        <w:rPr>
          <w:rFonts w:ascii="Courier New" w:cs="Courier New" w:eastAsia="Courier New" w:hAnsi="Courier New"/>
          <w:sz w:val="15"/>
          <w:szCs w:val="15"/>
          <w:color w:val="auto"/>
        </w:rPr>
        <w:t>neural stem cell therapy area includes 25 issued U.S. patents. An additional fifteen patent applications are pending, four of which the U.S. Patent and Trademark Office has allowed.</w:t>
      </w:r>
    </w:p>
    <w:p>
      <w:pPr>
        <w:spacing w:after="0" w:line="346"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We own, or have filed, the following United States Patents and patent applications:</w:t>
      </w:r>
    </w:p>
    <w:p>
      <w:pPr>
        <w:spacing w:after="0" w:line="343" w:lineRule="exact"/>
        <w:rPr>
          <w:sz w:val="20"/>
          <w:szCs w:val="20"/>
          <w:color w:val="auto"/>
        </w:rPr>
      </w:pPr>
    </w:p>
    <w:p>
      <w:pPr>
        <w:ind w:left="520" w:hanging="174"/>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5,968,829 (Human CNS neural stem cells)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6,103,530 (Human CNS neural stem cells--culture media)</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479" w:hanging="174"/>
        <w:spacing w:after="0" w:line="238"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6,238,922 (Use of collagenase in the preparation of neural stem cell cultures)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479" w:hanging="174"/>
        <w:spacing w:after="0" w:line="238"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6,242,666 (An animal model for identifying a common stem/progenitor to liver cells and pancreatic cells)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99/11758 (Cultures of human CNS neural stem cells)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00/36091 (An animal model for identifying a common stem/progenitor to liver cells and pancreatic cells)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119" w:hanging="174"/>
        <w:spacing w:after="0" w:line="239"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WO98/50526 (Generation, characterization, and isolation of neuroepithelial stem cells and lineage restricted intermediate precursor)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00/50572 (Use of collagenase in the preparation of neural stem cell cultures)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00/47762 (Enriched neural stem cell populations and methods of identifying, isolating, and enriching neural stem cells)</w:t>
      </w:r>
    </w:p>
    <w:p>
      <w:pPr>
        <w:spacing w:after="0" w:line="200" w:lineRule="exact"/>
        <w:rPr>
          <w:sz w:val="20"/>
          <w:szCs w:val="20"/>
          <w:color w:val="auto"/>
        </w:rPr>
      </w:pPr>
    </w:p>
    <w:p>
      <w:pPr>
        <w:spacing w:after="0" w:line="316" w:lineRule="exact"/>
        <w:rPr>
          <w:sz w:val="20"/>
          <w:szCs w:val="20"/>
          <w:color w:val="auto"/>
        </w:rPr>
      </w:pPr>
    </w:p>
    <w:p>
      <w:pPr>
        <w:ind w:right="4099" w:firstLine="355"/>
        <w:spacing w:after="0" w:line="238" w:lineRule="auto"/>
        <w:rPr>
          <w:sz w:val="20"/>
          <w:szCs w:val="20"/>
          <w:color w:val="auto"/>
        </w:rPr>
      </w:pPr>
      <w:r>
        <w:rPr>
          <w:rFonts w:ascii="Courier New" w:cs="Courier New" w:eastAsia="Courier New" w:hAnsi="Courier New"/>
          <w:sz w:val="15"/>
          <w:szCs w:val="15"/>
          <w:color w:val="auto"/>
        </w:rPr>
        <w:t>We licensed the following United States Patents or pending patent applications from Neurospheres Holdings Ltd.:</w:t>
      </w:r>
    </w:p>
    <w:p>
      <w:pPr>
        <w:spacing w:after="0" w:line="200" w:lineRule="exact"/>
        <w:rPr>
          <w:sz w:val="20"/>
          <w:szCs w:val="20"/>
          <w:color w:val="auto"/>
        </w:rPr>
      </w:pPr>
    </w:p>
    <w:p>
      <w:pPr>
        <w:spacing w:after="0" w:line="314" w:lineRule="exact"/>
        <w:rPr>
          <w:sz w:val="20"/>
          <w:szCs w:val="20"/>
          <w:color w:val="auto"/>
        </w:rPr>
      </w:pPr>
    </w:p>
    <w:p>
      <w:pPr>
        <w:ind w:left="520" w:hanging="174"/>
        <w:spacing w:after="0"/>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5,851,832 (IN VITRO proliferation)</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5,750,376 (IN VITRO genetic modification)</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219" w:hanging="174"/>
        <w:spacing w:after="0" w:line="271" w:lineRule="auto"/>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Patent Number 5,981,165 (IN VITRO production of dopaminergic cells from mammalian central nervous system multipotent stem cell compositions)</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520" w:right="3659" w:hanging="174"/>
        <w:spacing w:after="0" w:line="238"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6,093,531 (Generation of hematopoietic cells from multipotent neural stem cells)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5,980,885 (Methods for inducing IN VIVO proliferation of precursor cells)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399" w:hanging="174"/>
        <w:spacing w:after="0" w:line="238"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6,071,889 (Methods for IN VIVO transfer of a nucleic acid sequence to proliferating neural cells)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6,165,783 (Methods of inducing differentiation of multipotent neural stem cells)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4019" w:hanging="174"/>
        <w:spacing w:after="0" w:line="238"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93/01275 (Mammalian central nervous system multipotent stem cell compositions)</w:t>
      </w:r>
    </w:p>
    <w:p>
      <w:pPr>
        <w:sectPr>
          <w:pgSz w:w="11900" w:h="16838" w:orient="portrait"/>
          <w:cols w:equalWidth="0" w:num="1">
            <w:col w:w="10219"/>
          </w:cols>
          <w:pgMar w:left="240" w:top="631" w:right="1440" w:bottom="0" w:gutter="0" w:footer="0" w:header="0"/>
        </w:sectPr>
      </w:pPr>
    </w:p>
    <w:bookmarkStart w:id="36" w:name="page37"/>
    <w:bookmarkEnd w:id="36"/>
    <w:p>
      <w:pPr>
        <w:ind w:left="174" w:right="3579" w:hanging="174"/>
        <w:spacing w:after="0" w:line="238" w:lineRule="auto"/>
        <w:tabs>
          <w:tab w:leader="none" w:pos="17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94/09119 (Remyelination using mammalian central nervous system multipotent stem cell compositions)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174" w:right="3479" w:hanging="174"/>
        <w:spacing w:after="0" w:line="239" w:lineRule="auto"/>
        <w:tabs>
          <w:tab w:leader="none" w:pos="17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94/10292 (Biological factors useful in differentiating mammalian central nervous system multipotent stem cell compositions)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174" w:right="3299" w:hanging="174"/>
        <w:spacing w:after="0" w:line="238" w:lineRule="auto"/>
        <w:tabs>
          <w:tab w:leader="none" w:pos="17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94/16718 (Genetically engineered mammalian central nervous system multipotent stem cell compositions)</w:t>
      </w:r>
    </w:p>
    <w:p>
      <w:pPr>
        <w:spacing w:after="0" w:line="343"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873"/>
          </w:cols>
          <w:pgMar w:left="586" w:top="312" w:right="1440" w:bottom="1440" w:gutter="0" w:footer="0" w:header="0"/>
        </w:sectPr>
      </w:pPr>
    </w:p>
    <w:bookmarkStart w:id="37" w:name="page38"/>
    <w:bookmarkEnd w:id="37"/>
    <w:p>
      <w:pPr>
        <w:spacing w:after="0" w:line="32" w:lineRule="exact"/>
        <w:rPr>
          <w:sz w:val="20"/>
          <w:szCs w:val="20"/>
          <w:color w:val="auto"/>
        </w:rPr>
      </w:pPr>
    </w:p>
    <w:p>
      <w:pPr>
        <w:ind w:left="520" w:right="3659" w:hanging="174"/>
        <w:spacing w:after="0" w:line="238" w:lineRule="auto"/>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96/15224 (Differentiation of mammalian central nervous system multipotent stem cell compositions)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99/2196 (Erythropoietin-mediated neurogenesis)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99/16863 (Generation of hematopoietic cells)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20" w:right="3759" w:hanging="174"/>
        <w:spacing w:after="0" w:line="238" w:lineRule="auto"/>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98/22127 (Pretreatment with growth factors to protect against CNS damage)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759" w:hanging="174"/>
        <w:spacing w:after="0" w:line="238" w:lineRule="auto"/>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97/3560 (IN SITU manipulation of cells of the hippocampus)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96/09543 (IN VITRO models of CNS functions and dysfunctions)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95/13364 (IN SITU modification and manipulation of stem cells of the CNS)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line="271" w:lineRule="auto"/>
        <w:tabs>
          <w:tab w:leader="none" w:pos="5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Number WO 96/15226 (IN VITRO production of dopaminergic cells from mammalian central nervous system multipotent stem cell composition)</w:t>
      </w:r>
    </w:p>
    <w:p>
      <w:pPr>
        <w:spacing w:after="0" w:line="324" w:lineRule="exact"/>
        <w:rPr>
          <w:rFonts w:ascii="Courier New" w:cs="Courier New" w:eastAsia="Courier New" w:hAnsi="Courier New"/>
          <w:sz w:val="14"/>
          <w:szCs w:val="14"/>
          <w:color w:val="auto"/>
        </w:rPr>
      </w:pPr>
    </w:p>
    <w:p>
      <w:pPr>
        <w:ind w:left="520" w:right="4199" w:hanging="174"/>
        <w:spacing w:after="0" w:line="238" w:lineRule="auto"/>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96/15266 (Regulation of neural stem cell proliferation).</w:t>
      </w:r>
    </w:p>
    <w:p>
      <w:pPr>
        <w:spacing w:after="0" w:line="346" w:lineRule="exact"/>
        <w:rPr>
          <w:sz w:val="20"/>
          <w:szCs w:val="20"/>
          <w:color w:val="auto"/>
        </w:rPr>
      </w:pPr>
    </w:p>
    <w:p>
      <w:pPr>
        <w:ind w:right="4099" w:firstLine="355"/>
        <w:spacing w:after="0" w:line="238" w:lineRule="auto"/>
        <w:rPr>
          <w:sz w:val="20"/>
          <w:szCs w:val="20"/>
          <w:color w:val="auto"/>
        </w:rPr>
      </w:pPr>
      <w:r>
        <w:rPr>
          <w:rFonts w:ascii="Courier New" w:cs="Courier New" w:eastAsia="Courier New" w:hAnsi="Courier New"/>
          <w:sz w:val="15"/>
          <w:szCs w:val="15"/>
          <w:color w:val="auto"/>
        </w:rPr>
        <w:t>We licensed the following United States Patents or pending patent applications from the University of California, San Diego:</w:t>
      </w:r>
    </w:p>
    <w:p>
      <w:pPr>
        <w:spacing w:after="0" w:line="200" w:lineRule="exact"/>
        <w:rPr>
          <w:sz w:val="20"/>
          <w:szCs w:val="20"/>
          <w:color w:val="auto"/>
        </w:rPr>
      </w:pPr>
    </w:p>
    <w:p>
      <w:pPr>
        <w:spacing w:after="0" w:line="314" w:lineRule="exact"/>
        <w:rPr>
          <w:sz w:val="20"/>
          <w:szCs w:val="20"/>
          <w:color w:val="auto"/>
        </w:rPr>
      </w:pPr>
    </w:p>
    <w:p>
      <w:pPr>
        <w:ind w:left="520" w:hanging="174"/>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5,776,948 (Method of production of neuroblasts)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6,013,521 (Method of production of neuroblasts)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6,020,197 (Method of production of neuroblasts)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94/16059 (Method of production of neuroblasts)</w:t>
      </w:r>
    </w:p>
    <w:p>
      <w:pPr>
        <w:spacing w:after="0" w:line="344"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00/52143 (Methods of enriching a population of uncultured cells).</w:t>
      </w:r>
    </w:p>
    <w:p>
      <w:pPr>
        <w:spacing w:after="0" w:line="346" w:lineRule="exact"/>
        <w:rPr>
          <w:sz w:val="20"/>
          <w:szCs w:val="20"/>
          <w:color w:val="auto"/>
        </w:rPr>
      </w:pPr>
    </w:p>
    <w:p>
      <w:pPr>
        <w:ind w:right="4099" w:firstLine="355"/>
        <w:spacing w:after="0" w:line="238" w:lineRule="auto"/>
        <w:rPr>
          <w:sz w:val="20"/>
          <w:szCs w:val="20"/>
          <w:color w:val="auto"/>
        </w:rPr>
      </w:pPr>
      <w:r>
        <w:rPr>
          <w:rFonts w:ascii="Courier New" w:cs="Courier New" w:eastAsia="Courier New" w:hAnsi="Courier New"/>
          <w:sz w:val="15"/>
          <w:szCs w:val="15"/>
          <w:color w:val="auto"/>
        </w:rPr>
        <w:t>We licensed the following United States Patents or pending patent applications from the California Institute of Technology:</w:t>
      </w:r>
    </w:p>
    <w:p>
      <w:pPr>
        <w:spacing w:after="0" w:line="200" w:lineRule="exact"/>
        <w:rPr>
          <w:sz w:val="20"/>
          <w:szCs w:val="20"/>
          <w:color w:val="auto"/>
        </w:rPr>
      </w:pPr>
    </w:p>
    <w:p>
      <w:pPr>
        <w:spacing w:after="0" w:line="316" w:lineRule="exact"/>
        <w:rPr>
          <w:sz w:val="20"/>
          <w:szCs w:val="20"/>
          <w:color w:val="auto"/>
        </w:rPr>
      </w:pPr>
    </w:p>
    <w:p>
      <w:pPr>
        <w:ind w:left="520" w:right="3399" w:hanging="174"/>
        <w:spacing w:after="0" w:line="238"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5,629,159 (Immortalization and disimmortalization of cells)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96/40877 (Immortalization and disimmortalization of cells)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Patent Number 5,935,811 (Neuron restrictive silencer factor proteins)</w:t>
      </w:r>
    </w:p>
    <w:p>
      <w:pPr>
        <w:spacing w:after="0" w:line="200" w:lineRule="exact"/>
        <w:rPr>
          <w:rFonts w:ascii="Courier New" w:cs="Courier New" w:eastAsia="Courier New" w:hAnsi="Courier New"/>
          <w:sz w:val="14"/>
          <w:szCs w:val="14"/>
          <w:color w:val="auto"/>
        </w:rPr>
      </w:pPr>
    </w:p>
    <w:p>
      <w:pPr>
        <w:spacing w:after="0" w:line="324" w:lineRule="exact"/>
        <w:rPr>
          <w:rFonts w:ascii="Courier New" w:cs="Courier New" w:eastAsia="Courier New" w:hAnsi="Courier New"/>
          <w:sz w:val="14"/>
          <w:szCs w:val="14"/>
          <w:color w:val="auto"/>
        </w:rPr>
      </w:pPr>
    </w:p>
    <w:p>
      <w:pPr>
        <w:ind w:left="520" w:right="3839" w:hanging="174"/>
        <w:spacing w:after="0" w:line="238"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96/27665 (Neuron restrictive silencer factor proteins)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5,589,376 (Mammalian neural crest stem cells)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5,824,489 (Methods for isolating mammalian multipotent</w:t>
      </w:r>
    </w:p>
    <w:p>
      <w:pPr>
        <w:sectPr>
          <w:pgSz w:w="11900" w:h="16870" w:orient="portrait"/>
          <w:cols w:equalWidth="0" w:num="1">
            <w:col w:w="10219"/>
          </w:cols>
          <w:pgMar w:left="240" w:top="631" w:right="1440" w:bottom="0" w:gutter="0" w:footer="0" w:header="0"/>
        </w:sectPr>
      </w:pPr>
    </w:p>
    <w:bookmarkStart w:id="38" w:name="page39"/>
    <w:bookmarkEnd w:id="38"/>
    <w:p>
      <w:pPr>
        <w:ind w:left="174"/>
        <w:spacing w:after="0"/>
        <w:rPr>
          <w:sz w:val="20"/>
          <w:szCs w:val="20"/>
          <w:color w:val="auto"/>
        </w:rPr>
      </w:pPr>
      <w:r>
        <w:rPr>
          <w:rFonts w:ascii="Courier New" w:cs="Courier New" w:eastAsia="Courier New" w:hAnsi="Courier New"/>
          <w:sz w:val="15"/>
          <w:szCs w:val="15"/>
          <w:color w:val="auto"/>
        </w:rPr>
        <w:t>neural crest stem cells)</w:t>
      </w:r>
    </w:p>
    <w:p>
      <w:pPr>
        <w:spacing w:after="0" w:line="200" w:lineRule="exact"/>
        <w:rPr>
          <w:sz w:val="20"/>
          <w:szCs w:val="20"/>
          <w:color w:val="auto"/>
        </w:rPr>
      </w:pPr>
    </w:p>
    <w:p>
      <w:pPr>
        <w:spacing w:after="0" w:line="313" w:lineRule="exact"/>
        <w:rPr>
          <w:sz w:val="20"/>
          <w:szCs w:val="20"/>
          <w:color w:val="auto"/>
        </w:rPr>
      </w:pPr>
    </w:p>
    <w:p>
      <w:pPr>
        <w:ind w:left="174" w:hanging="174"/>
        <w:spacing w:after="0"/>
        <w:tabs>
          <w:tab w:leader="none" w:pos="17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94/02593 (Mammalian neural crest stem cells)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174" w:right="3579" w:hanging="174"/>
        <w:spacing w:after="0" w:line="238" w:lineRule="auto"/>
        <w:tabs>
          <w:tab w:leader="none" w:pos="17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5,654,183 (Genetically engineered mammalian neural crest stem cells)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174" w:right="3579" w:hanging="174"/>
        <w:spacing w:after="0" w:line="238" w:lineRule="auto"/>
        <w:tabs>
          <w:tab w:leader="none" w:pos="17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5,928,947 (Mammalian multipotent neural crest stem cells)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174" w:hanging="174"/>
        <w:spacing w:after="0"/>
        <w:tabs>
          <w:tab w:leader="none" w:pos="17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5,693,482 (IN VITRO neural crest stem cell assay)</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174" w:right="3579" w:hanging="174"/>
        <w:spacing w:after="0" w:line="238" w:lineRule="auto"/>
        <w:tabs>
          <w:tab w:leader="none" w:pos="17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6,001,654 (Methods for differentiating neural stem cells to neurons or smooth muscle cells (TGFb))</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174" w:right="3399" w:hanging="174"/>
        <w:spacing w:after="0" w:line="238" w:lineRule="auto"/>
        <w:tabs>
          <w:tab w:leader="none" w:pos="17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Number WO 98/48001 (Methods for differentiating neural stem cells to neurons or smooth muscle cells (TGFb))</w:t>
      </w:r>
    </w:p>
    <w:p>
      <w:pPr>
        <w:spacing w:after="0" w:line="343"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873"/>
          </w:cols>
          <w:pgMar w:left="586" w:top="139" w:right="1440" w:bottom="1440" w:gutter="0" w:footer="0" w:header="0"/>
        </w:sectPr>
      </w:pPr>
    </w:p>
    <w:bookmarkStart w:id="39" w:name="page40"/>
    <w:bookmarkEnd w:id="39"/>
    <w:p>
      <w:pPr>
        <w:ind w:left="520" w:right="3119" w:hanging="174"/>
        <w:spacing w:after="0" w:line="238"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5,672,499 (Methods for immortalizing multipotent neural crest stem cells)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4019" w:hanging="174"/>
        <w:spacing w:after="0" w:line="238"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5,849,553 (Immortalizing and disimmortalizing multipotent neural crest stem cells)</w:t>
      </w:r>
    </w:p>
    <w:p>
      <w:pPr>
        <w:spacing w:after="0" w:line="345"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Patent Number 6,033,906 (Differentiating mammalian neural stem cells to glial cells using neuregulins).</w:t>
      </w:r>
    </w:p>
    <w:p>
      <w:pPr>
        <w:spacing w:after="0" w:line="34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also rely upon trade secret protection for our confidential and proprietary information and take active measures to control access to that information. For instance, 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200" w:lineRule="exact"/>
        <w:rPr>
          <w:sz w:val="20"/>
          <w:szCs w:val="20"/>
          <w:color w:val="auto"/>
        </w:rPr>
      </w:pPr>
    </w:p>
    <w:p>
      <w:pPr>
        <w:spacing w:after="0" w:line="32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it believes may be important to the development of its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neural and pancreatic stem cells.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34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The targeted disease states for our initial products in some instances currently have no effective long-term therapies. We do, however,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possess significant products approved or in development that could be competitive with our potential products.</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347"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In addition, we may face competition from companies that filed patent applications relating to the use of genetically modified cells to treat disease, disorder or injury. We may be required to seek licenses from these competitors in order to commercialize certain of our proposed products.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40" w:name="page41"/>
    <w:bookmarkEnd w:id="40"/>
    <w:p>
      <w:pPr>
        <w:ind w:left="9" w:right="3119" w:firstLine="355"/>
        <w:spacing w:after="0"/>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7"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GOVERNMENT REGULATION</w:t>
      </w:r>
    </w:p>
    <w:p>
      <w:pPr>
        <w:spacing w:after="0" w:line="345"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Our research and development activities are subject to regulation by numerous governmental authorities in the United States and other countries. The future manufacturing and marketing of our potential products will be likewise regulated.</w:t>
      </w:r>
    </w:p>
    <w:p>
      <w:pPr>
        <w:spacing w:after="0" w:line="200" w:lineRule="exact"/>
        <w:rPr>
          <w:sz w:val="20"/>
          <w:szCs w:val="20"/>
          <w:color w:val="auto"/>
        </w:rPr>
      </w:pPr>
    </w:p>
    <w:p>
      <w:pPr>
        <w:spacing w:after="0" w:line="318"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the United States, pharmaceuticals, biologicals and medical devices are subject to rigorous Food and Drug Administration, or FDA, regulation. The Federal Food, Drug and Cosmetic Act and the Public Health Service Act, as well as other Federal and state statutes and regulations, govern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34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FDA APPROVAL</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589"/>
        <w:spacing w:after="0"/>
        <w:tabs>
          <w:tab w:leader="none" w:pos="538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 w:lineRule="exact"/>
        <w:rPr>
          <w:sz w:val="20"/>
          <w:szCs w:val="20"/>
          <w:color w:val="auto"/>
        </w:rPr>
      </w:pPr>
    </w:p>
    <w:p>
      <w:pPr>
        <w:ind w:left="9"/>
        <w:spacing w:after="0"/>
        <w:tabs>
          <w:tab w:leader="none" w:pos="39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8"/>
          </w:cols>
          <w:pgMar w:left="231" w:top="460" w:right="1440" w:bottom="1440" w:gutter="0" w:footer="0" w:header="0"/>
        </w:sectPr>
      </w:pPr>
    </w:p>
    <w:p>
      <w:pPr>
        <w:spacing w:after="0" w:line="174" w:lineRule="exact"/>
        <w:rPr>
          <w:sz w:val="20"/>
          <w:szCs w:val="20"/>
          <w:color w:val="auto"/>
        </w:rPr>
      </w:pPr>
    </w:p>
    <w:p>
      <w:pPr>
        <w:ind w:left="9" w:hanging="9"/>
        <w:spacing w:after="0" w:line="238" w:lineRule="auto"/>
        <w:tabs>
          <w:tab w:leader="none" w:pos="27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Preclinical laboratory and animal tests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979"/>
        <w:spacing w:after="0"/>
        <w:rPr>
          <w:sz w:val="20"/>
          <w:szCs w:val="20"/>
          <w:color w:val="auto"/>
        </w:rPr>
      </w:pPr>
      <w:r>
        <w:rPr>
          <w:rFonts w:ascii="Courier New" w:cs="Courier New" w:eastAsia="Courier New" w:hAnsi="Courier New"/>
          <w:sz w:val="15"/>
          <w:szCs w:val="15"/>
          <w:color w:val="auto"/>
        </w:rPr>
        <w:t>Preclinical tests include laboratory evaluation of the product and animal studies in specific disease models to assess the potential safety and efficacy of the product and our formulation as well as the quality and consistency of the manufacturing process.</w:t>
      </w:r>
    </w:p>
    <w:p>
      <w:pPr>
        <w:spacing w:after="0" w:line="175" w:lineRule="exact"/>
        <w:rPr>
          <w:sz w:val="20"/>
          <w:szCs w:val="20"/>
          <w:color w:val="auto"/>
        </w:rPr>
      </w:pPr>
    </w:p>
    <w:p>
      <w:pPr>
        <w:sectPr>
          <w:pgSz w:w="11900" w:h="16838" w:orient="portrait"/>
          <w:cols w:equalWidth="0" w:num="2">
            <w:col w:w="3189" w:space="620"/>
            <w:col w:w="6419"/>
          </w:cols>
          <w:pgMar w:left="231" w:top="460" w:right="1440" w:bottom="1440" w:gutter="0" w:footer="0" w:header="0"/>
          <w:type w:val="continuous"/>
        </w:sectPr>
      </w:pPr>
    </w:p>
    <w:p>
      <w:pPr>
        <w:ind w:left="9" w:hanging="9"/>
        <w:spacing w:after="0"/>
        <w:tabs>
          <w:tab w:leader="none" w:pos="27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 for an Investigational New Drug Exemption, or IND, which must become effective before human clinical trials in the U.S. may commence</w:t>
      </w:r>
    </w:p>
    <w:p>
      <w:pPr>
        <w:spacing w:after="0" w:line="20" w:lineRule="exact"/>
        <w:rPr>
          <w:sz w:val="20"/>
          <w:szCs w:val="20"/>
          <w:color w:val="auto"/>
        </w:rPr>
      </w:pPr>
      <w:r>
        <w:rPr>
          <w:sz w:val="20"/>
          <w:szCs w:val="20"/>
          <w:color w:val="auto"/>
        </w:rPr>
        <w:br w:type="column"/>
      </w:r>
    </w:p>
    <w:p>
      <w:pPr>
        <w:ind w:right="1979"/>
        <w:spacing w:after="0" w:line="261" w:lineRule="auto"/>
        <w:rPr>
          <w:sz w:val="20"/>
          <w:szCs w:val="20"/>
          <w:color w:val="auto"/>
        </w:rPr>
      </w:pPr>
      <w:r>
        <w:rPr>
          <w:rFonts w:ascii="Courier New" w:cs="Courier New" w:eastAsia="Courier New" w:hAnsi="Courier New"/>
          <w:sz w:val="14"/>
          <w:szCs w:val="14"/>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200" w:lineRule="exact"/>
        <w:rPr>
          <w:sz w:val="20"/>
          <w:szCs w:val="20"/>
          <w:color w:val="auto"/>
        </w:rPr>
      </w:pPr>
    </w:p>
    <w:p>
      <w:pPr>
        <w:sectPr>
          <w:pgSz w:w="11900" w:h="16838" w:orient="portrait"/>
          <w:cols w:equalWidth="0" w:num="2">
            <w:col w:w="3629" w:space="180"/>
            <w:col w:w="6419"/>
          </w:cols>
          <w:pgMar w:left="231" w:top="460" w:right="1440" w:bottom="1440" w:gutter="0" w:footer="0" w:header="0"/>
          <w:type w:val="continuous"/>
        </w:sectPr>
      </w:pPr>
    </w:p>
    <w:p>
      <w:pPr>
        <w:spacing w:after="0" w:line="303"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36</w:t>
      </w:r>
    </w:p>
    <w:p>
      <w:pPr>
        <w:sectPr>
          <w:pgSz w:w="11900" w:h="16838" w:orient="portrait"/>
          <w:cols w:equalWidth="0" w:num="1">
            <w:col w:w="10228"/>
          </w:cols>
          <w:pgMar w:left="231" w:top="460" w:right="1440" w:bottom="1440" w:gutter="0" w:footer="0" w:header="0"/>
          <w:type w:val="continuous"/>
        </w:sectPr>
      </w:pPr>
    </w:p>
    <w:bookmarkStart w:id="41" w:name="page42"/>
    <w:bookmarkEnd w:id="41"/>
    <w:p>
      <w:pPr>
        <w:ind w:left="1589"/>
        <w:spacing w:after="0"/>
        <w:tabs>
          <w:tab w:leader="none" w:pos="538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 w:lineRule="exact"/>
        <w:rPr>
          <w:sz w:val="20"/>
          <w:szCs w:val="20"/>
          <w:color w:val="auto"/>
        </w:rPr>
      </w:pPr>
    </w:p>
    <w:p>
      <w:pPr>
        <w:ind w:left="9"/>
        <w:spacing w:after="0"/>
        <w:tabs>
          <w:tab w:leader="none" w:pos="39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8"/>
          </w:cols>
          <w:pgMar w:left="231" w:top="1140"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9" w:hanging="9"/>
        <w:spacing w:after="0" w:line="239" w:lineRule="auto"/>
        <w:tabs>
          <w:tab w:leader="none" w:pos="27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 w:right="180" w:hanging="9"/>
        <w:spacing w:after="0" w:line="238" w:lineRule="auto"/>
        <w:tabs>
          <w:tab w:leader="none" w:pos="27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979"/>
        <w:spacing w:after="0"/>
        <w:rPr>
          <w:sz w:val="20"/>
          <w:szCs w:val="20"/>
          <w:color w:val="auto"/>
        </w:rPr>
      </w:pPr>
      <w:r>
        <w:rPr>
          <w:rFonts w:ascii="Courier New" w:cs="Courier New" w:eastAsia="Courier New" w:hAnsi="Courier New"/>
          <w:sz w:val="15"/>
          <w:szCs w:val="15"/>
          <w:color w:val="auto"/>
        </w:rPr>
        <w:t>Clinical trials involve the evaluation of the product in healthy volunteers or, in a small number of patients under the supervision of a qualified physician. Clinical trials are conducted in accordance with protocols that detail the objectives of the study, steps to monitor safety and the efficacy criteria to be evaluated. Any product administered in a U.S. clinical trial must be manufactured in accordance with clinical Good Manufacturing Practices, or cGMP, which the FDA determines. Each protocol is submitted to the FDA as part of the IND. An independent Institutional Review Board, or IRB, at the institution at which the study is conducted must approve the protocol for each clinical study and obtain the informed consent of all participants. The IRB will consider, among other things, the existing information on the product, ethical factors, the safety of human subjects, the potential benefits of the therapy and the possible liability of the institution.</w:t>
      </w:r>
    </w:p>
    <w:p>
      <w:pPr>
        <w:spacing w:after="0" w:line="186" w:lineRule="exact"/>
        <w:rPr>
          <w:sz w:val="20"/>
          <w:szCs w:val="20"/>
          <w:color w:val="auto"/>
        </w:rPr>
      </w:pPr>
    </w:p>
    <w:p>
      <w:pPr>
        <w:ind w:right="1979"/>
        <w:spacing w:after="0" w:line="238"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5" w:lineRule="exact"/>
        <w:rPr>
          <w:sz w:val="20"/>
          <w:szCs w:val="20"/>
          <w:color w:val="auto"/>
        </w:rPr>
      </w:pPr>
    </w:p>
    <w:p>
      <w:pPr>
        <w:ind w:left="800" w:right="2059" w:hanging="260"/>
        <w:spacing w:after="0" w:line="261" w:lineRule="auto"/>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subjects to test for adverse reactions, dosage tolerance, absorption and distribution, metabolism, excretion and clinical pharmacology.</w:t>
      </w:r>
    </w:p>
    <w:p>
      <w:pPr>
        <w:spacing w:after="0" w:line="161" w:lineRule="exact"/>
        <w:rPr>
          <w:rFonts w:ascii="Courier New" w:cs="Courier New" w:eastAsia="Courier New" w:hAnsi="Courier New"/>
          <w:sz w:val="14"/>
          <w:szCs w:val="14"/>
          <w:color w:val="auto"/>
        </w:rPr>
      </w:pPr>
    </w:p>
    <w:p>
      <w:pPr>
        <w:ind w:left="800" w:right="2059" w:hanging="260"/>
        <w:spacing w:after="0" w:line="259" w:lineRule="auto"/>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studies a limited patient population to (i) determine the efficacy of the product for specific targeted indications and populations, (ii) determine optimal dosage and dosage tolerance and (iii) identify possible adverse effects and safety risks. When a dose is chosen and a candidate product proves to be effective and safe in Phase II evaluations, Phase III trials begin.</w:t>
      </w:r>
    </w:p>
    <w:p>
      <w:pPr>
        <w:spacing w:after="0" w:line="165" w:lineRule="exact"/>
        <w:rPr>
          <w:rFonts w:ascii="Courier New" w:cs="Courier New" w:eastAsia="Courier New" w:hAnsi="Courier New"/>
          <w:sz w:val="14"/>
          <w:szCs w:val="14"/>
          <w:color w:val="auto"/>
        </w:rPr>
      </w:pPr>
    </w:p>
    <w:p>
      <w:pPr>
        <w:ind w:left="800" w:right="2239" w:hanging="260"/>
        <w:spacing w:after="0" w:line="261" w:lineRule="auto"/>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 and test further for safety within an expanded patient population, generally at multiple study sites.</w:t>
      </w:r>
    </w:p>
    <w:p>
      <w:pPr>
        <w:spacing w:after="0" w:line="162" w:lineRule="exact"/>
        <w:rPr>
          <w:sz w:val="20"/>
          <w:szCs w:val="20"/>
          <w:color w:val="auto"/>
        </w:rPr>
      </w:pPr>
    </w:p>
    <w:p>
      <w:pPr>
        <w:ind w:right="2059"/>
        <w:spacing w:after="0" w:line="239"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require discontinuance at any time if significant safety issues arise.</w:t>
      </w:r>
    </w:p>
    <w:p>
      <w:pPr>
        <w:spacing w:after="0" w:line="176"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5"/>
          <w:szCs w:val="15"/>
          <w:color w:val="auto"/>
        </w:rPr>
        <w:t>The results of the preclinical and clinical studies are submitted to the FDA.</w:t>
      </w:r>
    </w:p>
    <w:p>
      <w:pPr>
        <w:spacing w:after="0" w:line="200" w:lineRule="exact"/>
        <w:rPr>
          <w:sz w:val="20"/>
          <w:szCs w:val="20"/>
          <w:color w:val="auto"/>
        </w:rPr>
      </w:pPr>
    </w:p>
    <w:p>
      <w:pPr>
        <w:sectPr>
          <w:pgSz w:w="11900" w:h="16838" w:orient="portrait"/>
          <w:cols w:equalWidth="0" w:num="2">
            <w:col w:w="3469" w:space="340"/>
            <w:col w:w="6419"/>
          </w:cols>
          <w:pgMar w:left="231" w:top="1140" w:right="1440" w:bottom="1440" w:gutter="0" w:footer="0" w:header="0"/>
          <w:type w:val="continuous"/>
        </w:sectPr>
      </w:pPr>
    </w:p>
    <w:p>
      <w:pPr>
        <w:spacing w:after="0" w:line="316"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0228"/>
          </w:cols>
          <w:pgMar w:left="231" w:top="1140" w:right="1440" w:bottom="1440" w:gutter="0" w:footer="0" w:header="0"/>
          <w:type w:val="continuous"/>
        </w:sectPr>
      </w:pPr>
    </w:p>
    <w:bookmarkStart w:id="42" w:name="page43"/>
    <w:bookmarkEnd w:id="42"/>
    <w:p>
      <w:pPr>
        <w:ind w:left="1589"/>
        <w:spacing w:after="0"/>
        <w:tabs>
          <w:tab w:leader="none" w:pos="538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 w:lineRule="exact"/>
        <w:rPr>
          <w:sz w:val="20"/>
          <w:szCs w:val="20"/>
          <w:color w:val="auto"/>
        </w:rPr>
      </w:pPr>
    </w:p>
    <w:p>
      <w:pPr>
        <w:ind w:left="9"/>
        <w:spacing w:after="0"/>
        <w:tabs>
          <w:tab w:leader="none" w:pos="39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8"/>
          </w:cols>
          <w:pgMar w:left="231" w:top="1140" w:right="1440" w:bottom="1440" w:gutter="0" w:footer="0" w:header="0"/>
        </w:sectPr>
      </w:pPr>
    </w:p>
    <w:p>
      <w:pPr>
        <w:spacing w:after="0" w:line="171" w:lineRule="exact"/>
        <w:rPr>
          <w:sz w:val="20"/>
          <w:szCs w:val="20"/>
          <w:color w:val="auto"/>
        </w:rPr>
      </w:pPr>
    </w:p>
    <w:p>
      <w:pPr>
        <w:ind w:left="269" w:hanging="269"/>
        <w:spacing w:after="0"/>
        <w:tabs>
          <w:tab w:leader="none" w:pos="26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w:t>
      </w:r>
    </w:p>
    <w:p>
      <w:pPr>
        <w:spacing w:after="0" w:line="3"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59"/>
        <w:spacing w:after="0"/>
        <w:rPr>
          <w:sz w:val="20"/>
          <w:szCs w:val="20"/>
          <w:color w:val="auto"/>
        </w:rPr>
      </w:pPr>
      <w:r>
        <w:rPr>
          <w:rFonts w:ascii="Courier New" w:cs="Courier New" w:eastAsia="Courier New" w:hAnsi="Courier New"/>
          <w:sz w:val="15"/>
          <w:szCs w:val="15"/>
          <w:color w:val="auto"/>
        </w:rPr>
        <w:t>The testing and approval process will require substantial time, effort and expense. A number of factors, including relative risks and benefits demonstrated in clinical trials, the availability of alternative treatments and the severity of the disease affect the timing. The FDA might request additional animal studies which would also add to the time.</w:t>
      </w:r>
    </w:p>
    <w:p>
      <w:pPr>
        <w:spacing w:after="0" w:line="200" w:lineRule="exact"/>
        <w:rPr>
          <w:sz w:val="20"/>
          <w:szCs w:val="20"/>
          <w:color w:val="auto"/>
        </w:rPr>
      </w:pPr>
    </w:p>
    <w:p>
      <w:pPr>
        <w:sectPr>
          <w:pgSz w:w="11900" w:h="16838" w:orient="portrait"/>
          <w:cols w:equalWidth="0" w:num="2">
            <w:col w:w="3549" w:space="260"/>
            <w:col w:w="6419"/>
          </w:cols>
          <w:pgMar w:left="231" w:top="1140" w:right="1440"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After the FDA approves the initial indications and the manufacturing facility, it might require further clinical trials to grant approval to use the product for additional indications. The FDA may also require unusual or restrictive post-marketing testing and surveillance to monitor for adverse effects, which could involve significant expense. It may also elect to grant only conditional approvals.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FDA MANUFACTURING REQUIREMENTS</w:t>
      </w:r>
    </w:p>
    <w:p>
      <w:pPr>
        <w:spacing w:after="0" w:line="345"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However, what constitutes cGMP may change as the state of the art of manufacturing changes. Domestic manufacturing facilities are subject to regular FDA inspections for cGMP compliance. The FDA normally holds inspections at least every two years. The FDA, as well as foreign regulatory authorities with reciprocal inspection agreements, may periodically inspect foreign manufacturing facilities. Foreign authorities may also inspect domestic manufacturing facilities.</w:t>
      </w:r>
    </w:p>
    <w:p>
      <w:pPr>
        <w:spacing w:after="0" w:line="34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ORPHAN DRUG ACT</w:t>
      </w:r>
    </w:p>
    <w:p>
      <w:pPr>
        <w:spacing w:after="0" w:line="34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Drug manufacturers can also seek orphan drug status for treatments for diseases or conditions that affect more than 200,000 individuals in the United States if the manufacturer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receive a seven-year period of marketing exclusivity in the United States for that product. While the marketing exclusivity of an orphan drug would prevent other sponsors from obtaining approval of the same compound for the same indication, it would not prevent other types of products from being approved for the same use.</w:t>
      </w:r>
    </w:p>
    <w:p>
      <w:pPr>
        <w:spacing w:after="0" w:line="34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PROPOSED FDA REGULATIONS</w:t>
      </w:r>
    </w:p>
    <w:p>
      <w:pPr>
        <w:spacing w:after="0" w:line="34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on researchers who have a financial interest in the outcome of their research. Under the proposed regulations, the FDA could apply heightened scrutiny to studies conducted by such researchers when reviewing applications to the FDA. Certain of our collaborators have stock options or other equity interests in us that could subject such collaborators and us to the proposed regulations.</w:t>
      </w:r>
    </w:p>
    <w:p>
      <w:pPr>
        <w:spacing w:after="0" w:line="200" w:lineRule="exact"/>
        <w:rPr>
          <w:sz w:val="20"/>
          <w:szCs w:val="20"/>
          <w:color w:val="auto"/>
        </w:rPr>
      </w:pPr>
    </w:p>
    <w:p>
      <w:pPr>
        <w:spacing w:after="0" w:line="317"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it might take. Restrictions exist on the testing or use of cells, whether human or non-human.</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8"/>
          </w:cols>
          <w:pgMar w:left="231" w:top="1140" w:right="1440"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OTHER REGULATIONS</w:t>
      </w:r>
    </w:p>
    <w:p>
      <w:pPr>
        <w:spacing w:after="0" w:line="345" w:lineRule="exact"/>
        <w:rPr>
          <w:sz w:val="20"/>
          <w:szCs w:val="20"/>
          <w:color w:val="auto"/>
        </w:rPr>
      </w:pPr>
    </w:p>
    <w:p>
      <w:pPr>
        <w:ind w:right="3399" w:firstLine="355"/>
        <w:spacing w:after="0" w:line="264" w:lineRule="auto"/>
        <w:rPr>
          <w:sz w:val="20"/>
          <w:szCs w:val="20"/>
          <w:color w:val="auto"/>
        </w:rPr>
      </w:pPr>
      <w:r>
        <w:rPr>
          <w:rFonts w:ascii="Courier New" w:cs="Courier New" w:eastAsia="Courier New" w:hAnsi="Courier New"/>
          <w:sz w:val="14"/>
          <w:szCs w:val="14"/>
          <w:color w:val="auto"/>
        </w:rPr>
        <w:t>In addition, we are also subject to regulations under the Occupational Safety and Health Act, the Environmental Protection Act, the Toxic Substances Control Act and other foreign, Federal, state and local regulations.</w:t>
      </w:r>
    </w:p>
    <w:p>
      <w:pPr>
        <w:spacing w:after="0" w:line="200" w:lineRule="exact"/>
        <w:rPr>
          <w:sz w:val="20"/>
          <w:szCs w:val="20"/>
          <w:color w:val="auto"/>
        </w:rPr>
      </w:pPr>
    </w:p>
    <w:p>
      <w:pPr>
        <w:spacing w:after="0" w:line="301"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Outside the United States, we will be subject to regulations that govern the import of drugs, as well as foreign regulatory requirements governing human clinical trials and marketing approval. The requirements vary widely from country to country. In particular, the European Union, or EU, is revising its regulatory approach to high tech products, and representatives from the United States, Japan and the EU are in the process of harmonizing the regulations for the registration of pharmaceutical products in these three markets.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is a key element in the success of new health care products. Significant uncertainty often exists as to the reimbursement status of newly approved health care products.</w:t>
      </w:r>
    </w:p>
    <w:p>
      <w:pPr>
        <w:spacing w:after="0" w:line="200" w:lineRule="exact"/>
        <w:rPr>
          <w:sz w:val="20"/>
          <w:szCs w:val="20"/>
          <w:color w:val="auto"/>
        </w:rPr>
      </w:pPr>
    </w:p>
    <w:p>
      <w:pPr>
        <w:spacing w:after="0" w:line="31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continuing efforts of governmental and third party payers to contain or reduce the cost of health care have affected the revenues and profitability of some health-care related companies. Payers are increasingly attempting to limit both coverage and the level of reimbursement for new therapeutic products that the FDA approves. In some cases, they are refusing to provide any coverage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May 23, 2001, we had 28 full-time employees, eight of whom have Ph.D. degrees. The equivalent of 21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 We believe our relationships with our employees are good.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34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334" w:lineRule="exact"/>
        <w:rPr>
          <w:sz w:val="20"/>
          <w:szCs w:val="20"/>
          <w:color w:val="auto"/>
        </w:rPr>
      </w:pPr>
    </w:p>
    <w:p>
      <w:pPr>
        <w:ind w:left="520" w:right="3479" w:hanging="174"/>
        <w:spacing w:after="0" w:line="239"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57" w:right="1440" w:bottom="1440" w:gutter="0" w:footer="0" w:header="0"/>
        </w:sectPr>
      </w:pPr>
    </w:p>
    <w:bookmarkStart w:id="44" w:name="page45"/>
    <w:bookmarkEnd w:id="44"/>
    <w:p>
      <w:pPr>
        <w:ind w:left="174" w:right="3119"/>
        <w:spacing w:after="0" w:line="239" w:lineRule="auto"/>
        <w:rPr>
          <w:sz w:val="20"/>
          <w:szCs w:val="20"/>
          <w:color w:val="auto"/>
        </w:rPr>
      </w:pPr>
      <w:r>
        <w:rPr>
          <w:rFonts w:ascii="Courier New" w:cs="Courier New" w:eastAsia="Courier New" w:hAnsi="Courier New"/>
          <w:sz w:val="15"/>
          <w:szCs w:val="15"/>
          <w:color w:val="auto"/>
        </w:rPr>
        <w:t>Dr. Weissman was a cofounder of SyStemix, Inc., and Chairman of its Scientific Advisory Board. He has served on the Scientific Advisory Boards of Amgen Inc., DNAX and T-Cell Sciences, Inc. Dr. Weissman is Chairman of the Scientific Advisory Board of StemCells.</w:t>
      </w:r>
    </w:p>
    <w:p>
      <w:pPr>
        <w:spacing w:after="0" w:line="176" w:lineRule="exact"/>
        <w:rPr>
          <w:sz w:val="20"/>
          <w:szCs w:val="20"/>
          <w:color w:val="auto"/>
        </w:rPr>
      </w:pPr>
    </w:p>
    <w:p>
      <w:pPr>
        <w:ind w:left="174" w:right="3119" w:hanging="174"/>
        <w:spacing w:after="0" w:line="239" w:lineRule="auto"/>
        <w:tabs>
          <w:tab w:leader="none" w:pos="17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345" w:lineRule="exact"/>
        <w:rPr>
          <w:rFonts w:ascii="Courier New" w:cs="Courier New" w:eastAsia="Courier New" w:hAnsi="Courier New"/>
          <w:sz w:val="15"/>
          <w:szCs w:val="15"/>
          <w:color w:val="auto"/>
        </w:rPr>
      </w:pPr>
    </w:p>
    <w:p>
      <w:pPr>
        <w:ind w:left="174" w:right="3579" w:hanging="174"/>
        <w:spacing w:after="0" w:line="239" w:lineRule="auto"/>
        <w:tabs>
          <w:tab w:leader="none" w:pos="17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344"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873"/>
          </w:cols>
          <w:pgMar w:left="586" w:top="460" w:right="1440" w:bottom="1440" w:gutter="0" w:footer="0" w:header="0"/>
        </w:sectPr>
      </w:pPr>
    </w:p>
    <w:bookmarkStart w:id="45" w:name="page46"/>
    <w:bookmarkEnd w:id="45"/>
    <w:p>
      <w:pPr>
        <w:ind w:left="3109"/>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DIRECTORS, EXECUTIVE OFFICERS AND KEY EMPLOYEES</w:t>
      </w:r>
    </w:p>
    <w:p>
      <w:pPr>
        <w:spacing w:after="0" w:line="174" w:lineRule="exact"/>
        <w:rPr>
          <w:sz w:val="20"/>
          <w:szCs w:val="20"/>
          <w:color w:val="auto"/>
        </w:rPr>
      </w:pPr>
    </w:p>
    <w:p>
      <w:pPr>
        <w:ind w:left="9" w:right="3399" w:firstLine="355"/>
        <w:spacing w:after="0" w:line="239" w:lineRule="auto"/>
        <w:rPr>
          <w:sz w:val="20"/>
          <w:szCs w:val="20"/>
          <w:color w:val="auto"/>
        </w:rPr>
      </w:pPr>
      <w:r>
        <w:rPr>
          <w:rFonts w:ascii="Courier New" w:cs="Courier New" w:eastAsia="Courier New" w:hAnsi="Courier New"/>
          <w:sz w:val="15"/>
          <w:szCs w:val="15"/>
          <w:color w:val="auto"/>
        </w:rPr>
        <w:t>The following table sets forth the name, age as of December 31, 2000, and position of each of our executive officers, key members of management, and directors.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AGE</w:t>
            </w:r>
          </w:p>
        </w:tc>
        <w:tc>
          <w:tcPr>
            <w:tcW w:w="3960" w:type="dxa"/>
            <w:vAlign w:val="bottom"/>
          </w:tcPr>
          <w:p>
            <w:pPr>
              <w:ind w:left="156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John J. Schwartz,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67</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Martin</w:t>
            </w:r>
          </w:p>
        </w:tc>
        <w:tc>
          <w:tcPr>
            <w:tcW w:w="3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M. McGlynn.........................</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54</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 President and Chief Executive</w:t>
            </w:r>
          </w:p>
        </w:tc>
      </w:tr>
      <w:tr>
        <w:trPr>
          <w:trHeight w:val="171"/>
        </w:trPr>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r>
      <w:tr>
        <w:trPr>
          <w:trHeight w:val="17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Mark J. Levin.............................</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50</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Roger M. Perlmutter</w:t>
            </w:r>
          </w:p>
        </w:tc>
        <w:tc>
          <w:tcPr>
            <w:tcW w:w="21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M.D.,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48</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Irving</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L. Weissman,</w:t>
            </w:r>
          </w:p>
        </w:tc>
        <w:tc>
          <w:tcPr>
            <w:tcW w:w="21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M.D...................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61</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Ann Tsukamoto,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48</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Vice President, Scientific Operations</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Ronnda</w:t>
            </w:r>
          </w:p>
        </w:tc>
        <w:tc>
          <w:tcPr>
            <w:tcW w:w="3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Bartel,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42</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Vice President, Scientific Development</w:t>
            </w:r>
          </w:p>
        </w:tc>
      </w:tr>
    </w:tbl>
    <w:p>
      <w:pPr>
        <w:spacing w:after="0" w:line="342" w:lineRule="exact"/>
        <w:rPr>
          <w:sz w:val="20"/>
          <w:szCs w:val="20"/>
          <w:color w:val="auto"/>
        </w:rPr>
      </w:pPr>
    </w:p>
    <w:p>
      <w:pPr>
        <w:ind w:left="169" w:hanging="169"/>
        <w:spacing w:after="0"/>
        <w:tabs>
          <w:tab w:leader="none" w:pos="1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JOHN J. SCHWARTZ, PH.D., was elected to the board of directors in</w:t>
      </w:r>
    </w:p>
    <w:p>
      <w:pPr>
        <w:spacing w:after="0" w:line="3" w:lineRule="exact"/>
        <w:rPr>
          <w:rFonts w:ascii="Courier New" w:cs="Courier New" w:eastAsia="Courier New" w:hAnsi="Courier New"/>
          <w:sz w:val="15"/>
          <w:szCs w:val="15"/>
          <w:color w:val="auto"/>
        </w:rPr>
      </w:pPr>
    </w:p>
    <w:p>
      <w:pPr>
        <w:ind w:left="16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166" w:lineRule="exact"/>
        <w:rPr>
          <w:rFonts w:ascii="Courier New" w:cs="Courier New" w:eastAsia="Courier New" w:hAnsi="Courier New"/>
          <w:sz w:val="15"/>
          <w:szCs w:val="15"/>
          <w:color w:val="auto"/>
        </w:rPr>
      </w:pPr>
    </w:p>
    <w:p>
      <w:pPr>
        <w:ind w:left="169" w:right="3219" w:hanging="169"/>
        <w:spacing w:after="0"/>
        <w:tabs>
          <w:tab w:leader="none" w:pos="1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MARTIN M. MCGLYNN joined us on January 15, 2001 when he was appointed President and Chief Executive Officer of us and our wholly-owned subsidiary, StemCells California, Inc. From 1994 until he joined us,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348" w:lineRule="exact"/>
        <w:rPr>
          <w:rFonts w:ascii="Courier New" w:cs="Courier New" w:eastAsia="Courier New" w:hAnsi="Courier New"/>
          <w:sz w:val="15"/>
          <w:szCs w:val="15"/>
          <w:color w:val="auto"/>
        </w:rPr>
      </w:pPr>
    </w:p>
    <w:p>
      <w:pPr>
        <w:ind w:left="169" w:right="2959" w:hanging="169"/>
        <w:spacing w:after="0" w:line="238" w:lineRule="auto"/>
        <w:tabs>
          <w:tab w:leader="none" w:pos="1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MARK J. LEVIN is a founder and has served as a director since our inception in 1988. From inception until January 1990 and from May 1990 until</w:t>
      </w:r>
    </w:p>
    <w:p>
      <w:pPr>
        <w:spacing w:after="0" w:line="4" w:lineRule="exact"/>
        <w:rPr>
          <w:rFonts w:ascii="Courier New" w:cs="Courier New" w:eastAsia="Courier New" w:hAnsi="Courier New"/>
          <w:sz w:val="15"/>
          <w:szCs w:val="15"/>
          <w:color w:val="auto"/>
        </w:rPr>
      </w:pPr>
    </w:p>
    <w:p>
      <w:pPr>
        <w:ind w:left="16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February 1991, Mr. Levin served as our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and Chief Executive Officer of Millennium Pharmaceuticals, Inc., a biotechnology company. Mr. Levin is also currently on the boards of directors of Focal, Inc. and Tularik, Inc.</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169" w:right="3119" w:hanging="169"/>
        <w:spacing w:after="0"/>
        <w:tabs>
          <w:tab w:leader="none" w:pos="1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 February 1999 to July 1999.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July 1984 to</w:t>
      </w:r>
    </w:p>
    <w:p>
      <w:pPr>
        <w:spacing w:after="0" w:line="34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8"/>
          </w:cols>
          <w:pgMar w:left="231" w:top="457" w:right="1440" w:bottom="1440" w:gutter="0" w:footer="0" w:header="0"/>
        </w:sectPr>
      </w:pPr>
    </w:p>
    <w:bookmarkStart w:id="46" w:name="page47"/>
    <w:bookmarkEnd w:id="46"/>
    <w:p>
      <w:pPr>
        <w:ind w:left="169" w:right="3399"/>
        <w:spacing w:after="0" w:line="239" w:lineRule="auto"/>
        <w:rPr>
          <w:sz w:val="20"/>
          <w:szCs w:val="20"/>
          <w:color w:val="auto"/>
        </w:rPr>
      </w:pPr>
      <w:r>
        <w:rPr>
          <w:rFonts w:ascii="Courier New" w:cs="Courier New" w:eastAsia="Courier New" w:hAnsi="Courier New"/>
          <w:sz w:val="15"/>
          <w:szCs w:val="15"/>
          <w:color w:val="auto"/>
        </w:rPr>
        <w:t>February 1997. Dr Perlmutter has been a member of the board of directors of The Irvington Institute for Immunological Research since 1997 and of the Institute for Systems Biology since 1999.</w:t>
      </w:r>
    </w:p>
    <w:p>
      <w:pPr>
        <w:spacing w:after="0" w:line="200" w:lineRule="exact"/>
        <w:rPr>
          <w:sz w:val="20"/>
          <w:szCs w:val="20"/>
          <w:color w:val="auto"/>
        </w:rPr>
      </w:pPr>
    </w:p>
    <w:p>
      <w:pPr>
        <w:spacing w:after="0" w:line="316" w:lineRule="exact"/>
        <w:rPr>
          <w:sz w:val="20"/>
          <w:szCs w:val="20"/>
          <w:color w:val="auto"/>
        </w:rPr>
      </w:pPr>
    </w:p>
    <w:p>
      <w:pPr>
        <w:ind w:left="169" w:right="3219" w:hanging="169"/>
        <w:spacing w:after="0" w:line="258" w:lineRule="auto"/>
        <w:tabs>
          <w:tab w:leader="none" w:pos="16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IRVING L. WEISSMAN, M.D., has served as a director since September 1997. He has been a consultant to us since September 1997 and is the Chairman of our Scientific Advisory Board. He is the Karel and Avice Beekhuis Professor of Cancer Biology, Professor of Pathology and Professor of Developmental Biology at Stanford University. Dr. Weissman is a cofounder of SyStemix, Inc., and a former Chairman of its Scientific Advisory Board. He has served on the Scientific Advisory Boards of Amgen Inc., DNAX and T-Cell Sciences, Inc.</w:t>
      </w: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Dr. Weissman is a member of the National Academy of Sciences.</w:t>
      </w:r>
    </w:p>
    <w:p>
      <w:pPr>
        <w:spacing w:after="0" w:line="344" w:lineRule="exact"/>
        <w:rPr>
          <w:rFonts w:ascii="Courier New" w:cs="Courier New" w:eastAsia="Courier New" w:hAnsi="Courier New"/>
          <w:sz w:val="14"/>
          <w:szCs w:val="14"/>
          <w:color w:val="auto"/>
        </w:rPr>
      </w:pPr>
    </w:p>
    <w:p>
      <w:pPr>
        <w:ind w:left="169" w:right="3119" w:hanging="169"/>
        <w:spacing w:after="0"/>
        <w:tabs>
          <w:tab w:leader="none" w:pos="16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ANN TSUKAMOTO, PH.D., joined us in November 1997 as Senior Director, Scientific Operations, and was appointed Vice President, Scientific Operations in June 1998. From 1989 until she joined us, Dr. Tsukamoto was employed at SyStemix, Inc., where she served in various research capacities before transitioning to the position of Director of Clinical Science. At</w:t>
      </w:r>
    </w:p>
    <w:p>
      <w:pPr>
        <w:spacing w:after="0" w:line="3" w:lineRule="exact"/>
        <w:rPr>
          <w:rFonts w:ascii="Courier New" w:cs="Courier New" w:eastAsia="Courier New" w:hAnsi="Courier New"/>
          <w:sz w:val="15"/>
          <w:szCs w:val="15"/>
          <w:color w:val="auto"/>
        </w:rPr>
      </w:pPr>
    </w:p>
    <w:p>
      <w:pPr>
        <w:ind w:left="169" w:right="3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SyStemix, Inc., Dr. Tsukamoto assisted in the launch of its clinical research program for the hematopoietic stem cell. She received her Ph.D. degree from the University of California, Los Angeles and did postdoctoral research with Dr. Harold Varmus at the University of California, San Francisco.</w:t>
      </w:r>
    </w:p>
    <w:p>
      <w:pPr>
        <w:ind w:left="16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Dr. Tsukamoto is an inventor on six issued U.S. Patents related to the human hematopoietic stem cell. As of March 5, 2001, Dr. Tsukamoto became a member of the Board of Directors for the Society of Regenerative Medicine and Stem Cell Biology.</w:t>
      </w:r>
    </w:p>
    <w:p>
      <w:pPr>
        <w:spacing w:after="0" w:line="176" w:lineRule="exact"/>
        <w:rPr>
          <w:rFonts w:ascii="Courier New" w:cs="Courier New" w:eastAsia="Courier New" w:hAnsi="Courier New"/>
          <w:sz w:val="15"/>
          <w:szCs w:val="15"/>
          <w:color w:val="auto"/>
        </w:rPr>
      </w:pPr>
    </w:p>
    <w:p>
      <w:pPr>
        <w:ind w:left="169" w:right="3119" w:hanging="169"/>
        <w:spacing w:after="0"/>
        <w:tabs>
          <w:tab w:leader="none" w:pos="16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RONNDA BARTEL, PH.D., joined us in July 1998, as Senior Director, Cell Development, and was appointed Vice President, Scientific Development in April 2000. From 1995 until her employment with us, Dr. Bartel was Senior Principal Scientist at Advanced Tissue Sciences Inc., responsible for research, development, and manufacturing of tissue engineered human cell based products. Dr. Bartel was awarded her Ph.D. degree in biochemistry from the University of Kansas, Lawrence and did postdoctoral work with Dr. John Voorhees at the University of Michigan, Ann Arbor.</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BOARD COMPOSITION</w:t>
      </w:r>
    </w:p>
    <w:p>
      <w:pPr>
        <w:spacing w:after="0" w:line="345" w:lineRule="exact"/>
        <w:rPr>
          <w:sz w:val="20"/>
          <w:szCs w:val="20"/>
          <w:color w:val="auto"/>
        </w:rPr>
      </w:pPr>
    </w:p>
    <w:p>
      <w:pPr>
        <w:ind w:left="9" w:right="3219" w:firstLine="355"/>
        <w:spacing w:after="0" w:line="259" w:lineRule="auto"/>
        <w:rPr>
          <w:sz w:val="20"/>
          <w:szCs w:val="20"/>
          <w:color w:val="auto"/>
        </w:rPr>
      </w:pPr>
      <w:r>
        <w:rPr>
          <w:rFonts w:ascii="Courier New" w:cs="Courier New" w:eastAsia="Courier New" w:hAnsi="Courier New"/>
          <w:sz w:val="14"/>
          <w:szCs w:val="14"/>
          <w:color w:val="auto"/>
        </w:rPr>
        <w:t>Our certificate of incorporation and by-laws provide for the classification of the board of directors into three classes, as nearly equal in number as possible, with the term of office of one class expiring each year. Dr. Weissman is in the class of directors whose term expires at our annual meeting in 2002. Mr. McGlynn and Dr. Perlmutter are in the class of directors whose term expires in 2003. Mr. Levin and Dr. Schwartz are in the class of directors whose term expires in 2004. There are no family relationships between any of our directors or executive officers. Our executive officers are elected by, and serve at the discretion of, the board of directors.</w:t>
      </w:r>
    </w:p>
    <w:p>
      <w:pPr>
        <w:spacing w:after="0" w:line="33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 COMPENSATION</w:t>
      </w:r>
    </w:p>
    <w:p>
      <w:pPr>
        <w:spacing w:after="0" w:line="174" w:lineRule="exact"/>
        <w:rPr>
          <w:sz w:val="20"/>
          <w:szCs w:val="20"/>
          <w:color w:val="auto"/>
        </w:rPr>
      </w:pPr>
    </w:p>
    <w:p>
      <w:pPr>
        <w:ind w:left="9" w:right="3399" w:firstLine="355"/>
        <w:spacing w:after="0" w:line="238" w:lineRule="auto"/>
        <w:rPr>
          <w:sz w:val="20"/>
          <w:szCs w:val="20"/>
          <w:color w:val="auto"/>
        </w:rPr>
      </w:pPr>
      <w:r>
        <w:rPr>
          <w:rFonts w:ascii="Courier New" w:cs="Courier New" w:eastAsia="Courier New" w:hAnsi="Courier New"/>
          <w:sz w:val="15"/>
          <w:szCs w:val="15"/>
          <w:color w:val="auto"/>
        </w:rPr>
        <w:t>We currently pay no additional remuneration to Mr. McGlynn, our president and chief executive officer, for his service as a director.</w:t>
      </w:r>
    </w:p>
    <w:p>
      <w:pPr>
        <w:spacing w:after="0" w:line="175" w:lineRule="exact"/>
        <w:rPr>
          <w:sz w:val="20"/>
          <w:szCs w:val="20"/>
          <w:color w:val="auto"/>
        </w:rPr>
      </w:pPr>
    </w:p>
    <w:p>
      <w:pPr>
        <w:ind w:left="9" w:right="3399" w:firstLine="355"/>
        <w:spacing w:after="0" w:line="239" w:lineRule="auto"/>
        <w:rPr>
          <w:sz w:val="20"/>
          <w:szCs w:val="20"/>
          <w:color w:val="auto"/>
        </w:rPr>
      </w:pPr>
      <w:r>
        <w:rPr>
          <w:rFonts w:ascii="Courier New" w:cs="Courier New" w:eastAsia="Courier New" w:hAnsi="Courier New"/>
          <w:sz w:val="15"/>
          <w:szCs w:val="15"/>
          <w:color w:val="auto"/>
        </w:rPr>
        <w:t>One of our non-employee directors, Dr. Weissman, also serves us as a compensated consultant. See "Related Party Transactions--Compensation Paid to Dr. Weissman."</w:t>
      </w:r>
    </w:p>
    <w:p>
      <w:pPr>
        <w:spacing w:after="0" w:line="175" w:lineRule="exact"/>
        <w:rPr>
          <w:sz w:val="20"/>
          <w:szCs w:val="20"/>
          <w:color w:val="auto"/>
        </w:rPr>
      </w:pPr>
    </w:p>
    <w:p>
      <w:pPr>
        <w:ind w:left="9" w:right="3219" w:firstLine="355"/>
        <w:spacing w:after="0" w:line="259" w:lineRule="auto"/>
        <w:rPr>
          <w:sz w:val="20"/>
          <w:szCs w:val="20"/>
          <w:color w:val="auto"/>
        </w:rPr>
      </w:pPr>
      <w:r>
        <w:rPr>
          <w:rFonts w:ascii="Courier New" w:cs="Courier New" w:eastAsia="Courier New" w:hAnsi="Courier New"/>
          <w:sz w:val="14"/>
          <w:szCs w:val="14"/>
          <w:color w:val="auto"/>
        </w:rPr>
        <w:t>We have adopted the following methodology for compensating our directors: upon election or appointment to an initial term on the board, we will grant a director an option to purchase 20,000 shares at fair market value, which option will vest ratably over 3 years. On the third anniversary date, each re-elected director will be granted an additional option to purchase 15,000 shares at fair market value, which option will vest ratably over 3 years. In addition, each director will receive a retainer of $18,000 annually and the Chairman of the board of directors will receive a retainer of $35,000 annually, each payable in options to purchase our common stock at $.25 per share.</w:t>
      </w:r>
    </w:p>
    <w:p>
      <w:pPr>
        <w:spacing w:after="0" w:line="16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8"/>
          </w:cols>
          <w:pgMar w:left="231" w:top="63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Our board of directors has an audit committee and a compensation and stock option committee. The board may also establish other committees to assist in the discharge of its responsibilities.</w:t>
      </w:r>
    </w:p>
    <w:p>
      <w:pPr>
        <w:spacing w:after="0" w:line="34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audit committee oversees our financial reporting process on behalf of the board of directors, makes recommendations to the board regarding the independent auditors to be nominated for election by the stockholders, reviews the independence of such auditors, approves the scope of their annual audit activities, reviews their audit results, assures that our financial reporting is of high quality, and reviews the interim financial statements with our management and the independent auditors prior to the filing of our Quarterly Report on Form 10-Q. Dr. Schwartz, Dr. Perlmutter and Mr. Levin make up the audit committee.</w:t>
      </w:r>
    </w:p>
    <w:p>
      <w:pPr>
        <w:spacing w:after="0" w:line="34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duties of the compensation and stock option committee are to make recommendations to the board and our management concerning salaries in general, determine executive compensation, and approve incentive compensation. The compensation and stock option committee is currently comprised of Mr. Levin and Dr. Schwartz.</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The following non-employee directors served on the compensation and stock option committee in 2000: Mr. Levin and Dr. Schwartz. In 1989, 1990 and 1991, Mr. Levin was one of our executive officers.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entered into a consulting services agreement with Dr. Schwartz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27, 1998, as amended December 19, 1998, for strategic business advice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counseling services, including assistance in the negotiation and consummation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collaboration transactions specified by us. Dr. Schwartz was elected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on December 19, 1998 and became a member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and stock option committee on that date. During the fiscal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December 31, 1999, we made payments to Dr. Schwartz under the consulting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agreement and the letter agreement dated December 19, 1998 and amended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July 1, 1999, under which he served as a Director and Chairman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See "Related Party Transactions." Both the consulting services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letter agreement were terminated as of March 31, 2001.</w:t>
      </w:r>
    </w:p>
    <w:p>
      <w:pPr>
        <w:spacing w:after="0" w:line="174"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We believe the terms of these agreements were no less favorable to us than could have been obtained from unaffiliated third parties.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57" w:right="1440" w:bottom="1440" w:gutter="0" w:footer="0" w:header="0"/>
        </w:sectPr>
      </w:pPr>
    </w:p>
    <w:bookmarkStart w:id="48" w:name="page49"/>
    <w:bookmarkEnd w:id="48"/>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3219" w:firstLine="355"/>
        <w:spacing w:after="0" w:line="261" w:lineRule="auto"/>
        <w:rPr>
          <w:sz w:val="20"/>
          <w:szCs w:val="20"/>
          <w:color w:val="auto"/>
        </w:rPr>
      </w:pPr>
      <w:r>
        <w:rPr>
          <w:rFonts w:ascii="Courier New" w:cs="Courier New" w:eastAsia="Courier New" w:hAnsi="Courier New"/>
          <w:sz w:val="14"/>
          <w:szCs w:val="14"/>
          <w:color w:val="auto"/>
        </w:rPr>
        <w:t>The following table sets forth the compensation paid by us to our Chief Executive Officers during the fiscal years ended December 31, 2000, 1999 and 1998 and the two other most highly compensated executive officers who served in such capacities during the fiscal year ended December 31, 2000. There were no other persons serving as executive officers at the end of such fiscal year.</w:t>
      </w:r>
    </w:p>
    <w:p>
      <w:pPr>
        <w:spacing w:after="0" w:line="15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4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LONG TERM COMPENSATION</w:t>
            </w:r>
          </w:p>
        </w:tc>
      </w:t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ANNUAL COMPENSATION</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28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4780" w:type="dxa"/>
            <w:vAlign w:val="bottom"/>
          </w:tcPr>
          <w:p>
            <w:pPr>
              <w:ind w:left="960"/>
              <w:spacing w:after="0"/>
              <w:rPr>
                <w:sz w:val="20"/>
                <w:szCs w:val="20"/>
                <w:color w:val="auto"/>
              </w:rPr>
            </w:pPr>
            <w:r>
              <w:rPr>
                <w:rFonts w:ascii="Courier New" w:cs="Courier New" w:eastAsia="Courier New" w:hAnsi="Courier New"/>
                <w:sz w:val="15"/>
                <w:szCs w:val="15"/>
                <w:color w:val="auto"/>
              </w:rPr>
              <w:t>NAME AND PRINCIPAL POSITION</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SALARY($)</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BONUS($)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COMPENSATION</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GEORGE W. DUNBAR, JR.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186,538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50,000</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36,031</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Acting President and Chief Executive Officer(1)</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48,000</w:t>
            </w:r>
          </w:p>
        </w:tc>
        <w:tc>
          <w:tcPr>
            <w:tcW w:w="1280" w:type="dxa"/>
            <w:vAlign w:val="bottom"/>
          </w:tcPr>
          <w:p>
            <w:pPr>
              <w:spacing w:after="0"/>
              <w:rPr>
                <w:sz w:val="14"/>
                <w:szCs w:val="14"/>
                <w:color w:val="auto"/>
              </w:rPr>
            </w:pP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RICHARD M. ROSE M.D.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309,632</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 Officer(2)</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279,974</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4,667(3)</w:t>
            </w:r>
          </w:p>
        </w:tc>
      </w:tr>
      <w:tr>
        <w:trPr>
          <w:trHeight w:val="171"/>
        </w:trPr>
        <w:tc>
          <w:tcPr>
            <w:tcW w:w="478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286,553</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150,000(4)</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11,330(5)</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ANN TSUKAMOTO, PH.D.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159,054</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4,783(6)</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VP, Scientific Operations</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RONNDA BARTEL, PH.D.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129,668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3,245(7)</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VP, Scientific Development</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19" w:hanging="349"/>
        <w:spacing w:after="0" w:line="239"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Dunbar became Acting President and Chief Executive Officer effective as of February 1, 2000, and resigned from that position effective as of January 15, 2001.</w:t>
      </w:r>
    </w:p>
    <w:p>
      <w:pPr>
        <w:spacing w:after="0" w:line="175" w:lineRule="exact"/>
        <w:rPr>
          <w:rFonts w:ascii="Courier New" w:cs="Courier New" w:eastAsia="Courier New" w:hAnsi="Courier New"/>
          <w:sz w:val="15"/>
          <w:szCs w:val="15"/>
          <w:color w:val="auto"/>
        </w:rPr>
      </w:pPr>
    </w:p>
    <w:p>
      <w:pPr>
        <w:ind w:left="349" w:right="3579" w:hanging="349"/>
        <w:spacing w:after="0" w:line="239"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4" w:lineRule="exact"/>
        <w:rPr>
          <w:rFonts w:ascii="Courier New" w:cs="Courier New" w:eastAsia="Courier New" w:hAnsi="Courier New"/>
          <w:sz w:val="15"/>
          <w:szCs w:val="15"/>
          <w:color w:val="auto"/>
        </w:rPr>
      </w:pPr>
    </w:p>
    <w:p>
      <w:pPr>
        <w:ind w:left="349" w:right="3579" w:hanging="349"/>
        <w:spacing w:after="0" w:line="271" w:lineRule="auto"/>
        <w:tabs>
          <w:tab w:leader="none" w:pos="34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 Plan.</w:t>
      </w:r>
    </w:p>
    <w:p>
      <w:pPr>
        <w:spacing w:after="0" w:line="153" w:lineRule="exact"/>
        <w:rPr>
          <w:rFonts w:ascii="Courier New" w:cs="Courier New" w:eastAsia="Courier New" w:hAnsi="Courier New"/>
          <w:sz w:val="14"/>
          <w:szCs w:val="14"/>
          <w:color w:val="auto"/>
        </w:rPr>
      </w:pPr>
    </w:p>
    <w:p>
      <w:pPr>
        <w:ind w:left="349" w:right="3119" w:hanging="349"/>
        <w:spacing w:after="0" w:line="238"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$4,783 of fair market value of the company matching contributions of common stock to Dr. Tsukamoto.</w:t>
      </w:r>
    </w:p>
    <w:p>
      <w:pPr>
        <w:spacing w:after="0" w:line="17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$3,245 of fair market value of the company matching contributions of common stock to Dr. Bartel.</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 GRANTS IN LAST YEAR</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following table provides information on option grants in 2000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Mr. Dunbar, the only named executive officer to be granted options in 2000.</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8"/>
          </w:cols>
          <w:pgMar w:left="231" w:top="457" w:right="1440" w:bottom="1440" w:gutter="0" w:footer="0" w:header="0"/>
        </w:sectPr>
      </w:pPr>
    </w:p>
    <w:bookmarkStart w:id="49" w:name="page50"/>
    <w:bookmarkEnd w:id="49"/>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98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8"/>
              </w:rPr>
              <w:t>OPTION GRANTS IN LAST YEAR</w:t>
            </w: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POTENTIAL REALIZABLE VALUE</w:t>
            </w:r>
          </w:p>
        </w:tc>
      </w:tr>
      <w:tr>
        <w:trPr>
          <w:trHeight w:val="171"/>
        </w:trPr>
        <w:tc>
          <w:tcPr>
            <w:tcW w:w="238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PERCENT OF</w:t>
            </w: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AT ASSUMED ANNUAL RATES OF</w:t>
            </w:r>
          </w:p>
        </w:tc>
      </w:tr>
      <w:tr>
        <w:trPr>
          <w:trHeight w:val="171"/>
        </w:trPr>
        <w:tc>
          <w:tcPr>
            <w:tcW w:w="238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TOTAL OPTIONS</w:t>
            </w: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STOCK PRICE APPRECIATION FOR</w:t>
            </w:r>
          </w:p>
        </w:tc>
      </w:tr>
      <w:tr>
        <w:trPr>
          <w:trHeight w:val="171"/>
        </w:trPr>
        <w:tc>
          <w:tcPr>
            <w:tcW w:w="2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GRANTED TO</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4"/>
                <w:szCs w:val="14"/>
                <w:color w:val="auto"/>
              </w:rPr>
            </w:pPr>
          </w:p>
        </w:tc>
        <w:tc>
          <w:tcPr>
            <w:tcW w:w="200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OPTION TERM</w:t>
            </w:r>
          </w:p>
        </w:tc>
        <w:tc>
          <w:tcPr>
            <w:tcW w:w="8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8"/>
              </w:rPr>
              <w:t>GRANTED</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EMPLOYEES IN</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EXPIRATION</w:t>
            </w:r>
          </w:p>
        </w:tc>
        <w:tc>
          <w:tcPr>
            <w:tcW w:w="20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1"/>
              </w:rPr>
              <w:t>------------------------------</w:t>
            </w:r>
          </w:p>
        </w:tc>
        <w:tc>
          <w:tcPr>
            <w:tcW w:w="880" w:type="dxa"/>
            <w:vAlign w:val="bottom"/>
          </w:tcPr>
          <w:p>
            <w:pPr>
              <w:spacing w:after="0"/>
              <w:rPr>
                <w:sz w:val="14"/>
                <w:szCs w:val="14"/>
                <w:color w:val="auto"/>
              </w:rPr>
            </w:pP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 OF SHARES)</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2000(1)</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($/SHARE)(2)</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DATE</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10%($)</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George W. Dunbar, Jr.......</w:t>
            </w:r>
          </w:p>
        </w:tc>
        <w:tc>
          <w:tcPr>
            <w:tcW w:w="15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73,000(3)</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1.094</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10/15/01</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271,998</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307,120</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345,580</w:t>
            </w:r>
          </w:p>
        </w:tc>
      </w:tr>
      <w:tr>
        <w:trPr>
          <w:trHeight w:val="171"/>
        </w:trPr>
        <w:tc>
          <w:tcPr>
            <w:tcW w:w="2380" w:type="dxa"/>
            <w:vAlign w:val="bottom"/>
          </w:tcPr>
          <w:p>
            <w:pPr>
              <w:spacing w:after="0"/>
              <w:rPr>
                <w:sz w:val="14"/>
                <w:szCs w:val="14"/>
                <w:color w:val="auto"/>
              </w:rPr>
            </w:pPr>
          </w:p>
        </w:tc>
        <w:tc>
          <w:tcPr>
            <w:tcW w:w="15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12,031(3)</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4.156</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10/15/01</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13,162</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19,467</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26,371</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800" w:hanging="349"/>
        <w:spacing w:after="0" w:line="238"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granted options covering 330,031 shares of common stock to employees in the fiscal year ended December 31, 2000.</w:t>
      </w:r>
    </w:p>
    <w:p>
      <w:pPr>
        <w:spacing w:after="0" w:line="174" w:lineRule="exact"/>
        <w:rPr>
          <w:rFonts w:ascii="Courier New" w:cs="Courier New" w:eastAsia="Courier New" w:hAnsi="Courier New"/>
          <w:sz w:val="15"/>
          <w:szCs w:val="15"/>
          <w:color w:val="auto"/>
        </w:rPr>
      </w:pPr>
    </w:p>
    <w:p>
      <w:pPr>
        <w:ind w:left="349" w:right="3800" w:hanging="349"/>
        <w:spacing w:after="0" w:line="239"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may be paid by delivery of already-owned shares and tax withholding obligations related to exercise may be paid by offset of the underlying shares, subject to certain conditions.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2000, options for 85,031 shares were fully vested.</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EXERCISES IN LAST YEAR AND YEAR-END OPTION VALUES</w:t>
      </w:r>
    </w:p>
    <w:p>
      <w:pPr>
        <w:spacing w:after="0" w:line="174" w:lineRule="exact"/>
        <w:rPr>
          <w:sz w:val="20"/>
          <w:szCs w:val="20"/>
          <w:color w:val="auto"/>
        </w:rPr>
      </w:pPr>
    </w:p>
    <w:p>
      <w:pPr>
        <w:ind w:left="9" w:right="3620" w:firstLine="355"/>
        <w:spacing w:after="0" w:line="239" w:lineRule="auto"/>
        <w:rPr>
          <w:sz w:val="20"/>
          <w:szCs w:val="20"/>
          <w:color w:val="auto"/>
        </w:rPr>
      </w:pPr>
      <w:r>
        <w:rPr>
          <w:rFonts w:ascii="Courier New" w:cs="Courier New" w:eastAsia="Courier New" w:hAnsi="Courier New"/>
          <w:sz w:val="15"/>
          <w:szCs w:val="15"/>
          <w:color w:val="auto"/>
        </w:rPr>
        <w:t>The following table provides information about option exercises in 2000 by the named executive officers and the value of such officers' unexercised options on December 31, 2000.</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AGGREGATED OPTION EXERCISES IN 2000 AND YEAR-END OPTION VALUES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NUMBER OF SECURITIES</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8"/>
              </w:rPr>
              <w:t>UNDERLYING UNEXERCISED</w:t>
            </w:r>
          </w:p>
        </w:tc>
        <w:tc>
          <w:tcPr>
            <w:tcW w:w="26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7"/>
              </w:rPr>
              <w:t>OPTIONS AT</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IN-THE-MONEY OPTIONS AT</w:t>
            </w:r>
          </w:p>
        </w:tc>
      </w:tr>
      <w:tr>
        <w:trPr>
          <w:trHeight w:val="171"/>
        </w:trPr>
        <w:tc>
          <w:tcPr>
            <w:tcW w:w="2380" w:type="dxa"/>
            <w:vAlign w:val="bottom"/>
          </w:tcPr>
          <w:p>
            <w:pPr>
              <w:spacing w:after="0"/>
              <w:rPr>
                <w:sz w:val="14"/>
                <w:szCs w:val="14"/>
                <w:color w:val="auto"/>
              </w:rPr>
            </w:pP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spacing w:after="0"/>
              <w:rPr>
                <w:sz w:val="14"/>
                <w:szCs w:val="14"/>
                <w:color w:val="auto"/>
              </w:rPr>
            </w:pPr>
          </w:p>
        </w:tc>
        <w:tc>
          <w:tcPr>
            <w:tcW w:w="266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FISCAL YEAR-END</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9"/>
              </w:rPr>
              <w:t>FISCAL YEAR-END($)(1)</w:t>
            </w:r>
          </w:p>
        </w:tc>
      </w:tr>
      <w:tr>
        <w:trPr>
          <w:trHeight w:val="171"/>
        </w:trPr>
        <w:tc>
          <w:tcPr>
            <w:tcW w:w="238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ACQUIRED ON</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EXERCISE(#)</w:t>
            </w:r>
          </w:p>
        </w:tc>
        <w:tc>
          <w:tcPr>
            <w:tcW w:w="390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9"/>
              </w:rPr>
              <w:t>REALIZED($)   EXERCISABLE   UNEXERCISABLE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156,250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865,328</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93,750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42,000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209,160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24,031</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11,248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Ann Tsukamoto, Ph.D.......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78,082</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33,168</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29,638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35,161</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19,270</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33,230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24,814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43,058</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620" w:hanging="349"/>
        <w:spacing w:after="0"/>
        <w:tabs>
          <w:tab w:leader="none" w:pos="3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is based on the difference between the aggregate option exercise price and the fair market value as of December 31, 2000. The fair market value of the common stock is based on the closing price of the our common stock on December 29, 2000 (the last trading day of 2000) on the Nasdaq National Market, which was $2.50.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EMPLOYMENT CONTRACTS, TERMINATION OF EMPLOYMENT AND CHANGE OF CONTROL</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ARRANGEMENTS</w:t>
      </w:r>
    </w:p>
    <w:p>
      <w:pPr>
        <w:spacing w:after="0" w:line="174" w:lineRule="exact"/>
        <w:rPr>
          <w:sz w:val="20"/>
          <w:szCs w:val="20"/>
          <w:color w:val="auto"/>
        </w:rPr>
      </w:pPr>
    </w:p>
    <w:p>
      <w:pPr>
        <w:ind w:left="9" w:right="3620" w:firstLine="355"/>
        <w:spacing w:after="0"/>
        <w:rPr>
          <w:sz w:val="20"/>
          <w:szCs w:val="20"/>
          <w:color w:val="auto"/>
        </w:rPr>
      </w:pPr>
      <w:r>
        <w:rPr>
          <w:rFonts w:ascii="Courier New" w:cs="Courier New" w:eastAsia="Courier New" w:hAnsi="Courier New"/>
          <w:sz w:val="15"/>
          <w:szCs w:val="15"/>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us without cause or by</w:t>
      </w:r>
    </w:p>
    <w:p>
      <w:pPr>
        <w:spacing w:after="0" w:line="18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729"/>
          </w:cols>
          <w:pgMar w:left="231" w:top="457" w:right="939" w:bottom="1440" w:gutter="0" w:footer="0" w:header="0"/>
        </w:sectPr>
      </w:pPr>
    </w:p>
    <w:bookmarkStart w:id="50" w:name="page51"/>
    <w:bookmarkEnd w:id="50"/>
    <w:p>
      <w:pPr>
        <w:ind w:right="3219"/>
        <w:spacing w:after="0" w:line="260" w:lineRule="auto"/>
        <w:rPr>
          <w:sz w:val="20"/>
          <w:szCs w:val="20"/>
          <w:color w:val="auto"/>
        </w:rPr>
      </w:pPr>
      <w:r>
        <w:rPr>
          <w:rFonts w:ascii="Courier New" w:cs="Courier New" w:eastAsia="Courier New" w:hAnsi="Courier New"/>
          <w:sz w:val="14"/>
          <w:szCs w:val="14"/>
          <w:color w:val="auto"/>
        </w:rPr>
        <w:t>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without good reason, he will not be entitled to any severance or other benefits.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PLANS AND RELATED TRANSACTIONS</w:t>
      </w:r>
    </w:p>
    <w:p>
      <w:pPr>
        <w:spacing w:after="0" w:line="34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 April 2001, our board of directors adopted the 2001 Equity Incentive Plan, subject to stockholder approval, which was obtained at our annual meeting on May 31, 2001.</w:t>
      </w:r>
    </w:p>
    <w:p>
      <w:pPr>
        <w:spacing w:after="0" w:line="200" w:lineRule="exact"/>
        <w:rPr>
          <w:sz w:val="20"/>
          <w:szCs w:val="20"/>
          <w:color w:val="auto"/>
        </w:rPr>
      </w:pPr>
    </w:p>
    <w:p>
      <w:pPr>
        <w:spacing w:after="0" w:line="31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purpose of the Plan is to advance our interests by enhancing our ability to attract and retain executive officers, employees, directors and other persons or entities providing services to us who are in a position to make significant contributions to our success, and to reward participants for such contributions, through ownership of shares of our common stock. The Plan is intended to accomplish these goals by enabling us to grant awards in the form of options, stock appreciation rights, restricted stock, unrestricted stock or deferred stock, or performance awards, loans or supplemental grants or combinations thereof, all as more fully described below. The Plan is the successor to both our 1992 Equity Incentive Plan and our 1992 Stock Option Plan for Non-Employee Directors. No awards may be made under either of the 1992 plans after February 12, 2002.</w:t>
      </w:r>
    </w:p>
    <w:p>
      <w:pPr>
        <w:spacing w:after="0" w:line="200" w:lineRule="exact"/>
        <w:rPr>
          <w:sz w:val="20"/>
          <w:szCs w:val="20"/>
          <w:color w:val="auto"/>
        </w:rPr>
      </w:pPr>
    </w:p>
    <w:p>
      <w:pPr>
        <w:spacing w:after="0" w:line="32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is administered by our board of directors. Under the Plan, the board may grant stock options, stock appreciation rights, restricted stock, unrestricted stock, deferred stock, and performance awards (in cash or stock), or combinations thereof, and may waive the terms and conditions of any award. A total of 3,000,000 shares of common stock may be issued under the Plan. Employees, including executive officers, directors and other persons or entities providing services to us or its subsidiaries who are in a position to make a significant contribution to our success are eligible to receive awards under the Plan.</w:t>
      </w:r>
    </w:p>
    <w:p>
      <w:pPr>
        <w:spacing w:after="0" w:line="348"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exercise price of an incentive stock option ("ISO") granted under the Plan or an option intended to qualify as performance-based compensation under Section 162(m) of the Code shall not be less than 100% of the fair market value of the stock at the time of grant. The board determines the exercise price of a non-ISO granted under the Plan. No stock options may be granted under the Plan after March 28, 2011, but stock options previously granted may extend beyond that date. The exercise price may be paid in cash or by check. Subject to certain additional limitations, the board may also permit the exercise price to be paid by tendering shares of stock, by delivery of a promissory note, by delivery to us of an undertaking by a broker to deliver promptly sufficient funds to pay the exercise price, or a combination of the foregoing.</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Stock appreciation rights ("SARs") may be granted either alone or in tandem with stock option grants. Each SAR entitles the holder on exercise to receive an amount in cash or stock or a combination thereof (such form to be determined by the board) determined in whole or in part by reference to appreciation in the fair market value of a share of Stock. SARs may be based solely on appreciation in the fair market value of stock or on a comparison of such appreciation with some other measure of market growth.</w:t>
      </w:r>
    </w:p>
    <w:p>
      <w:pPr>
        <w:spacing w:after="0" w:line="34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provides for awards of nontransferable shares of restricted stock subject to forfeiture, as well as unrestricted shares of stock. Shares of restricted stock may not be sold, transferred, pledged, assigned, or otherwise alienated or hypothecated until the end of the applicable period and the satisfaction of any other conditions or restrictions established by the board. Except as the Plan otherwise specifically provides, if a participant ceases to be an employee or ceases to continue the consulting or other similar relationship engaged in by such participant with us for any reason other than death during the restricted period, then the restricted stock must be offered to us for purchase for the amount of cash paid for the restricted stock, or forfeited to us if no cash was paid. The Plan also</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60" w:right="1440" w:bottom="1440" w:gutter="0" w:footer="0" w:header="0"/>
        </w:sectPr>
      </w:pPr>
    </w:p>
    <w:bookmarkStart w:id="51" w:name="page52"/>
    <w:bookmarkEnd w:id="51"/>
    <w:p>
      <w:pPr>
        <w:ind w:right="3219"/>
        <w:spacing w:after="0" w:line="271" w:lineRule="auto"/>
        <w:rPr>
          <w:sz w:val="20"/>
          <w:szCs w:val="20"/>
          <w:color w:val="auto"/>
        </w:rPr>
      </w:pPr>
      <w:r>
        <w:rPr>
          <w:rFonts w:ascii="Courier New" w:cs="Courier New" w:eastAsia="Courier New" w:hAnsi="Courier New"/>
          <w:sz w:val="14"/>
          <w:szCs w:val="14"/>
          <w:color w:val="auto"/>
        </w:rPr>
        <w:t>provides for deferred grants entitling the recipient to receive shares of stock in the future at such times and on such conditions as the board may specify.</w:t>
      </w:r>
    </w:p>
    <w:p>
      <w:pPr>
        <w:spacing w:after="0" w:line="32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provides for performance awards entitling the recipient to receive without payment cash or stock or a combination thereof following the attainment of performance goals determined by the board. In the case of any performance award intended to qualify for the performance-based remuneration exception described in Section 162(m) of the Code, the board will in writing pre-establish specific performance goals that are based upon any one or more operational, result or event-specific goals.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provides that the board has full authority to decide whether to make a loan to a participant in connection with the purchase of stock under an award or with the payment of any applicable income tax recognized as a result of an award. The Plan also provides that, in connection with any award, the board may provide for and grant a cash award with certain limitations as to the amount of the supplemental grant.</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Except as otherwise provided by the board, if a participant dies, options and SARs exercisable immediately prior to death may be exercised by the participant's executor, administrator or transferee during a period of one year following such death (or for the remainder of their original term, if less). Options and SARs not exercisable at a participant's death terminate. In the case of termination for reasons other than death, options and SARs remain exercisable, to the extent they were exercisable immediately prior to termination, for three months (or for the remainder of their original term, if less); provided that if in the Board's judgment the reason for the award holder's termination casts discredit on us sufficient to justify immediate termination of the award, then such award will immediately terminate.</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the case of certain mergers, consolidations or other transactions in which we are acquired or is liquidated and there is a surviving or acquiring corporation, the Plan permits the board to arrange for the assumption of awards outstanding under the Plan or the grant to participants of replacement awards by that corporation. All outstanding awards not assumed by the surviving or acquiring corporation shall become exercisable immediately prior to the consummation of such merger, consolidation or other transaction and upon such consummation all outstanding awards that have not been assumed or replaced will terminate.</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board may amend the Plan or any outstanding award at any time, provided that no such amendment will, without the approval of our stockholders, effectuate a change for which shareholder approval is required in order for the Plan to continue to qualify for the award of ISOs under Section 422 of the Code or for the award of performance-based compensation under Section 162(m) of the Code.</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future benefits or amounts that would be received under the Plan by the executive officers and the non-executive officer employees are discretionary and are therefore not determinable at this time.</w:t>
      </w:r>
    </w:p>
    <w:p>
      <w:pPr>
        <w:spacing w:after="0" w:line="3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2001 Equity Incentive Plan became effective as of May 31, 2001.</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1" w:right="1440" w:bottom="1440" w:gutter="0" w:footer="0" w:header="0"/>
        </w:sectPr>
      </w:pPr>
    </w:p>
    <w:bookmarkStart w:id="52" w:name="page53"/>
    <w:bookmarkEnd w:id="52"/>
    <w:p>
      <w:pPr>
        <w:ind w:left="2380"/>
        <w:spacing w:after="0"/>
        <w:rPr>
          <w:sz w:val="20"/>
          <w:szCs w:val="20"/>
          <w:color w:val="auto"/>
        </w:rPr>
      </w:pPr>
      <w:r>
        <w:rPr>
          <w:rFonts w:ascii="Courier New" w:cs="Courier New" w:eastAsia="Courier New" w:hAnsi="Courier New"/>
          <w:sz w:val="15"/>
          <w:szCs w:val="15"/>
          <w:color w:val="auto"/>
        </w:rPr>
        <w:t>RELATED PARTY TRANSACTIONS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PAID TO DR. SCHWARTZ</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under a consulting services agreement to serve as a consultant to us rendering strategic business advice and counseling services, including assistance in the negotiation and consummation of strategic collaboration transactions specified by us. The consulting services agreement provided for compensation to Dr. Schwartz in the amount of $50,000 in cash for services rendered during the period of September 27, 1997 through July 26, 1998, plus a fully vested option to purchase 20,000 shares of our common stock at $1.281, the fair market value of our common stock at the time of the grant. For services rendered during the term of the consulting services agreement, Dr. Schwartz was entitled to total cash compensation of $120,000, an option to purchase 76,000 shares of our common stock with an exercise price equal to the closing bid price for the shares on July 27, 1998, and an option to purchase 48,000 shares of our common stock at the then current fair market value of our common stock on</w:t>
      </w:r>
    </w:p>
    <w:p>
      <w:pPr>
        <w:spacing w:after="0" w:line="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July 27, 1999, vesting at a rate of 2,000 shares per month. In addition, the consulting services agreement provided that in the event that, at a time when Dr. Schwartz was not a member of the board of directors but the consulting services agreement was still in effect, Dr. Schwartz materially participated in the negotiation and consummation of a strategic collaboration transaction specified by us, he would have been be entitled to receive additional compensation equal to 3% of the transaction consideration, payable half in cash and half in the form of an option or warrant to purchase shares of our common stock at $.20 per share, the number of shares being calculated based on the fair market value of our common stock ten days prior to the first public announcement of the consummation of, the execution of a letter of intent for, or the existence of discussions concerning the collaboration transaction. There have been no such strategic collaboration transactions that would have given rise to additional compensation.</w:t>
      </w:r>
    </w:p>
    <w:p>
      <w:pPr>
        <w:spacing w:after="0" w:line="18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December 19, 1998, Dr. Schwartz became a member of the board of directors and its Chairman and his compensation for services in this capacity was provided for under the terms of a letter agreement, which also incorporated certain compensation provided for under the consulting services agreement. Under the letter agreement, as amended July 1, 1999, Dr. Schwartz in his capacity as Chairman was entitled to receive $132,000 in cash per year, plus $1,500 per board or committee meeting and $500 per telephonic meeting. He also received an option to acquire 40,000 shares of our common stock under the 1992 Equity Incentive Plan, with an exercise price equal to the fair market value on the date of the grant. The time requirement for his position was set at thirty business days per quarter. Dr. Schwartz canceled both the letter agreement and the consulting services agreement as of March 31, 2001. He currently continues to serve in his position as Chairman and member of the board of directors under the terms of the compensation policy recently approved by the directors. See "Management--Director Compensation."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PAID TO DR. WEISSMAN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our stem cell research program and in the event of certain changes of control. We agreed to amend the option on October 27, 2000 so that the shares would become exercisable over eight years from the original grant date or in the event of certain changes of control. We recorded compensation expense of $823,759 during the fourth quarter of 2000 as a result of this change in the vested portion of the option. The deferred compensation</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5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expense associated with the unvested portion of the grants was recorded as</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$669,116. We plan to revalue the options using the Black-Scholes method on a quarterly basis and recognize additional compensation expense accordingly. We also agreed in September 1997 to nominate Dr. Weissman for a position on the board of directors. Dr. Weissman's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October 2000, we agreed with</w:t>
      </w:r>
    </w:p>
    <w:p>
      <w:pPr>
        <w:spacing w:after="0" w:line="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Dr. Weissman that we would pay him the same compensation paid to other members of the board. See "Management--Director Compensation."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ISSUED TO DR. WEISSMAN AND MR. LEVIN</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April 2000, we sold 750 shares of our 6% cumulative convertible preferred stock plus a warrant to purchase 37,500 shares of our common stock at $6.58 per share to each of Dr. Weissman and Mr. Levin, each a director,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Any unconverted preferred stock will be converted into common stock on April 13, 2002. The warrants expire on April 13, 2005.</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57" w:right="1440" w:bottom="1440" w:gutter="0" w:footer="0" w:header="0"/>
        </w:sectPr>
      </w:pPr>
    </w:p>
    <w:bookmarkStart w:id="54" w:name="page55"/>
    <w:bookmarkEnd w:id="54"/>
    <w:p>
      <w:pPr>
        <w:ind w:left="2569"/>
        <w:spacing w:after="0"/>
        <w:rPr>
          <w:sz w:val="20"/>
          <w:szCs w:val="20"/>
          <w:color w:val="auto"/>
        </w:rPr>
      </w:pPr>
      <w:r>
        <w:rPr>
          <w:rFonts w:ascii="Courier New" w:cs="Courier New" w:eastAsia="Courier New" w:hAnsi="Courier New"/>
          <w:sz w:val="14"/>
          <w:szCs w:val="14"/>
          <w:color w:val="auto"/>
        </w:rPr>
        <w:t>PRINCIPAL STOCKHOLDERS</w:t>
      </w:r>
    </w:p>
    <w:p>
      <w:pPr>
        <w:sectPr>
          <w:pgSz w:w="11900" w:h="16838" w:orient="portrait"/>
          <w:cols w:equalWidth="0" w:num="1">
            <w:col w:w="10228"/>
          </w:cols>
          <w:pgMar w:left="231" w:top="460" w:right="1440" w:bottom="306" w:gutter="0" w:footer="0" w:header="0"/>
        </w:sectPr>
      </w:pPr>
    </w:p>
    <w:p>
      <w:pPr>
        <w:spacing w:after="0" w:line="183" w:lineRule="exact"/>
        <w:rPr>
          <w:sz w:val="20"/>
          <w:szCs w:val="20"/>
          <w:color w:val="auto"/>
        </w:rPr>
      </w:pPr>
    </w:p>
    <w:p>
      <w:pPr>
        <w:ind w:left="9" w:right="1160" w:firstLine="355"/>
        <w:spacing w:after="0" w:line="238" w:lineRule="auto"/>
        <w:rPr>
          <w:sz w:val="20"/>
          <w:szCs w:val="20"/>
          <w:color w:val="auto"/>
        </w:rPr>
      </w:pPr>
      <w:r>
        <w:rPr>
          <w:rFonts w:ascii="Courier New" w:cs="Courier New" w:eastAsia="Courier New" w:hAnsi="Courier New"/>
          <w:sz w:val="15"/>
          <w:szCs w:val="15"/>
          <w:color w:val="auto"/>
        </w:rPr>
        <w:t>The following table shows information regarding the beneficial ownership of our capital stock as of April 30, 2001 for:</w:t>
      </w:r>
    </w:p>
    <w:p>
      <w:pPr>
        <w:spacing w:after="0" w:line="175" w:lineRule="exact"/>
        <w:rPr>
          <w:sz w:val="20"/>
          <w:szCs w:val="20"/>
          <w:color w:val="auto"/>
        </w:rPr>
      </w:pPr>
    </w:p>
    <w:p>
      <w:pPr>
        <w:ind w:left="529" w:right="1060" w:hanging="174"/>
        <w:spacing w:after="0" w:line="239" w:lineRule="auto"/>
        <w:tabs>
          <w:tab w:leader="none" w:pos="52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own beneficially more than 5% of the outstanding shares of common stock and 6% cumulative convertible preferred stock;</w:t>
      </w:r>
    </w:p>
    <w:p>
      <w:pPr>
        <w:spacing w:after="0" w:line="172" w:lineRule="exact"/>
        <w:rPr>
          <w:rFonts w:ascii="Courier New" w:cs="Courier New" w:eastAsia="Courier New" w:hAnsi="Courier New"/>
          <w:sz w:val="15"/>
          <w:szCs w:val="15"/>
          <w:color w:val="auto"/>
        </w:rPr>
      </w:pPr>
    </w:p>
    <w:p>
      <w:pPr>
        <w:ind w:left="529" w:hanging="174"/>
        <w:spacing w:after="0"/>
        <w:tabs>
          <w:tab w:leader="none" w:pos="52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and</w:t>
      </w:r>
    </w:p>
    <w:p>
      <w:pPr>
        <w:spacing w:after="0" w:line="171" w:lineRule="exact"/>
        <w:rPr>
          <w:rFonts w:ascii="Courier New" w:cs="Courier New" w:eastAsia="Courier New" w:hAnsi="Courier New"/>
          <w:sz w:val="15"/>
          <w:szCs w:val="15"/>
          <w:color w:val="auto"/>
        </w:rPr>
      </w:pPr>
    </w:p>
    <w:p>
      <w:pPr>
        <w:ind w:left="529" w:hanging="174"/>
        <w:spacing w:after="0"/>
        <w:tabs>
          <w:tab w:leader="none" w:pos="52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4" w:lineRule="exact"/>
        <w:rPr>
          <w:sz w:val="20"/>
          <w:szCs w:val="20"/>
          <w:color w:val="auto"/>
        </w:rPr>
      </w:pPr>
    </w:p>
    <w:p>
      <w:pPr>
        <w:ind w:left="9" w:right="1420" w:firstLine="355"/>
        <w:spacing w:after="0" w:line="238" w:lineRule="auto"/>
        <w:rPr>
          <w:sz w:val="20"/>
          <w:szCs w:val="20"/>
          <w:color w:val="auto"/>
        </w:rPr>
      </w:pPr>
      <w:r>
        <w:rPr>
          <w:rFonts w:ascii="Courier New" w:cs="Courier New" w:eastAsia="Courier New" w:hAnsi="Courier New"/>
          <w:sz w:val="15"/>
          <w:szCs w:val="15"/>
          <w:color w:val="auto"/>
        </w:rPr>
        <w:t>The address for each listed director and officer is c/o StemCells, Inc., 3155 Porter Drive, Palo Alto, CA 94304.</w:t>
      </w:r>
    </w:p>
    <w:p>
      <w:pPr>
        <w:spacing w:after="0" w:line="346" w:lineRule="exact"/>
        <w:rPr>
          <w:sz w:val="20"/>
          <w:szCs w:val="20"/>
          <w:color w:val="auto"/>
        </w:rPr>
      </w:pPr>
    </w:p>
    <w:p>
      <w:pPr>
        <w:ind w:left="9" w:right="1060" w:firstLine="355"/>
        <w:spacing w:after="0"/>
        <w:rPr>
          <w:sz w:val="20"/>
          <w:szCs w:val="20"/>
          <w:color w:val="auto"/>
        </w:rPr>
      </w:pPr>
      <w:r>
        <w:rPr>
          <w:rFonts w:ascii="Courier New" w:cs="Courier New" w:eastAsia="Courier New" w:hAnsi="Courier New"/>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to be outstanding shares of capital stock subject to options or warrants held by that person that are currently exercisable or will become exercisable within 60 days of April 30, 2001, but we have not deemed these shares to be outstanding for computing the percentage ownership of any other person. To our knowledge, except as set forth in the footnotes below, each stockholder identified in the table possesses sole voting and investment power with respect to all shares of common stock and 6% cumulative convertible preferred stock shown as beneficially owned by that stockholder. Except as stated below in note 7, beneficial ownership percentage is based on 21,458,211 shares of our common stock and 1,500 shares of our 6% cumulative convertible preferred stock outstanding on March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PERCENTAGE</w:t>
            </w:r>
          </w:p>
        </w:tc>
        <w:tc>
          <w:tcPr>
            <w:tcW w:w="182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18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SHARES OF</w:t>
            </w:r>
          </w:p>
        </w:tc>
        <w:tc>
          <w:tcPr>
            <w:tcW w:w="18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OF CLASS OF</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SHARES OF</w:t>
            </w:r>
          </w:p>
        </w:tc>
      </w:tr>
      <w:tr>
        <w:trPr>
          <w:trHeight w:val="171"/>
        </w:trPr>
        <w:tc>
          <w:tcPr>
            <w:tcW w:w="2600" w:type="dxa"/>
            <w:vAlign w:val="bottom"/>
          </w:tcPr>
          <w:p>
            <w:pPr>
              <w:spacing w:after="0"/>
              <w:rPr>
                <w:sz w:val="14"/>
                <w:szCs w:val="14"/>
                <w:color w:val="auto"/>
              </w:rPr>
            </w:pPr>
          </w:p>
        </w:tc>
        <w:tc>
          <w:tcPr>
            <w:tcW w:w="18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COMMON STOCK</w:t>
            </w:r>
          </w:p>
        </w:tc>
        <w:tc>
          <w:tcPr>
            <w:tcW w:w="18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COMMON STOCK</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PREFERRED STOCK</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 OF BENEFICIAL OWNER(1)</w:t>
            </w:r>
          </w:p>
        </w:tc>
        <w:tc>
          <w:tcPr>
            <w:tcW w:w="1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BENEFICIALLY OWNED</w:t>
            </w:r>
          </w:p>
        </w:tc>
        <w:tc>
          <w:tcPr>
            <w:tcW w:w="18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BENEFICIALLY OWNED</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BENEFICIALLY OWNED</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190,300(2)</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750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Martin M. McGlynn...........</w:t>
            </w:r>
          </w:p>
        </w:tc>
        <w:tc>
          <w:tcPr>
            <w:tcW w:w="1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Roger Perlmutter, M.D.,</w:t>
            </w: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Ph.D......................</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3,519(3)</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194,917(4)</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133,685(5)</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750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officers as a group (7</w:t>
            </w: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persons)..................</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653,749(6)</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3.0%</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1,500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Millennium Partners, LP.....</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2,878,862(7)</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11.8%</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one percent.</w:t>
      </w:r>
    </w:p>
    <w:p>
      <w:pPr>
        <w:spacing w:after="0" w:line="174" w:lineRule="exact"/>
        <w:rPr>
          <w:sz w:val="20"/>
          <w:szCs w:val="20"/>
          <w:color w:val="auto"/>
        </w:rPr>
      </w:pPr>
    </w:p>
    <w:p>
      <w:pPr>
        <w:ind w:left="349" w:right="1240" w:hanging="349"/>
        <w:spacing w:after="0" w:line="239" w:lineRule="auto"/>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all such persons, except Millenium Partners, LP, is c/o the Company, 3155 Porter Drive, Palo Alto, California 94304. The address of Millenium Partners, LP is 551 Fifth Avenue, New York, New York 10176.</w:t>
      </w:r>
    </w:p>
    <w:p>
      <w:pPr>
        <w:spacing w:after="0" w:line="175" w:lineRule="exact"/>
        <w:rPr>
          <w:rFonts w:ascii="Courier New" w:cs="Courier New" w:eastAsia="Courier New" w:hAnsi="Courier New"/>
          <w:sz w:val="15"/>
          <w:szCs w:val="15"/>
          <w:color w:val="auto"/>
        </w:rPr>
      </w:pPr>
    </w:p>
    <w:p>
      <w:pPr>
        <w:ind w:left="349" w:right="1600" w:hanging="349"/>
        <w:spacing w:after="0" w:line="238" w:lineRule="auto"/>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41,296 shares of common stock issuable upon exercise of stock options and a warrant to purchase 37,500 shares.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issuable upon exercise of stock options.</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194,917 shares issuable upon exercise of stock options.</w:t>
      </w:r>
    </w:p>
    <w:p>
      <w:pPr>
        <w:spacing w:after="0" w:line="174" w:lineRule="exact"/>
        <w:rPr>
          <w:rFonts w:ascii="Courier New" w:cs="Courier New" w:eastAsia="Courier New" w:hAnsi="Courier New"/>
          <w:sz w:val="15"/>
          <w:szCs w:val="15"/>
          <w:color w:val="auto"/>
        </w:rPr>
      </w:pPr>
    </w:p>
    <w:p>
      <w:pPr>
        <w:ind w:left="349" w:right="1240" w:hanging="349"/>
        <w:spacing w:after="0" w:line="239" w:lineRule="auto"/>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38,234 shares issuable upon exercise of stock options and 44,660 shares issuable upon exercise of warrants. Includes 50,791 shares owned by trusts for the benefit of Dr. Weissman's children as to which he disclaims beneficial ownership.</w:t>
      </w:r>
    </w:p>
    <w:p>
      <w:pPr>
        <w:spacing w:after="0" w:line="176" w:lineRule="exact"/>
        <w:rPr>
          <w:rFonts w:ascii="Courier New" w:cs="Courier New" w:eastAsia="Courier New" w:hAnsi="Courier New"/>
          <w:sz w:val="15"/>
          <w:szCs w:val="15"/>
          <w:color w:val="auto"/>
        </w:rPr>
      </w:pPr>
    </w:p>
    <w:p>
      <w:pPr>
        <w:ind w:left="349" w:right="1060" w:hanging="349"/>
        <w:spacing w:after="0" w:line="238" w:lineRule="auto"/>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387,780 shares and warrants to purchase 185,129 shares.</w:t>
      </w:r>
    </w:p>
    <w:p>
      <w:pPr>
        <w:spacing w:after="0" w:line="345" w:lineRule="exact"/>
        <w:rPr>
          <w:rFonts w:ascii="Courier New" w:cs="Courier New" w:eastAsia="Courier New" w:hAnsi="Courier New"/>
          <w:sz w:val="15"/>
          <w:szCs w:val="15"/>
          <w:color w:val="auto"/>
        </w:rPr>
      </w:pPr>
    </w:p>
    <w:p>
      <w:pPr>
        <w:ind w:left="349" w:right="1160" w:hanging="349"/>
        <w:spacing w:after="0"/>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794,308 shares issuable upon the exercise of warrants. Also includes 457,750 shares issued on June 21, 2001 upon exercise of an option granted on August 3, 2000 to purchase up to $2 million of our common stock. These shares were deemed outstanding only for purposes of calculating the percentage of beneficial ownership of Millennium and not for any other stockholder, for whom the percentage of beneficial ownership was based on shares outstanding as of March 31, 2001. Information on Millennium's beneficial ownership is based on a Schedule 13G filed by Millennium on February 27,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PERCENTAGE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 CLASS OF</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PREFERRED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 OWNED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w:t>
      </w:r>
    </w:p>
    <w:p>
      <w:pPr>
        <w:spacing w:after="0" w:line="34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100%</w:t>
      </w:r>
    </w:p>
    <w:p>
      <w:pPr>
        <w:spacing w:after="0" w:line="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w:t>
      </w:r>
    </w:p>
    <w:p>
      <w:pPr>
        <w:spacing w:after="0" w:line="6340" w:lineRule="exact"/>
        <w:rPr>
          <w:sz w:val="20"/>
          <w:szCs w:val="20"/>
          <w:color w:val="auto"/>
        </w:rPr>
      </w:pPr>
    </w:p>
    <w:p>
      <w:pPr>
        <w:sectPr>
          <w:pgSz w:w="11900" w:h="16838" w:orient="portrait"/>
          <w:cols w:equalWidth="0" w:num="2">
            <w:col w:w="8169" w:space="80"/>
            <w:col w:w="1979"/>
          </w:cols>
          <w:pgMar w:left="231" w:top="460" w:right="1440" w:bottom="306" w:gutter="0" w:footer="0" w:header="0"/>
          <w:type w:val="continuous"/>
        </w:sectPr>
      </w:pPr>
    </w:p>
    <w:p>
      <w:pPr>
        <w:spacing w:after="0" w:line="148"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50</w:t>
      </w:r>
    </w:p>
    <w:p>
      <w:pPr>
        <w:sectPr>
          <w:pgSz w:w="11900" w:h="16838" w:orient="portrait"/>
          <w:cols w:equalWidth="0" w:num="1">
            <w:col w:w="10228"/>
          </w:cols>
          <w:pgMar w:left="231" w:top="460" w:right="1440" w:bottom="306" w:gutter="0" w:footer="0" w:header="0"/>
          <w:type w:val="continuous"/>
        </w:sectPr>
      </w:pPr>
    </w:p>
    <w:bookmarkStart w:id="55" w:name="page56"/>
    <w:bookmarkEnd w:id="55"/>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March 31, 2001, the total amount of our authorized capital stock consisted of 45,000,000 shares of common stock, $.01 par value per share, and 1,000,000 shares of authorized preferred stock, $.01 par value per share, 2,626 of which has been designated as 6% cumulative preferred stock, to be issued from time to time in one or more series, with such designations, powers, preferences, rights, qualifications, limitations and restrictions as our board of directors may determine. As of March 31, 2001, we had outstanding 21,458,211 shares of common stock and 1,500 shares of 6% cumulative convertible preferred stock.</w:t>
      </w:r>
    </w:p>
    <w:p>
      <w:pPr>
        <w:spacing w:after="0" w:line="332"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March 31, 2001, we had 287 stockholders of record with respect to our common stock, and we had outstanding options and warrants to purchase 3,461,105 shares of our common stock, of which 871,386 were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issued and outstanding shares of common stock are, and the shares of common stock to be issued by us in connection with the offering will be, validly issued, fully paid and nonassessable. Holders of our common stock are entitled to any and all dividends as such dividends are declared by the board of directors.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 Upon liquidation, dissolution or winding up of our company, the holders of common stock are entitled to an amount equal to $1.00 per share, subject to the rights of the holders of the preferred stock. After payment to the holders of the common stock of the full preferential amounts due to them, the holders of common stock have the right to share equally in the distribution of the entire remaining assets of the company legally available for distribution, subject to the rights of the holders of the preferred stock. Each outstanding share of common stock is entitled to one vote on all matters submitted to a vote of stockholders, such voting rights to be counted together with all other shares of capital stock having voting powers and not as a separate class, except as otherwise required by law.</w:t>
      </w:r>
    </w:p>
    <w:p>
      <w:pPr>
        <w:spacing w:after="0" w:line="185"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board of directors may from time to time direct the issuance of shares of preferred stock in series and may, at the time of issuance, determine the rights, preferences and limitations of each series. Shares of preferred stock of any one series shall be identical with each other in all respects except as to the dates from which dividends shall accrue and/or cumulate. In the event of any liquidation, dissolution or winding up of the company, the holders of undesignated preferred stock of each series are entitled to receive an amount fixed by our restated certificate of incorporation or by the resolution(s) of the board of directors providing for the issuance of such series.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designated 2,626 shares, $.01 par value per share, as 6% cumulative convertible preferred stock, 1,500 shares of which are issued and outstanding. The holders of these preferred shares are entitled to receive cumulative dividends at a per share rate of 6% of the liquidation preference of each share, per annum accruing daily and compounding quarterly, with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57" w:right="1440" w:bottom="1440" w:gutter="0" w:footer="0" w:header="0"/>
        </w:sectPr>
      </w:pPr>
    </w:p>
    <w:bookmarkStart w:id="56" w:name="page57"/>
    <w:bookmarkEnd w:id="56"/>
    <w:p>
      <w:pPr>
        <w:ind w:right="3119"/>
        <w:spacing w:after="0"/>
        <w:rPr>
          <w:sz w:val="20"/>
          <w:szCs w:val="20"/>
          <w:color w:val="auto"/>
        </w:rPr>
      </w:pPr>
      <w:r>
        <w:rPr>
          <w:rFonts w:ascii="Courier New" w:cs="Courier New" w:eastAsia="Courier New" w:hAnsi="Courier New"/>
          <w:sz w:val="15"/>
          <w:szCs w:val="15"/>
          <w:color w:val="auto"/>
        </w:rPr>
        <w:t>priority over payment of any dividend on common stock or any other class or series of equity security of the company. In the event of any liquidation, dissolution or winding up of the company, the holders of the 6% cumulative convertible preferred stock are entitled to receive in preference to holders of any other class or series of equity securities, an amount equal to $1,000 per share plus (i) dividends added to the liquidation preference, (ii) all accrued but unpaid dividends and (iii) all "Monthly Delay Payments" under a registration rights agreement, dated April 13, 2000, by and between us and Irving Weissman and Mark Levin. The 6% cumulative convertible preferred stock was issued pursuant to a securities purchase agreement, dated April 13, 2000, by and between us and Irving Weissman and Mark Levin. Each holder of the 6% cumulative convertible preferred stock has at any time the right to convert any or all 6% cumulative convertible preferred stock held by such holder into fully paid, validly issued and nonassessable shares of common stock, $.01 par value per share, at which point the rights of the holders of converted 6% cumulative convertible preferred stock shall be treated as having become the owners of such common stock. The affirmative vote of a majority in interest of the outstanding 6% cumulative convertible preferred stock is required for (i) any amendment, modification or repeal of the Certificate of Designations, Certificate of Incorporation or by-laws that may amend or change or adversely affect any of the rights or preference of the 6% cumulative convertible preferred stock; provided, however, that the holders of 6% cumulative convertible preferred stock who are affiliates of the company shall not participate in such votes, and such shares shall be deemed not to be outstanding for purposes of such votes. We have no current intention to issue any more of our unissued, authorized shares of undesignated preferred stock. However, the issuance of any shares of undesignated preferred stock in the future could adversely affect the rights of the holders of common stock.</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345" w:lineRule="exact"/>
        <w:rPr>
          <w:sz w:val="20"/>
          <w:szCs w:val="20"/>
          <w:color w:val="auto"/>
        </w:rPr>
      </w:pPr>
    </w:p>
    <w:p>
      <w:pPr>
        <w:ind w:right="3579" w:firstLine="355"/>
        <w:spacing w:after="0" w:line="238" w:lineRule="auto"/>
        <w:rPr>
          <w:sz w:val="20"/>
          <w:szCs w:val="20"/>
          <w:color w:val="auto"/>
        </w:rPr>
      </w:pPr>
      <w:r>
        <w:rPr>
          <w:rFonts w:ascii="Courier New" w:cs="Courier New" w:eastAsia="Courier New" w:hAnsi="Courier New"/>
          <w:sz w:val="15"/>
          <w:szCs w:val="15"/>
          <w:color w:val="auto"/>
        </w:rPr>
        <w:t>Our warrants were issued at various times since April 13, 2000 to eight different parties as described below.</w:t>
      </w:r>
    </w:p>
    <w:p>
      <w:pPr>
        <w:spacing w:after="0" w:line="34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As of April 13, 2000, we issued to each of Irving Weissman and Mark Levin, each a director, a warrant in connection with a Securities Purchase Agreement dated as of April 13, 2000. Each warrant is to purchase 37,500 shares of our common stock at an exercise price of $6.58125 per share. Each warrant is exercisable, in whole or in part, at any time on or after April 13, 2000 and on or prior to April 13, 2005. The exercise price is subject to adjustment for subdivisions, combinations, stock dividends, reorganizations and various other issuances. We may, at any time during the term of the warrant, reduce the exercise price to any amount for any period of time deemed appropriate by our board of directors. See "Related Party Transactions--Preferred Stock Issued to Dr. Weissman and Mr. Levin."</w:t>
      </w:r>
    </w:p>
    <w:p>
      <w:pPr>
        <w:spacing w:after="0" w:line="35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issued a warrant to Millennium Partners L.P. on August 3, 2000, which may entitle them to receive additional shares of common stock on eight dates beginning six months from that date and every three months thereafter. On August 30, 2000 we issued a second warrant to Millennium which may entitle them to receive additional shares of common stock on eight dates beginning six months from August 30, 2000 and every three months thereafter. On November 1, 2000, we agreed with Millennium to cancel the adjustable warrant issued on August 30, 2000 and to decrease the number of shares for which the adjustable warrant issued on August 3, 2000 may be exercisable. The number of additional shares Millennium will be entitled to receive on each date will be based on the number of shares of common stock Millennium continues to hold on each date and the market price of our common stock over a period prior to each date. We will have the right, under certain circumstances, to limit the number of additional shares by purchasing part of the entitlement from Millennium. The remaining warrant is exercisable, in whole or in part, at any time on or prior to 30 days after the last date which may entitle Millennium to receive additional shares. This warrant is subject to adjustment for subdivisions, combinations, stock dividends, reorganizations and various other issuances of common stock. On January 27, 2001, Millennium's August 3, 2000 adjustable warrant became exercisable for</w:t>
      </w:r>
    </w:p>
    <w:p>
      <w:pPr>
        <w:spacing w:after="0" w:line="3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0" w:right="1440" w:bottom="1440" w:gutter="0" w:footer="0" w:header="0"/>
        </w:sectPr>
      </w:pPr>
    </w:p>
    <w:bookmarkStart w:id="57" w:name="page58"/>
    <w:bookmarkEnd w:id="57"/>
    <w:p>
      <w:pPr>
        <w:ind w:right="3119"/>
        <w:spacing w:after="0"/>
        <w:rPr>
          <w:sz w:val="20"/>
          <w:szCs w:val="20"/>
          <w:color w:val="auto"/>
        </w:rPr>
      </w:pPr>
      <w:r>
        <w:rPr>
          <w:rFonts w:ascii="Courier New" w:cs="Courier New" w:eastAsia="Courier New" w:hAnsi="Courier New"/>
          <w:sz w:val="15"/>
          <w:szCs w:val="15"/>
          <w:color w:val="auto"/>
        </w:rPr>
        <w:t>463,369 shares of our common stock, and Millennium purchased all of those shares for $4,634 on March 30, 2001. On April 27, 2001, the adjustable warrant became exercisable for an additional 622,469 shares of our common stock, and the warrant has not been exercised with respect to those shares. On June 21, 2001, Millennium received an additional adjustable warrant similar to the adjustable warrant issued to Millennium on August 3, 2000. It is not currently exercisable for shares of our common stock but may be adjusted in the future to permit purchases of our common stock at $0.01 per share.</w:t>
      </w:r>
    </w:p>
    <w:p>
      <w:pPr>
        <w:spacing w:after="0" w:line="200" w:lineRule="exact"/>
        <w:rPr>
          <w:sz w:val="20"/>
          <w:szCs w:val="20"/>
          <w:color w:val="auto"/>
        </w:rPr>
      </w:pPr>
    </w:p>
    <w:p>
      <w:pPr>
        <w:spacing w:after="0" w:line="31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Millennium also received a warrant on August 3, 2000 to purchase up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101,587 shares of common stock at $4.725 per share, which is callable by us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$7.875 per underlying share. On August 30, 2000 we issued an additional warrant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purchase up to 19,900 shares of common stock at $6.03 per share which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callable by us at $10.05 per underlying share. On June 21, 2001, Millennium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an additional warrant to purchase 50,352 shares of our common stock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price per share of $4.7664. This warrant is callable by us at any time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$7.944 per underlying share. Each callable warrant is exercisable, in whole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part, at any time on or after the issuance date and on or prior to the fifth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anniversary of the issuance date. The exercise price and number of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subject to adjustment for subdivisions, combinations, stock dividends,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reorganizations and various other issuances.</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August 3, 2000 we issued a warrant to the May Davis Group and four of its affiliates to purchase up to 100,000 shares of common stock at $5.0375 per share. The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May 10, 2001, in connection with our execution of a common stock purchase agreement with Sativum Investments Limited, we issued three three-year warrants to purchase an aggregate of 350,000 shares of our common stock at $2.38 per share to Sativum (250,000 shares), Pacific Crest Securities Inc. (75,000 shares) and Granite Financial Group, Inc. (25,000 shares). The shares underlying these warrants are being registered for sale by the registration statement of which this prospectus forms a part. The exercise price and number of shares are subject to adjustment for subdivisions, combinations, stock dividends and reorganizations.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DELAWARE LAW GOVERNING BUSINESS COMBINATIONS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are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175" w:lineRule="exact"/>
        <w:rPr>
          <w:sz w:val="20"/>
          <w:szCs w:val="20"/>
          <w:color w:val="auto"/>
        </w:rPr>
      </w:pPr>
    </w:p>
    <w:p>
      <w:pPr>
        <w:ind w:left="520" w:right="3399" w:hanging="174"/>
        <w:spacing w:after="0" w:line="238" w:lineRule="auto"/>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approved by the board of directors prior to the date the "interested stockholder" obtained such status;</w:t>
      </w:r>
    </w:p>
    <w:p>
      <w:pPr>
        <w:spacing w:after="0" w:line="174"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7" w:lineRule="exact"/>
        <w:rPr>
          <w:rFonts w:ascii="Courier New" w:cs="Courier New" w:eastAsia="Courier New" w:hAnsi="Courier New"/>
          <w:sz w:val="15"/>
          <w:szCs w:val="15"/>
          <w:color w:val="auto"/>
        </w:rPr>
      </w:pPr>
    </w:p>
    <w:p>
      <w:pPr>
        <w:ind w:left="520" w:right="3299" w:hanging="174"/>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A "business combination" is defined to include mergers, asset sales and other transactions resulting in financial benefit to a stockholder. In general, an "interested stockholder" is a person who,</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1" w:right="1440" w:bottom="1440" w:gutter="0" w:footer="0" w:header="0"/>
        </w:sectPr>
      </w:pPr>
    </w:p>
    <w:bookmarkStart w:id="58" w:name="page59"/>
    <w:bookmarkEnd w:id="58"/>
    <w:p>
      <w:pPr>
        <w:ind w:right="3119"/>
        <w:spacing w:after="0" w:line="239" w:lineRule="auto"/>
        <w:rPr>
          <w:sz w:val="20"/>
          <w:szCs w:val="20"/>
          <w:color w:val="auto"/>
        </w:rPr>
      </w:pPr>
      <w:r>
        <w:rPr>
          <w:rFonts w:ascii="Courier New" w:cs="Courier New" w:eastAsia="Courier New" w:hAnsi="Courier New"/>
          <w:sz w:val="15"/>
          <w:szCs w:val="15"/>
          <w:color w:val="auto"/>
        </w:rPr>
        <w:t>together with affiliates and associates, owns 15% or more of a corporation's voting stock or within three years did own 15% or more of a corporation's voting stock. The statute could prohibit or delay mergers or other takeover or change in control attempts.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transfer agent and registrar for our common stock is EquiServe L.P.</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COMMON STOCK PURCHASE AGREEMENT</w:t>
      </w:r>
    </w:p>
    <w:p>
      <w:pPr>
        <w:spacing w:after="0" w:line="174" w:lineRule="exact"/>
        <w:rPr>
          <w:sz w:val="20"/>
          <w:szCs w:val="20"/>
          <w:color w:val="auto"/>
        </w:rPr>
      </w:pPr>
    </w:p>
    <w:p>
      <w:pPr>
        <w:ind w:right="3399" w:firstLine="355"/>
        <w:spacing w:after="0" w:line="262" w:lineRule="auto"/>
        <w:rPr>
          <w:sz w:val="20"/>
          <w:szCs w:val="20"/>
          <w:color w:val="auto"/>
        </w:rPr>
      </w:pPr>
      <w:r>
        <w:rPr>
          <w:rFonts w:ascii="Courier New" w:cs="Courier New" w:eastAsia="Courier New" w:hAnsi="Courier New"/>
          <w:sz w:val="14"/>
          <w:szCs w:val="14"/>
          <w:color w:val="auto"/>
        </w:rPr>
        <w:t>On May 10, 2001, we entered into a common stock purchase agreement with Sativum Investments Limited, a British Virgin Islands corporation, for the future issuance and purchase of shares of our common stock. This common stock purchase agreement establishes what is sometimes termed an equity line.</w:t>
      </w:r>
    </w:p>
    <w:p>
      <w:pPr>
        <w:spacing w:after="0" w:line="33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general, under the equity line, Sativum has committed to provide us up to $30,000,000 as we request it over a 30-month period in return for newly issued common stock. Once every 22 trading days on the Nasdaq National Market, we may request a drawdown. The amount we can draw down at each request must be at least $100,000. The maximum amount we can actually draw down for each request is also limited to 6% of the weighted average price of our common stock for the 60 calendar days prior to the date of our request multiplied by the total trading volume of our common stock for the 60 calendar days prior to our request. We are under no obligation to issue any shares to Sativum or to request a drawdown during any period.</w:t>
      </w:r>
    </w:p>
    <w:p>
      <w:pPr>
        <w:spacing w:after="0" w:line="34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Each 20-day trading period following a drawdown request is divided into two 10 trading day settlement periods. We are entitled to receive funds and must deliver shares to Sativum on the 12th day and the 22nd day following the delivery of a drawdown notice. Our requested drawdown amount will be reduced by 1/20 for each day during the 20 trading day period that the volume-weighted average stock price falls below a threshold price set by us or for each day on which trading of our shares on Nasdaq is suspended or the registration statement of which this prospectus forms a part is suspended. We then use the formulas in the common stock purchase agreement to determine the number of shares that we will issue to Sativum in return for the actual drawdown amount. The formulas for determining the actual drawdown amounts, the number of shares that we issue to Sativum and the price per share paid by Sativum are described in detail beginning on page 56. The aggregate total of all drawdowns under the equity line cannot exceed $30,000,000.</w:t>
      </w:r>
    </w:p>
    <w:p>
      <w:pPr>
        <w:spacing w:after="0" w:line="18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price per share dollar amount that Sativum pays for our common stock for each drawdown includes a 6% discount to the average daily market price of our common stock for each day during the 20 day trading period after our drawdown request, weighted by trading volume during each such trading day. The actual drawdown amount will be reduced by a fee, equal to 3% of net proceeds, payable to the placement agent, Pacific Crest Securities, Inc., which introduced Sativum to us. Pacific Crest has agreed to contribute one-third of each of its drawdown fees to Granite Financial Group, Inc.</w:t>
      </w:r>
    </w:p>
    <w:p>
      <w:pPr>
        <w:spacing w:after="0" w:line="347"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are required to comply with Nasdaq's issuer designation requirements. One of those requirements prevents us from issuing, pursuant to the common stock purchase agreement, more than 3,922,606 shares, or 19.9% of our outstanding common stock on May 10, 2001 minus the shares underlying the warrants, unless and until we receive the approval of our stockholders. If necessary, we will seek stockholder approval at or prior to our 2002 or 2003 annual meeting of stockholders in case we opt to issue shares of common stock pursuant to the common stock purchase agreement in excess of that amount. Additionally, the common stock purchase agreement does not permit us to draw funds if the issuance of shares of common stock to Sativum pursuant to the drawdown would exceed 9.9% of our outstanding common stock held by Sativum on the drawdown exercise date. In such cases, we will not be permitted to issue the shares otherwise issuable pursuant to the qdrawdown that exceed that amount of shares, and Sativum will not be obligated to purchase those shares. Shares sold by Sativum</w:t>
      </w:r>
    </w:p>
    <w:p>
      <w:pPr>
        <w:spacing w:after="0" w:line="200" w:lineRule="exact"/>
        <w:rPr>
          <w:sz w:val="20"/>
          <w:szCs w:val="20"/>
          <w:color w:val="auto"/>
        </w:rPr>
      </w:pPr>
    </w:p>
    <w:p>
      <w:pPr>
        <w:spacing w:after="0" w:line="30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0" w:right="1440" w:bottom="1440" w:gutter="0" w:footer="0" w:header="0"/>
        </w:sectPr>
      </w:pPr>
    </w:p>
    <w:bookmarkStart w:id="59" w:name="page60"/>
    <w:bookmarkEnd w:id="59"/>
    <w:p>
      <w:pPr>
        <w:ind w:right="3299"/>
        <w:spacing w:after="0" w:line="239" w:lineRule="auto"/>
        <w:rPr>
          <w:sz w:val="20"/>
          <w:szCs w:val="20"/>
          <w:color w:val="auto"/>
        </w:rPr>
      </w:pPr>
      <w:r>
        <w:rPr>
          <w:rFonts w:ascii="Courier New" w:cs="Courier New" w:eastAsia="Courier New" w:hAnsi="Courier New"/>
          <w:sz w:val="15"/>
          <w:szCs w:val="15"/>
          <w:color w:val="auto"/>
        </w:rPr>
        <w:t>from time to time will reduce its beneficial ownership of our common stock and accordingly permit us to sell additional shares to Sativum under the common stock purchase agreement.</w:t>
      </w:r>
    </w:p>
    <w:p>
      <w:pPr>
        <w:spacing w:after="0" w:line="34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We are prohibited by the common stock purchase agreement from entering into any other stand-by equity based credit facilities during the term of the common stock purchase agreement. We are not prohibited, however, from entering into other equity or debt financing arrangements.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connection with the common stock purchase agreement, we issued to Sativum at the initial closing a warrant certificate to purchase up to 250,000 shares of our common stock. The warrant expires on May 10, 2004. The exercise price of the warrant is $2.3805. Simultaneous with the issuance of the warrant to Sativum, we issued a warrant to Pacific Crest for the purchase of up to 75,000 shares of our common stock and to Granite Financial Group, Inc. for the purchase of up to 25,000 shares of our common stock, on the same terms as Sativum's warrant. The shares underlying these warrants are being registered by the registration statement of which this prospectus forms a part.</w:t>
      </w:r>
    </w:p>
    <w:p>
      <w:pPr>
        <w:spacing w:after="0" w:line="17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DRAWDOWN PROCEDURE AND THE STOCK PURCHASES</w:t>
      </w:r>
    </w:p>
    <w:p>
      <w:pPr>
        <w:spacing w:after="0" w:line="174"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We may request a drawdown by faxing to Sativum a drawdown notice, stating the amount of the drawdown that we wish to exercise and the minimum threshold price at which we are willing to sell the shares.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 AMOUNT OF THE DRAWDOWN</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No drawdown can be less than $100,000 or more than 6% of the weighted average price of our common stock for the sixty calendar days prior to the date of our request, multiplied by the total trading volume of our common stock for the 60 calendar days prior to our request. A sample calculation of the maximum drawdown amount is described on page 56.</w:t>
      </w:r>
    </w:p>
    <w:p>
      <w:pPr>
        <w:spacing w:after="0" w:line="345"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The actual dollar amount of the drawdown will be reduced by 1/20 for every day during the 20 trading days after our drawdown request that:</w:t>
      </w:r>
    </w:p>
    <w:p>
      <w:pPr>
        <w:spacing w:after="0" w:line="175" w:lineRule="exact"/>
        <w:rPr>
          <w:sz w:val="20"/>
          <w:szCs w:val="20"/>
          <w:color w:val="auto"/>
        </w:rPr>
      </w:pPr>
    </w:p>
    <w:p>
      <w:pPr>
        <w:ind w:left="520" w:right="3119" w:hanging="174"/>
        <w:spacing w:after="0" w:line="238"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volume weighted average price is less than the minimum threshold price we designate;</w:t>
      </w:r>
    </w:p>
    <w:p>
      <w:pPr>
        <w:spacing w:after="0" w:line="174" w:lineRule="exact"/>
        <w:rPr>
          <w:rFonts w:ascii="Courier New" w:cs="Courier New" w:eastAsia="Courier New" w:hAnsi="Courier New"/>
          <w:sz w:val="15"/>
          <w:szCs w:val="15"/>
          <w:color w:val="auto"/>
        </w:rPr>
      </w:pPr>
    </w:p>
    <w:p>
      <w:pPr>
        <w:ind w:left="520" w:right="3119" w:hanging="174"/>
        <w:spacing w:after="0" w:line="271" w:lineRule="auto"/>
        <w:tabs>
          <w:tab w:leader="none" w:pos="5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stock is suspended for more than three hours, in the aggregate, or if any trading day is shortened because of a public holiday; or</w:t>
      </w:r>
    </w:p>
    <w:p>
      <w:pPr>
        <w:spacing w:after="0" w:line="153" w:lineRule="exact"/>
        <w:rPr>
          <w:rFonts w:ascii="Courier New" w:cs="Courier New" w:eastAsia="Courier New" w:hAnsi="Courier New"/>
          <w:sz w:val="14"/>
          <w:szCs w:val="14"/>
          <w:color w:val="auto"/>
        </w:rPr>
      </w:pPr>
    </w:p>
    <w:p>
      <w:pPr>
        <w:ind w:left="520" w:right="3299" w:hanging="174"/>
        <w:spacing w:after="0" w:line="239" w:lineRule="auto"/>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sales of previously drawn down shares pursuant to the registration statement of which this prospectus is a part are suspended by us because of certain potentially material events for more than three hours, in the aggregate.</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If any of the above three conditions is met for one or more trading days during the 20 trading day period, the actual dollar amount of our drawdown will be lower than we requested in our notice. The volume weighted average price of any trading day during a pricing period that meets any of the conditions above will have no effect on the pricing of the shares purchased with respect to the other days during that pricing period.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volume-weighted average price of our shares on each of the 20 trading days immediately following the drawdown notice, except for days excluded in any of the three bullets above, is used to determine the number of shares that we will issue in return for the money provided by Sativum. We will not know the number of shares we will be issuing in a drawdown at the time of delivery of our drawdown notice. If our stock price falls during the 20 trading days after the notice, the number of shares will proportionately rise, except that we will not be required to issue shares below the threshold price that we will have set in the notice.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1" w:right="1440" w:bottom="1440" w:gutter="0" w:footer="0" w:header="0"/>
        </w:sectPr>
      </w:pPr>
    </w:p>
    <w:bookmarkStart w:id="60" w:name="page61"/>
    <w:bookmarkEnd w:id="60"/>
    <w:p>
      <w:pPr>
        <w:ind w:right="3119" w:firstLine="355"/>
        <w:spacing w:after="0" w:line="271" w:lineRule="auto"/>
        <w:rPr>
          <w:sz w:val="20"/>
          <w:szCs w:val="20"/>
          <w:color w:val="auto"/>
        </w:rPr>
      </w:pPr>
      <w:r>
        <w:rPr>
          <w:rFonts w:ascii="Courier New" w:cs="Courier New" w:eastAsia="Courier New" w:hAnsi="Courier New"/>
          <w:sz w:val="14"/>
          <w:szCs w:val="14"/>
          <w:color w:val="auto"/>
        </w:rPr>
        <w:t>The number of shares of common stock that we will issue with respect to each trading day during a drawdown will be determined by the following formula:</w:t>
      </w:r>
    </w:p>
    <w:p>
      <w:pPr>
        <w:spacing w:after="0" w:line="151" w:lineRule="exact"/>
        <w:rPr>
          <w:sz w:val="20"/>
          <w:szCs w:val="20"/>
          <w:color w:val="auto"/>
        </w:rPr>
      </w:pPr>
    </w:p>
    <w:p>
      <w:pPr>
        <w:ind w:left="520" w:hanging="174"/>
        <w:spacing w:after="0"/>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1/20th of the dollar amount contained in our drawdown notice divided by</w:t>
      </w:r>
    </w:p>
    <w:p>
      <w:pPr>
        <w:spacing w:after="0" w:line="174"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94% of the volume-weighted average price of our common stock for that day.</w:t>
      </w:r>
    </w:p>
    <w:p>
      <w:pPr>
        <w:spacing w:after="0" w:line="183"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The 94% reflects Sativum's 6% discount. The sum of these 20 daily calculations produces the number of common shares that we will issue, unless trading one or more days is excluded as explained above, in which case that day is ignored in the calculation.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 OF STOCK PURCHASES</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following is an example of the calculation of a single drawdown and the number of shares we would issue to Sativum in connection with that drawdown based on the assumptions noted in the discussion below.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MAXIMUM DRAWDOWN AMOUNT CALCULATION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For purposes of this example, suppose that we provide a drawdown notice to Sativum, and that we set the threshold price at $1.90 per share based on the volume weighted average price before applying the 6% discount. Suppose further that the total trading volume for the 60 calendar days prior to our drawdown notice is 5,335,700 shares and that the average of the volume-weighted average daily prices of our common stock for the 60 calendar days prior to the notice is $2.18. Using these hypothetical numbers, which by way of example only are the actual volume and price numbers for our common stock for the 60 calendar days ended May 18, 2001, the maximum amount of the drawdown is as follows:</w:t>
      </w:r>
    </w:p>
    <w:p>
      <w:pPr>
        <w:spacing w:after="0" w:line="177" w:lineRule="exact"/>
        <w:rPr>
          <w:sz w:val="20"/>
          <w:szCs w:val="20"/>
          <w:color w:val="auto"/>
        </w:rPr>
      </w:pPr>
    </w:p>
    <w:p>
      <w:pPr>
        <w:ind w:left="520" w:right="3399" w:hanging="174"/>
        <w:spacing w:after="0" w:line="238" w:lineRule="auto"/>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trading volume for the 60 calendar days prior to our drawdown notice, 5,335,700, multiplied by</w:t>
      </w:r>
    </w:p>
    <w:p>
      <w:pPr>
        <w:spacing w:after="0" w:line="174" w:lineRule="exact"/>
        <w:rPr>
          <w:rFonts w:ascii="Courier New" w:cs="Courier New" w:eastAsia="Courier New" w:hAnsi="Courier New"/>
          <w:sz w:val="15"/>
          <w:szCs w:val="15"/>
          <w:color w:val="auto"/>
        </w:rPr>
      </w:pPr>
    </w:p>
    <w:p>
      <w:pPr>
        <w:ind w:left="520" w:right="3579" w:hanging="174"/>
        <w:spacing w:after="0" w:line="239" w:lineRule="auto"/>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volume-weighted average daily prices of our common stock for the 60 calendar days prior to the drawdown notice, $2.18, multiplied by</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equals $697,910.</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The maximum amount we can request in a drawdown notice under the formula and using these hypothetical numbers, is therefore capped at $697,910.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 OF NUMBER OF SHARES</w:t>
      </w:r>
    </w:p>
    <w:p>
      <w:pPr>
        <w:spacing w:after="0" w:line="174" w:lineRule="exact"/>
        <w:rPr>
          <w:sz w:val="20"/>
          <w:szCs w:val="20"/>
          <w:color w:val="auto"/>
        </w:rPr>
      </w:pPr>
    </w:p>
    <w:p>
      <w:pPr>
        <w:ind w:right="3219" w:firstLine="355"/>
        <w:spacing w:after="0" w:line="261" w:lineRule="auto"/>
        <w:rPr>
          <w:sz w:val="20"/>
          <w:szCs w:val="20"/>
          <w:color w:val="auto"/>
        </w:rPr>
      </w:pPr>
      <w:r>
        <w:rPr>
          <w:rFonts w:ascii="Courier New" w:cs="Courier New" w:eastAsia="Courier New" w:hAnsi="Courier New"/>
          <w:sz w:val="14"/>
          <w:szCs w:val="14"/>
          <w:color w:val="auto"/>
        </w:rPr>
        <w:t>Assuming we requested the maximum drawdown amount reflected by the hypothetical numbers above, and assuming that the volume-weighted average daily prices for our common stock for the twenty trading days following our drawdown notice as set forth in the table below, the number of shares to be issued based on any trading day during the drawdown period can be calculated as follows:</w:t>
      </w:r>
    </w:p>
    <w:p>
      <w:pPr>
        <w:spacing w:after="0" w:line="159" w:lineRule="exact"/>
        <w:rPr>
          <w:sz w:val="20"/>
          <w:szCs w:val="20"/>
          <w:color w:val="auto"/>
        </w:rPr>
      </w:pPr>
    </w:p>
    <w:p>
      <w:pPr>
        <w:ind w:left="520" w:hanging="174"/>
        <w:spacing w:after="0"/>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of the requested drawdown amount of $697,910 divided by</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 of the volume-weighted average daily price.</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For example, for the fourth trading day in the example in the table below, the calculation is as follows: 1/20 of $697,910 is $34,895. Divide $34,895 by 94% of the volume-weighted average daily price for that day of $1.90 per share, to get 19,538 shares. Perform this share calculation for each of the 20 measuring days during the drawdown period, excluding any days on which the volume-weighted average daily price is below the $1.90 threshold price, or on which trading of our common stock or the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60" w:right="1440" w:bottom="1440" w:gutter="0" w:footer="0" w:header="0"/>
        </w:sectPr>
      </w:pPr>
    </w:p>
    <w:bookmarkStart w:id="61" w:name="page62"/>
    <w:bookmarkEnd w:id="61"/>
    <w:p>
      <w:pPr>
        <w:ind w:left="9" w:right="3820"/>
        <w:spacing w:after="0" w:line="239" w:lineRule="auto"/>
        <w:rPr>
          <w:sz w:val="20"/>
          <w:szCs w:val="20"/>
          <w:color w:val="auto"/>
        </w:rPr>
      </w:pPr>
      <w:r>
        <w:rPr>
          <w:rFonts w:ascii="Courier New" w:cs="Courier New" w:eastAsia="Courier New" w:hAnsi="Courier New"/>
          <w:sz w:val="15"/>
          <w:szCs w:val="15"/>
          <w:color w:val="auto"/>
        </w:rPr>
        <w:t>effectiveness of the registration statement of which this prospectus forms a part is suspended. Add the results to determine the number of shares to be issued.</w:t>
      </w:r>
    </w:p>
    <w:p>
      <w:pPr>
        <w:spacing w:after="0" w:line="175" w:lineRule="exact"/>
        <w:rPr>
          <w:sz w:val="20"/>
          <w:szCs w:val="20"/>
          <w:color w:val="auto"/>
        </w:rPr>
      </w:pPr>
    </w:p>
    <w:p>
      <w:pPr>
        <w:ind w:left="9" w:right="3560" w:firstLine="355"/>
        <w:spacing w:after="0"/>
        <w:rPr>
          <w:sz w:val="20"/>
          <w:szCs w:val="20"/>
          <w:color w:val="auto"/>
        </w:rPr>
      </w:pPr>
      <w:r>
        <w:rPr>
          <w:rFonts w:ascii="Courier New" w:cs="Courier New" w:eastAsia="Courier New" w:hAnsi="Courier New"/>
          <w:sz w:val="15"/>
          <w:szCs w:val="15"/>
          <w:color w:val="auto"/>
        </w:rPr>
        <w:t>After excluding the first three days of the period because they are below the threshold price, the actual dollar amount of our drawdown in this example would be $593,223, $244,268 of which would be settled on day 12 for the first settlement period, and $348,955 of which would be settled on day 22 for the second settlement period. The total number of shares that we would issue to Sativum for this drawdown request would be 264,445 shares, so long as those shares, together with all other shares held by Sativum, do not exceed 9.9% of our then outstanding common stock. Of these total shares issued with respect to this hypothetical drawdown, 128,612 shares would be issued on day 12 for the first settlement period and 135,833 shares would be issued on day 22 for the second settlement period. Sativum would pay an average of $2.24 per share for these shares.</w:t>
      </w:r>
    </w:p>
    <w:p>
      <w:pPr>
        <w:spacing w:after="0" w:line="177"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HYPOTHETICAL DRAWDOWN PRICING PERIOD(1)</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VOLUME WEIGHTED</w:t>
            </w: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AVERAGE PRICE</w:t>
            </w:r>
          </w:p>
        </w:tc>
        <w:tc>
          <w:tcPr>
            <w:tcW w:w="2040" w:type="dxa"/>
            <w:vAlign w:val="bottom"/>
          </w:tcPr>
          <w:p>
            <w:pPr>
              <w:spacing w:after="0"/>
              <w:rPr>
                <w:sz w:val="14"/>
                <w:szCs w:val="14"/>
                <w:color w:val="auto"/>
              </w:rPr>
            </w:pP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DAILY INVESTMENT</w:t>
            </w:r>
          </w:p>
        </w:tc>
        <w:tc>
          <w:tcPr>
            <w:tcW w:w="2140" w:type="dxa"/>
            <w:vAlign w:val="bottom"/>
          </w:tcPr>
          <w:p>
            <w:pPr>
              <w:spacing w:after="0"/>
              <w:rPr>
                <w:sz w:val="14"/>
                <w:szCs w:val="14"/>
                <w:color w:val="auto"/>
              </w:rPr>
            </w:pPr>
          </w:p>
        </w:tc>
      </w:tr>
      <w:tr>
        <w:trPr>
          <w:trHeight w:val="171"/>
        </w:trPr>
        <w:tc>
          <w:tcPr>
            <w:tcW w:w="21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TRADING DAY</w:t>
            </w:r>
          </w:p>
        </w:tc>
        <w:tc>
          <w:tcPr>
            <w:tcW w:w="21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(VWAP)</w:t>
            </w:r>
          </w:p>
        </w:tc>
        <w:tc>
          <w:tcPr>
            <w:tcW w:w="204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8"/>
              </w:rPr>
              <w:t>94% OF VWAP</w:t>
            </w: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AMOUNT</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NUMBER OF SHARES SOLD</w:t>
            </w:r>
          </w:p>
        </w:tc>
      </w:tr>
      <w:tr>
        <w:trPr>
          <w:trHeight w:val="171"/>
        </w:trPr>
        <w:tc>
          <w:tcPr>
            <w:tcW w:w="2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w:t>
            </w:r>
          </w:p>
        </w:tc>
        <w:tc>
          <w:tcPr>
            <w:tcW w:w="2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$1.87</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$1.76</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(2)</w:t>
            </w: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$1.84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$1.73</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(2)</w:t>
            </w: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3</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$1.82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$1.71</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(2)</w:t>
            </w: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4</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$1.90</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19,538</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5</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$1.81</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19,316</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$1.83</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19,114</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7</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$1.82</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19,136</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8</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$2.11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$1.99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17,567</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9</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$2.11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$1.98</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17,624</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10</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$2.28</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$2.14</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16,317</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11</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$2.31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$2.17</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16,046</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12</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$2.42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$2.27</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15,352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13</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$2.96</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$2.78</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12,551</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14</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$2.77</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$2.60</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13,399</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15</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$2.64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$2.48</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14,075</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16</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$2.52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$2.37</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14,735</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17</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$2.91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$2.73</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12,762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18</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$2.87</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$2.69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12,948</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19</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$3.02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$2.84</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12,298</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20</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$3.18</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$2.99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11,667</w:t>
            </w:r>
          </w:p>
        </w:tc>
      </w:tr>
      <w:tr>
        <w:trPr>
          <w:trHeight w:val="171"/>
        </w:trPr>
        <w:tc>
          <w:tcPr>
            <w:tcW w:w="2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1"/>
        </w:trPr>
        <w:tc>
          <w:tcPr>
            <w:tcW w:w="21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Total</w:t>
            </w:r>
          </w:p>
        </w:tc>
        <w:tc>
          <w:tcPr>
            <w:tcW w:w="2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$593,223</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264,445</w:t>
            </w:r>
          </w:p>
        </w:tc>
      </w:tr>
    </w:tbl>
    <w:p>
      <w:pPr>
        <w:spacing w:after="0" w:line="345" w:lineRule="exact"/>
        <w:rPr>
          <w:sz w:val="20"/>
          <w:szCs w:val="20"/>
          <w:color w:val="auto"/>
        </w:rPr>
      </w:pPr>
    </w:p>
    <w:p>
      <w:pPr>
        <w:ind w:left="349" w:right="3560" w:hanging="349"/>
        <w:spacing w:after="0"/>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used the volume-weighted average share prices of our common stock during the twenty trading days ended May 18, 2001 for illustrative purposes only. Our use of these numbers should not be interpreted as a forecast of share prices, an indicator of the prices at which we may choose to utilize the equity line or the expected or historical volatility of our common stock, whether during or outside a drawdown period. Due to rounding, division of the figures in the above table may not exactly equal the shares presented.</w:t>
      </w:r>
    </w:p>
    <w:p>
      <w:pPr>
        <w:spacing w:after="0" w:line="176" w:lineRule="exact"/>
        <w:rPr>
          <w:rFonts w:ascii="Courier New" w:cs="Courier New" w:eastAsia="Courier New" w:hAnsi="Courier New"/>
          <w:sz w:val="15"/>
          <w:szCs w:val="15"/>
          <w:color w:val="auto"/>
        </w:rPr>
      </w:pPr>
    </w:p>
    <w:p>
      <w:pPr>
        <w:ind w:left="349" w:right="4100" w:hanging="349"/>
        <w:spacing w:after="0" w:line="238" w:lineRule="auto"/>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because the volume-weighted average daily price is below the threshold specified in our hypothetical drawdown notice.</w:t>
      </w:r>
    </w:p>
    <w:p>
      <w:pPr>
        <w:spacing w:after="0" w:line="175" w:lineRule="exact"/>
        <w:rPr>
          <w:sz w:val="20"/>
          <w:szCs w:val="20"/>
          <w:color w:val="auto"/>
        </w:rPr>
      </w:pPr>
    </w:p>
    <w:p>
      <w:pPr>
        <w:ind w:left="9" w:right="3460" w:firstLine="355"/>
        <w:spacing w:after="0" w:line="239" w:lineRule="auto"/>
        <w:rPr>
          <w:sz w:val="20"/>
          <w:szCs w:val="20"/>
          <w:color w:val="auto"/>
        </w:rPr>
      </w:pPr>
      <w:r>
        <w:rPr>
          <w:rFonts w:ascii="Courier New" w:cs="Courier New" w:eastAsia="Courier New" w:hAnsi="Courier New"/>
          <w:sz w:val="15"/>
          <w:szCs w:val="15"/>
          <w:color w:val="auto"/>
        </w:rPr>
        <w:t>We would receive the amount of our adjusted drawdown, $593,223, less an aggregate 3% cash fee paid to the placement agent, Pacific Crest, of $17,797, for net proceeds to us of approximately $575,426. Pacific Crest would contribute one-third, or $5,932, of this hypothetical placement fee to</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569"/>
          </w:cols>
          <w:pgMar w:left="231" w:top="460" w:right="1099" w:bottom="1440" w:gutter="0" w:footer="0" w:header="0"/>
        </w:sectPr>
      </w:pPr>
    </w:p>
    <w:bookmarkStart w:id="62" w:name="page63"/>
    <w:bookmarkEnd w:id="62"/>
    <w:p>
      <w:pPr>
        <w:ind w:right="3479"/>
        <w:spacing w:after="0" w:line="239" w:lineRule="auto"/>
        <w:rPr>
          <w:sz w:val="20"/>
          <w:szCs w:val="20"/>
          <w:color w:val="auto"/>
        </w:rPr>
      </w:pPr>
      <w:r>
        <w:rPr>
          <w:rFonts w:ascii="Courier New" w:cs="Courier New" w:eastAsia="Courier New" w:hAnsi="Courier New"/>
          <w:sz w:val="15"/>
          <w:szCs w:val="15"/>
          <w:color w:val="auto"/>
        </w:rPr>
        <w:t>Granite. The delivery of the requisite number of shares and payment of the drawdown will take place electronically and, if we choose, through an escrow agent, Epstein, Becker &amp; Green, P.C. of New York.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NECESSARY CONDITIONS BEFORE SATIVUM IS OBLIGATED TO PURCHASE OUR SHARES</w:t>
      </w:r>
    </w:p>
    <w:p>
      <w:pPr>
        <w:spacing w:after="0" w:line="174"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The following conditions must be satisfied before Sativum is obligated to purchase any common shares following a drawdown request:</w:t>
      </w:r>
    </w:p>
    <w:p>
      <w:pPr>
        <w:spacing w:after="0" w:line="175" w:lineRule="exact"/>
        <w:rPr>
          <w:sz w:val="20"/>
          <w:szCs w:val="20"/>
          <w:color w:val="auto"/>
        </w:rPr>
      </w:pPr>
    </w:p>
    <w:p>
      <w:pPr>
        <w:ind w:left="520" w:right="3299" w:hanging="174"/>
        <w:spacing w:after="0" w:line="239" w:lineRule="auto"/>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for the resale of the shares by Sativum must be declared effective by the Securities and Exchange Commission and must remain effective and available as of the drawdown settlement date;</w:t>
      </w:r>
    </w:p>
    <w:p>
      <w:pPr>
        <w:spacing w:after="0" w:line="175"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in our common shares must not have been suspended by the Securities and Exchange Commission or the Nasdaq National Market, nor shall minimum prices have been established on securities whose trades are reported on the Nasdaq National Market;</w:t>
      </w:r>
    </w:p>
    <w:p>
      <w:pPr>
        <w:spacing w:after="0" w:line="176" w:lineRule="exact"/>
        <w:rPr>
          <w:rFonts w:ascii="Courier New" w:cs="Courier New" w:eastAsia="Courier New" w:hAnsi="Courier New"/>
          <w:sz w:val="15"/>
          <w:szCs w:val="15"/>
          <w:color w:val="auto"/>
        </w:rPr>
      </w:pPr>
    </w:p>
    <w:p>
      <w:pPr>
        <w:ind w:left="520" w:right="3119" w:hanging="174"/>
        <w:spacing w:after="0" w:line="239" w:lineRule="auto"/>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not have merged or consolidated with or into another company or transferred all or substantially all of our assets to another company, unless the acquiring company has agreed to honor the common stock purchase agreement;</w:t>
      </w:r>
    </w:p>
    <w:p>
      <w:pPr>
        <w:spacing w:after="0" w:line="176" w:lineRule="exact"/>
        <w:rPr>
          <w:rFonts w:ascii="Courier New" w:cs="Courier New" w:eastAsia="Courier New" w:hAnsi="Courier New"/>
          <w:sz w:val="15"/>
          <w:szCs w:val="15"/>
          <w:color w:val="auto"/>
        </w:rPr>
      </w:pPr>
    </w:p>
    <w:p>
      <w:pPr>
        <w:ind w:left="520" w:right="3579" w:hanging="174"/>
        <w:spacing w:after="0" w:line="264" w:lineRule="auto"/>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statute, rule, regulation, executive order, decree, ruling or injunction may be in effect which prohibits consummation of the transactions contemplated by the common stock purchase agreement; and</w:t>
      </w:r>
    </w:p>
    <w:p>
      <w:pPr>
        <w:spacing w:after="0" w:line="159" w:lineRule="exact"/>
        <w:rPr>
          <w:rFonts w:ascii="Courier New" w:cs="Courier New" w:eastAsia="Courier New" w:hAnsi="Courier New"/>
          <w:sz w:val="14"/>
          <w:szCs w:val="14"/>
          <w:color w:val="auto"/>
        </w:rPr>
      </w:pPr>
    </w:p>
    <w:p>
      <w:pPr>
        <w:ind w:left="520" w:right="3919" w:hanging="174"/>
        <w:spacing w:after="0" w:line="271" w:lineRule="auto"/>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which is materially adverse to our business, operations, properties or financial condition shall have occurred.</w:t>
      </w:r>
    </w:p>
    <w:p>
      <w:pPr>
        <w:spacing w:after="0" w:line="15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further condition is that we may not issue more than 19.9% of our common shares issued and outstanding on May 10, 2001 pursuant to the common stock purchase agreement on the associated warrants, without our first obtaining approval from our stockholders for the excess issuance. In addition, the common stock purchase agreement provides that Sativum is not permitted to purchase shares of our common stock pursuant to a drawdown to the extent that the purchase of those shares would result in Sativum's beneficially owning more than 9.9% of our common stock following the purchase. Accordingly, each drawdown will be limited to an amount that will cause Sativum's beneficial ownership as of the date of the purchase to exceed 9.9%. However, shares sold by Sativum from time to time will reduce its beneficial ownership of our common stock and accordingly permit us to sell additional shares to Sativum under the common stock purchase agreement.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OF CLOSING THE TRANSACTION</w:t>
      </w:r>
    </w:p>
    <w:p>
      <w:pPr>
        <w:spacing w:after="0" w:line="345" w:lineRule="exact"/>
        <w:rPr>
          <w:sz w:val="20"/>
          <w:szCs w:val="20"/>
          <w:color w:val="auto"/>
        </w:rPr>
      </w:pPr>
    </w:p>
    <w:p>
      <w:pPr>
        <w:ind w:right="3579" w:firstLine="355"/>
        <w:spacing w:after="0" w:line="262" w:lineRule="auto"/>
        <w:rPr>
          <w:sz w:val="20"/>
          <w:szCs w:val="20"/>
          <w:color w:val="auto"/>
        </w:rPr>
      </w:pPr>
      <w:r>
        <w:rPr>
          <w:rFonts w:ascii="Courier New" w:cs="Courier New" w:eastAsia="Courier New" w:hAnsi="Courier New"/>
          <w:sz w:val="14"/>
          <w:szCs w:val="14"/>
          <w:color w:val="auto"/>
        </w:rPr>
        <w:t>We paid $50,000 to cover the fees and expenses of Sativum's counsel and other administrative costs. Pacific Crest Securities, Inc. also received a $25,000 placement fee. Neither Pacific Crest nor Granite is obligated to purchase any of our shares pursuant to the common stock purchase agreement.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LIQUIDATED DAMAGES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will be required to pay liquidated damages to Sativum if we fail to deliver shares within 5 trading days after a settlement date. We will also be required to pay liquidated damages to Sativum if the effectiveness of this registration statement is suspended during, or within 5 days after, a drawdown pricing period. In the latter case, we will be required to compensate Sativum for any net decline in the price of our shares greater than 20% following the suspension to the extent Sativum sold shares at the reduced price within 5 days after the end of the suspension period.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60"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TERMINATION OF THE COMMON STOCK PURCHASE AGREEMENT</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equity line established by the common stock purchase agreement will terminate 30 months from the effective date of the registration statement of which this prospectus forms a part. The equity line shall also terminate if we file for protection from creditors, if our common stock is delisted from The Nasdaq National Market and not promptly relisted on Nasdaq, Nasdaq SmallCap Market, the American Stock Exchange or the New York Stock Exchange. We may terminate the agreement if Sativum fails to perform its obligations to purchase shares with respect to a drawdown.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SATIVUM AND PACIFIC CREST</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Sativum is entitled to customary indemnification from us for any losses or liabilities suffered by it as a result of material misstatements or omissions from the common stock purchase agreement, registration statement and this prospectus as supplemented from time to time, except as they relate to information supplied by Sativum to us for inclusion in the registration statement and prospectus. Pacific Crest is also entitled to customary indemnification from us from any losses or liabilities suffered by it in connection with its role as placement agent.</w:t>
      </w:r>
    </w:p>
    <w:p>
      <w:pPr>
        <w:spacing w:after="0" w:line="17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SELLING STOCKHOLDERS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Shares of our common stock registered for resale under this prospectus constitute 48.2% of our issued and outstanding common shares as of March 31, 2001. However, we may not sell more than 3,922,606 shares of common stock, or 19.9% of our issued and outstanding common stock as of May 10, 2001, minus the shares underlying the warrants, unless and until we receive the approval of our stockholders as required pursuant to Nasdaq's issuer designation requirements. The number of shares we are registering is based in part on our good faith estimate of the maximum number of shares we may issue to Sativum under the common stock purchase agreement. We are under no obligation to issue any shares to Sativum under the common stock purchase agreement. Accordingly, the number of shares we are registering for issuance under the common stock purchase agreement may be higher than the number we actually issue under the common stock purchase agreement.</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SATIVUM INVESTMENTS LIMITED</w:t>
      </w:r>
    </w:p>
    <w:p>
      <w:pPr>
        <w:spacing w:after="0" w:line="174" w:lineRule="exact"/>
        <w:rPr>
          <w:sz w:val="20"/>
          <w:szCs w:val="20"/>
          <w:color w:val="auto"/>
        </w:rPr>
      </w:pPr>
    </w:p>
    <w:p>
      <w:pPr>
        <w:ind w:right="3399" w:firstLine="355"/>
        <w:spacing w:after="0" w:line="259" w:lineRule="auto"/>
        <w:rPr>
          <w:sz w:val="20"/>
          <w:szCs w:val="20"/>
          <w:color w:val="auto"/>
        </w:rPr>
      </w:pPr>
      <w:r>
        <w:rPr>
          <w:rFonts w:ascii="Courier New" w:cs="Courier New" w:eastAsia="Courier New" w:hAnsi="Courier New"/>
          <w:sz w:val="14"/>
          <w:szCs w:val="14"/>
          <w:color w:val="auto"/>
        </w:rPr>
        <w:t>Sativum Investments Limited is engaged in the business of investing in publicly traded equity securities for its own account. Sativum's principal offices are located at Harbour House, 2nd Floor, Road Town, Tortolla, British Virgin Islands. Investment decisions for Sativum are made by its board of directors. Sativum has informed us that it does not currently own any of our securities as of the date of this prospectus. Other than its obligation to purchase common shares under the common stock purchase agreement, it has no other commitments or arrangements to purchase or sell any of our securities. Sativum is prohibited by the common stock purchase agreement from engaging in short sales of our common stock, as defined in applicable securities regulations. There are no business relationships between Sativum and us other than as contemplated by the common stock purchase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PACIFIC CREST SECURITIES, INC. AND GRANITE FINANCIAL GROUP,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Pacific Crest Securities, Inc., a registered broker-dealer, has acted as placement agent in connection with the equity line. Pacific Crest introduced us to Sativum and assisted us with structuring the equity line with Sativum. Pacific Crest's duties as placement agent were undertaken on a reasonable best efforts basis only. It made no commitment to purchase shares from us and did not ensure us of the successful placement of any securities.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57" w:right="1440" w:bottom="1440" w:gutter="0" w:footer="0" w:header="0"/>
        </w:sectPr>
      </w:pPr>
    </w:p>
    <w:bookmarkStart w:id="64" w:name="page65"/>
    <w:bookmarkEnd w:id="64"/>
    <w:p>
      <w:pPr>
        <w:ind w:right="3119" w:firstLine="355"/>
        <w:spacing w:after="0"/>
        <w:rPr>
          <w:sz w:val="20"/>
          <w:szCs w:val="20"/>
          <w:color w:val="auto"/>
        </w:rPr>
      </w:pPr>
      <w:r>
        <w:rPr>
          <w:rFonts w:ascii="Courier New" w:cs="Courier New" w:eastAsia="Courier New" w:hAnsi="Courier New"/>
          <w:sz w:val="15"/>
          <w:szCs w:val="15"/>
          <w:color w:val="auto"/>
        </w:rPr>
        <w:t>Other than the warrant to purchase 75,000 shares of common stock granted to Pacific Crest as a placement fee, Pacific Crest has informed us that it does not currently own any of our securities. Other than the warrant to purchase 25,000 shares of common stock, Granite Financial Group, Inc., also a placement agent and a registered broker-dealer, has informed us that it does not currently own any of our securities.</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Sativum, Pacific Crest and Granite have not held any positions as officers or had material relationships with us or any of our affiliates within the past three years other than as a result of the ownership of our common stock. If, in the future, any of their relationships with us changes, we will amend or supplement this prospectus to update this disclosure.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60" w:right="1440" w:bottom="1440" w:gutter="0" w:footer="0" w:header="0"/>
        </w:sectPr>
      </w:pPr>
    </w:p>
    <w:bookmarkStart w:id="65" w:name="page66"/>
    <w:bookmarkEnd w:id="65"/>
    <w:p>
      <w:pPr>
        <w:ind w:left="2660"/>
        <w:spacing w:after="0"/>
        <w:rPr>
          <w:sz w:val="20"/>
          <w:szCs w:val="20"/>
          <w:color w:val="auto"/>
        </w:rPr>
      </w:pPr>
      <w:r>
        <w:rPr>
          <w:rFonts w:ascii="Courier New" w:cs="Courier New" w:eastAsia="Courier New" w:hAnsi="Courier New"/>
          <w:sz w:val="15"/>
          <w:szCs w:val="15"/>
          <w:color w:val="auto"/>
        </w:rPr>
        <w:t>PLAN OF DISTRIBUTION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Sativum Investments Limited, is offering the common shares for its account as statutory underwriter, and not for our account. We will not receive any proceeds from the sale of common shares by Sativum. Sativum may be offering for sale up to 10,000,000 common shares pursuant to this prospectus which it may acquire pursuant to the terms of the stock purchase agreement more fully described under the section of this prospectus entitled "The Common Stock Purchase Agreement." Sativum is a statutory underwriter within the meaning of the Securities Act of 1933 in connection with such sales of common shares and will be acting as an underwriter in its resales of the common shares under this prospectus. Sativum has, prior to any sales, agreed not to effect any offers or sales of the common shares in any manner other than as specified in the prospectus and not to purchase or induce others to purchase common shares in violation of any applicable state and federal securities laws, rules and regulations and the rules and regulations of The Nasdaq National Market. Sativum has agreed not to engage in short sales of our common stock, as defined in applicable securities regulations, during the term of the common stock purchase agreement. We will pay the costs of registering the shares under this prospectus, including legal fees.</w:t>
      </w:r>
    </w:p>
    <w:p>
      <w:pPr>
        <w:spacing w:after="0" w:line="35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To permit Sativum to resell the shares of common stock issued to it under the stock purchase agreement, we agreed to register those shares and to maintain that registration. To that end, we have agreed with Sativum that we will prepare and file such amendments and supplements to the registration statement and the prospectus as may be necessary in accordance with the Securities Act and the rules and regulations promulgated thereunder, to keep it effective so long as any of the shares are "registrable securities," as defined in our registration rights agreement with Sativum. Registrable securities include all shares sold to Sativum pursuant to the common stock purchase agreement that:</w:t>
      </w:r>
    </w:p>
    <w:p>
      <w:pPr>
        <w:spacing w:after="0" w:line="166" w:lineRule="exact"/>
        <w:rPr>
          <w:sz w:val="20"/>
          <w:szCs w:val="20"/>
          <w:color w:val="auto"/>
        </w:rPr>
      </w:pPr>
    </w:p>
    <w:p>
      <w:pPr>
        <w:ind w:left="520" w:right="3399" w:hanging="174"/>
        <w:spacing w:after="0" w:line="238"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not been sold pursuant to the registration statement of which this prospectus forms a part;</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not been sold pursuant to Rule 144 under the Securities Act;</w:t>
      </w:r>
    </w:p>
    <w:p>
      <w:pPr>
        <w:spacing w:after="0" w:line="174"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not been otherwise transferred to persons who may trade the shares without restriction under the Securities Act, as evidenced by share certificates not bearing a restrictive legend; or</w:t>
      </w:r>
    </w:p>
    <w:p>
      <w:pPr>
        <w:spacing w:after="0" w:line="175"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be sold, in the opinion of our counsel, without restriction under the Securities Act.</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Shares of common stock offered through this prospectus may be sold from time to time by Sativum. Shares of common stock issuable upon exercise of the warrants issued as of the date of the common stock purchase agreement to Sativum, Pacific Crest Securities, Inc. and Granite Financial Group, Inc. or their transferees, may also be sold through this prospectus. We will supplement this prospectus to disclose the names of any transferees of warrant shares that intend to offer common stock through this prospectus.</w:t>
      </w:r>
    </w:p>
    <w:p>
      <w:pPr>
        <w:spacing w:after="0" w:line="17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Sales may be made on the Nasdaq National Market, on the over-the-counter market or otherwise at prices and at terms then prevailing or at prices related to the then current market price, or in negotiated private transactions, or in a combination of these methods. Sativum will act independently of us in making decisions with respect to the form, timing, manner and size of each sale. We have been informed by Sativum and Pacific Crest that there are no existing arrangements between either of them and any stockholder, broker, dealer, underwriter or agent relating to the distribution of this prospectus. Sativum is an underwriter in connection with resales of its shares.</w:t>
      </w:r>
    </w:p>
    <w:p>
      <w:pPr>
        <w:spacing w:after="0" w:line="1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common shares may be sold in one or more of the following manners:</w:t>
      </w:r>
    </w:p>
    <w:p>
      <w:pPr>
        <w:spacing w:after="0" w:line="174" w:lineRule="exact"/>
        <w:rPr>
          <w:sz w:val="20"/>
          <w:szCs w:val="20"/>
          <w:color w:val="auto"/>
        </w:rPr>
      </w:pPr>
    </w:p>
    <w:p>
      <w:pPr>
        <w:jc w:val="both"/>
        <w:ind w:left="520" w:right="3479" w:hanging="174"/>
        <w:spacing w:after="0" w:line="239" w:lineRule="auto"/>
        <w:tabs>
          <w:tab w:leader="none" w:pos="5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broker or dealer so engaged will attempt to sell the shares as agent, but may position and resell a portion of the block as principal to facilitate the transaction;</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for its account under this prospectus; or</w:t>
      </w:r>
    </w:p>
    <w:p>
      <w:pPr>
        <w:spacing w:after="0" w:line="174"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57" w:right="1440" w:bottom="1440" w:gutter="0" w:footer="0" w:header="0"/>
        </w:sectPr>
      </w:pPr>
    </w:p>
    <w:bookmarkStart w:id="66" w:name="page67"/>
    <w:bookmarkEnd w:id="66"/>
    <w:p>
      <w:pPr>
        <w:ind w:right="3119" w:firstLine="355"/>
        <w:spacing w:after="0" w:line="259" w:lineRule="auto"/>
        <w:rPr>
          <w:sz w:val="20"/>
          <w:szCs w:val="20"/>
          <w:color w:val="auto"/>
        </w:rPr>
      </w:pPr>
      <w:r>
        <w:rPr>
          <w:rFonts w:ascii="Courier New" w:cs="Courier New" w:eastAsia="Courier New" w:hAnsi="Courier New"/>
          <w:sz w:val="14"/>
          <w:szCs w:val="14"/>
          <w:color w:val="auto"/>
        </w:rPr>
        <w:t>In effecting sales, brokers or dealers engaged by Sativum, Pacific Crest or Granite may arrange for other brokers or dealers to participate. Except as disclosed in a supplement to this prospectus, no broker-dealer will be paid more than a customary brokerage commission in connection with any sale of the shares of common stock by Sativum, Pacific Crest or Granite. Brokers or dealers may receive commissions, discounts or other concessions from the selling stockholders in amounts to be negotiated immediately prior to the sale. The compensation to a particular broker-dealer may be in excess of customary commissions. Profits on any resale of the shares of common stock as a principal by such broker-dealers and any commissions received by such broker-dealers may be deemed to be underwriting discounts and commissions under the Securities Act. Any broker-dealer participating in such transactions as agent may receive commissions from Sativum, Pacific Crest and Granite, if they act as agent for the purchaser of such shares of common stock, from such purchaser.</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Broker-dealers who acquire common shares as principal may thereafter resell such shares of common stock from time to time in transactions, which may involve crosses and block transactions and which may involve sales to and through other broker-dealers, including transactions of the nature described above, in the over-the-counter market, in negotiated transactions or otherwise at market prices prevailing at the time of sale or at negotiated prices, and in connection with such resales may pay to or receive from the purchasers of such shares of common stock commissions computed as described above. Brokers or dealers who acquire common shares as principal and any other participating brokers or dealers may be deemed to be underwriters in connection with resales of the shares of common stock.</w:t>
      </w:r>
    </w:p>
    <w:p>
      <w:pPr>
        <w:spacing w:after="0" w:line="35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addition, any shares of common stock covered by this prospectus which qualify for sale pursuant to Rule 144 may be sold under Rule 144 rather than pursuant to this prospectus. However, since Sativum is an underwriter, Rule 144 of the Securities Act is not available to Sativum to sell its shares. We will not receive any of the proceeds from the sale of these shares of common stock, although we have paid the expenses of preparing this prospectus and the related registration statement of which it is a part and have reimbursed Sativum $50,000 for its legal and administrative costs.</w:t>
      </w:r>
    </w:p>
    <w:p>
      <w:pPr>
        <w:spacing w:after="0" w:line="347"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Sativum, Pacific Crest and Granite are subject to the applicable provisions of the Exchange Act, including without limitation Rule 10b-5 thereunder. Under applicable rules and regulations under the Exchange Act, any person engaged in a distribution of the shares of common stock may not simultaneously purchase such securities for a period beginning when such person becomes a distribution participant and ending upon such person's completion of participation in a distribution. In addition, in connection with the transactions in the shares of common stock, Sativum, Pacific Crest and Granite will be subject to applicable provisions of the Exchange Act and the rules and regulations under that Act, including, without limitation, the rules set forth above. These restrictions may affect the marketability of the shares of common stock.</w:t>
      </w:r>
    </w:p>
    <w:p>
      <w:pPr>
        <w:spacing w:after="0" w:line="16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Sativum, Pacific Crest and Granite will pay all commissions and its own expenses, if any, associated with the sale of the shares of common stock, other than the expenses associated with preparing this prospectus and the registration statement of which it is a part.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UNDERWRITING COMPENSATION AND EXPENSES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underwriting compensation for Sativum will depend on the amount of financing that we are able to obtain under the stock purchase agreement, up to a maximum of $1,914,894 if we are able to obtain the entire $30,000,000 in financing. Sativum will purchase shares under the stock purchase agreement at a price equal to 94% of the volume-weighted average daily price of our common stock reported on the Nasdaq National Market for each day in the pricing period with respect to each drawdown request.</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At the time of the initial closing under the common stock purchase agreement, we also issued to Sativum a warrant to purchase 250,000 shares of our common stock at an exercise price of $2.38 per share. The warrant expires May 10, 2004.</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60" w:right="1440" w:bottom="1440" w:gutter="0" w:footer="0" w:header="0"/>
        </w:sectPr>
      </w:pPr>
    </w:p>
    <w:bookmarkStart w:id="67" w:name="page68"/>
    <w:bookmarkEnd w:id="67"/>
    <w:p>
      <w:pPr>
        <w:ind w:right="3119" w:firstLine="355"/>
        <w:spacing w:after="0"/>
        <w:rPr>
          <w:sz w:val="20"/>
          <w:szCs w:val="20"/>
          <w:color w:val="auto"/>
        </w:rPr>
      </w:pPr>
      <w:r>
        <w:rPr>
          <w:rFonts w:ascii="Courier New" w:cs="Courier New" w:eastAsia="Courier New" w:hAnsi="Courier New"/>
          <w:sz w:val="15"/>
          <w:szCs w:val="15"/>
          <w:color w:val="auto"/>
        </w:rPr>
        <w:t>In addition, we are obligated to pay Pacific Crest, as compensation for its services as Sativum's placement agent, a cash fee equal to 3% of the net proceeds received from Sativum under the common stock purchase agreement for draw downs under the equity line. The compensation to Pacific Crest will depend on the amount of financing that we obtain under the common stock purchase agreement, up to a maximum of $900,000 if we obtain the entire $30,000,000 in financing. Pacific Crest has agreed to contribute one-third of all drawdown fees to Granite Financial Group, Inc. We also issued to Pacific Crest a warrant to purchase 75,000 shares of our common stock and to Granite a warrant to purchase 25,000 shares of our common stock. Each warrant has an exercise price of $2.38 per share and expires May 10, 2004.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GRANT OF REGISTRATION RIGHTS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granted registration rights to Sativum to enable it to sell the common stock it purchases under the common stock purchase agreement. In connection with any such registration, we will have no obligation:</w:t>
      </w:r>
    </w:p>
    <w:p>
      <w:pPr>
        <w:spacing w:after="0" w:line="175" w:lineRule="exact"/>
        <w:rPr>
          <w:sz w:val="20"/>
          <w:szCs w:val="20"/>
          <w:color w:val="auto"/>
        </w:rPr>
      </w:pPr>
    </w:p>
    <w:p>
      <w:pPr>
        <w:ind w:left="520" w:right="3119" w:hanging="174"/>
        <w:spacing w:after="0" w:line="238" w:lineRule="auto"/>
        <w:tabs>
          <w:tab w:leader="none" w:pos="5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assist or cooperate with Sativum in the offering or disposition of such shares;</w:t>
      </w:r>
    </w:p>
    <w:p>
      <w:pPr>
        <w:spacing w:after="0" w:line="174"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or hold harmless the holders of any such shares, other than Sativum, or any underwriter designated by such holders;</w:t>
      </w:r>
    </w:p>
    <w:p>
      <w:pPr>
        <w:spacing w:after="0" w:line="174" w:lineRule="exact"/>
        <w:rPr>
          <w:rFonts w:ascii="Courier New" w:cs="Courier New" w:eastAsia="Courier New" w:hAnsi="Courier New"/>
          <w:sz w:val="15"/>
          <w:szCs w:val="15"/>
          <w:color w:val="auto"/>
        </w:rPr>
      </w:pPr>
    </w:p>
    <w:p>
      <w:pPr>
        <w:ind w:left="520" w:right="3479" w:hanging="174"/>
        <w:spacing w:after="0" w:line="238" w:lineRule="auto"/>
        <w:tabs>
          <w:tab w:leader="none" w:pos="5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a commitment from an underwriter relative to the sale of any such shares; or</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such shares within any underwritten offering we do.</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will assume no obligation or responsibility whatsoever to determine a method of disposition for such shares or to otherwise include such shares within the confines of any registered offering other than the registration statement of which this prospectus is a part.</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will use commercially reasonable efforts to file, during any period during which we are required to do so under our registration rights agreement with Sativum, one or more post-effective amendments to the registration statement of which this prospectus is a part to describe any material information with respect to the plan of distribution not previously disclosed in this prospectus or any material change to such information in this prospectus. This obligation may include, to the extent required under the Securities Act of 1933, that a supplemental prospectus be filed, disclosing</w:t>
      </w:r>
    </w:p>
    <w:p>
      <w:pPr>
        <w:spacing w:after="0" w:line="174" w:lineRule="exact"/>
        <w:rPr>
          <w:sz w:val="20"/>
          <w:szCs w:val="20"/>
          <w:color w:val="auto"/>
        </w:rPr>
      </w:pPr>
    </w:p>
    <w:p>
      <w:pPr>
        <w:ind w:left="520" w:hanging="174"/>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any broker-dealers;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common shares involved;</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the common shares are to be sold;</w:t>
      </w:r>
    </w:p>
    <w:p>
      <w:pPr>
        <w:spacing w:after="0" w:line="174" w:lineRule="exact"/>
        <w:rPr>
          <w:rFonts w:ascii="Courier New" w:cs="Courier New" w:eastAsia="Courier New" w:hAnsi="Courier New"/>
          <w:sz w:val="15"/>
          <w:szCs w:val="15"/>
          <w:color w:val="auto"/>
        </w:rPr>
      </w:pPr>
    </w:p>
    <w:p>
      <w:pPr>
        <w:ind w:left="520" w:right="4459" w:hanging="174"/>
        <w:spacing w:after="0" w:line="238" w:lineRule="auto"/>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commissions paid or discounts or concessions allowed to broker-dealers, where applicable;</w:t>
      </w:r>
    </w:p>
    <w:p>
      <w:pPr>
        <w:spacing w:after="0" w:line="174"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broker-dealers did not conduct any investigation to verify the information set out or incorporated by reference in this prospectus, as supplemented; and</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facts material to the transaction.</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Our registration rights agreement with Sativum permits us to restrict the resale of the shares Sativum has purchased from us under the common stock purchase agreement for a period of time sufficient to permit us to amend or supplement this prospectus to include material information. If we restrict Sativum during any pricing period or the five consecutive business days after a pricing period and our stock price declines during the restricted period, we are required to pay to Sativum cash to compensate Sativum for its inability to sell shares during the restricted period. The amount we would be required to pay would be the difference between the average daily volume weighed average price of the common stock during the pricing period and the price at which the shares were eventually sold, provided the sales are made within 5 business days of the end of the restricted period and the difference in price is greater than 20% of the average purchase price paid by Sativum during the relevant pricing period.</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60" w:right="1440" w:bottom="1440" w:gutter="0" w:footer="0" w:header="0"/>
        </w:sectPr>
      </w:pPr>
    </w:p>
    <w:bookmarkStart w:id="68" w:name="page69"/>
    <w:bookmarkEnd w:id="68"/>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The validity of the shares of our common stock offered hereby will be passed upon for us by Ropes &amp; Gray, Boston, Massachusetts.</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at December 31, 2000 and 1999, and for each of the three years in the period ended December 31, 2000, as set forth in their report. We have included these financial statements in the prospectus and elsewhere in the registration statement in reliance on Ernst &amp; Young LLP's report, given on their authority as experts in accounting and auditing.</w:t>
      </w:r>
    </w:p>
    <w:p>
      <w:pPr>
        <w:spacing w:after="0" w:line="17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200" w:lineRule="exact"/>
        <w:rPr>
          <w:sz w:val="20"/>
          <w:szCs w:val="20"/>
          <w:color w:val="auto"/>
        </w:rPr>
      </w:pPr>
    </w:p>
    <w:p>
      <w:pPr>
        <w:spacing w:after="0" w:line="32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200" w:lineRule="exact"/>
        <w:rPr>
          <w:sz w:val="20"/>
          <w:szCs w:val="20"/>
          <w:color w:val="auto"/>
        </w:rPr>
      </w:pPr>
    </w:p>
    <w:p>
      <w:pPr>
        <w:spacing w:after="0" w:line="317" w:lineRule="exact"/>
        <w:rPr>
          <w:sz w:val="20"/>
          <w:szCs w:val="20"/>
          <w:color w:val="auto"/>
        </w:rPr>
      </w:pPr>
    </w:p>
    <w:p>
      <w:pPr>
        <w:ind w:left="520" w:right="3119" w:hanging="174"/>
        <w:spacing w:after="0" w:line="238" w:lineRule="auto"/>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year ended December 31, 2000 (filed April 2, 2001, as amended April 30, 2001);</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479" w:hanging="174"/>
        <w:spacing w:after="0" w:line="238" w:lineRule="auto"/>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10-Q for the quarter ended March 31, 2001 (filed May 9, 2001);</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839" w:hanging="174"/>
        <w:spacing w:after="0" w:line="238" w:lineRule="auto"/>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Proxy Statement for the Annual Meeting of Stockholders held on May 31, 2001 (filed April 30, 2001);</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8-K dated May 8, 2001 (filed May 8, 2001) and May 14, 2001 (dated May 14, 2001);</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520" w:right="3479" w:hanging="174"/>
        <w:spacing w:after="0" w:line="239" w:lineRule="auto"/>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57" w:right="1440" w:bottom="1440" w:gutter="0" w:footer="0" w:header="0"/>
        </w:sectPr>
      </w:pPr>
    </w:p>
    <w:bookmarkStart w:id="69" w:name="page70"/>
    <w:bookmarkEnd w:id="69"/>
    <w:p>
      <w:pPr>
        <w:ind w:left="520" w:right="3119" w:hanging="174"/>
        <w:spacing w:after="0"/>
        <w:tabs>
          <w:tab w:leader="none" w:pos="5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 filed by us with the SEC pursuant to the Securities Exchange Act of 1934 after the date of this prospectus and before the offering of common stock is completed (other than portions of such documents described in paragraphs (i), (k) and (l) of Item 402 of Regulation S-K promulgated by the SEC.</w:t>
      </w:r>
    </w:p>
    <w:p>
      <w:pPr>
        <w:spacing w:after="0" w:line="200" w:lineRule="exact"/>
        <w:rPr>
          <w:sz w:val="20"/>
          <w:szCs w:val="20"/>
          <w:color w:val="auto"/>
        </w:rPr>
      </w:pPr>
    </w:p>
    <w:p>
      <w:pPr>
        <w:spacing w:after="0" w:line="316"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 than exhibits to those documents). You should direct requests for documents to:</w:t>
      </w: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Palo Alto, CA 94304</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Attention: Investor Relations</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Telephone number: (650) 475-3100</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31" w:right="1440" w:bottom="1440" w:gutter="0" w:footer="0" w:header="0"/>
        </w:sectPr>
      </w:pPr>
    </w:p>
    <w:bookmarkStart w:id="70" w:name="page71"/>
    <w:bookmarkEnd w:id="70"/>
    <w:p>
      <w:pPr>
        <w:ind w:left="132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1680"/>
              <w:spacing w:after="0"/>
              <w:rPr>
                <w:sz w:val="20"/>
                <w:szCs w:val="20"/>
                <w:color w:val="auto"/>
              </w:rPr>
            </w:pPr>
            <w:r>
              <w:rPr>
                <w:rFonts w:ascii="Courier New" w:cs="Courier New" w:eastAsia="Courier New" w:hAnsi="Courier New"/>
                <w:sz w:val="15"/>
                <w:szCs w:val="15"/>
                <w:color w:val="auto"/>
                <w:w w:val="98"/>
              </w:rPr>
              <w:t>INDEX TO CONSOLIDATED FINANCIAL STATEMENTS</w:t>
            </w:r>
          </w:p>
        </w:tc>
        <w:tc>
          <w:tcPr>
            <w:tcW w:w="400" w:type="dxa"/>
            <w:vAlign w:val="bottom"/>
          </w:tcPr>
          <w:p>
            <w:pPr>
              <w:spacing w:after="0"/>
              <w:rPr>
                <w:sz w:val="14"/>
                <w:szCs w:val="14"/>
                <w:color w:val="auto"/>
              </w:rPr>
            </w:pPr>
          </w:p>
        </w:tc>
      </w:tr>
      <w:tr>
        <w:trPr>
          <w:trHeight w:val="683"/>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 December 31, 2000 and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December 31, 2000,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Redeemable Common</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Stock and Stockholders' Equity for the years ended</w:t>
            </w:r>
          </w:p>
        </w:tc>
        <w:tc>
          <w:tcPr>
            <w:tcW w:w="4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December 31, 2000,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December 31, 2000,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F-9</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at March 31, 2001</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three months ended March 31, 2001 and March 31, 2000</w:t>
            </w:r>
          </w:p>
        </w:tc>
        <w:tc>
          <w:tcPr>
            <w:tcW w:w="4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 for the three months</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ended March 31, 2001 and March 31, 2000 (unaudited).......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F-29</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512"/>
        </w:trPr>
        <w:tc>
          <w:tcPr>
            <w:tcW w:w="5440" w:type="dxa"/>
            <w:vAlign w:val="bottom"/>
          </w:tcPr>
          <w:p>
            <w:pPr>
              <w:ind w:left="336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71" w:name="page72"/>
    <w:bookmarkEnd w:id="71"/>
    <w:p>
      <w:pPr>
        <w:ind w:left="132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audited the accompanying consolidated balance sheets of StemCells, Inc. (formerly CytoTherapeutics, Inc.) as of December 31, 2000 and 1999, and the related consolidated statements of operations, changes in redeemable common stock and stockholders'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StemCells, Inc. at December 31, 2000 and 1999, and the consolidated results of its operations and its cash flows for each of the three years in the period ended December 31, 2000, in conformity with accounting principles generally accepted in the United States.</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the beneficial conversion of preferred shares.</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23, 2001</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57" w:right="1440" w:bottom="1440" w:gutter="0" w:footer="0" w:header="0"/>
        </w:sectPr>
      </w:pPr>
    </w:p>
    <w:bookmarkStart w:id="72" w:name="page73"/>
    <w:bookmarkEnd w:id="72"/>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7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6,068,947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4,760,064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Short-term restricted investments.........................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16,356,334</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interest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16,725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42,212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Technology sale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3,000,000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Debt service fund.........................................</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609,905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524,509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558,674</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22,966,515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8,970,855</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Property held for sale......................................</w:t>
            </w:r>
          </w:p>
        </w:tc>
        <w:tc>
          <w:tcPr>
            <w:tcW w:w="180" w:type="dxa"/>
            <w:vAlign w:val="bottom"/>
          </w:tcPr>
          <w:p>
            <w:pPr>
              <w:spacing w:after="0"/>
              <w:rPr>
                <w:sz w:val="24"/>
                <w:szCs w:val="2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24"/>
                <w:szCs w:val="2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3,203,491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Property, plant and equipment,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1,451,061</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1,747,885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Other assets,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2,173,912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1,858,768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29,794,979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15,780,999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526,191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631,315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expenses..........................................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837,358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970,546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wind-down costs...................................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1,780,579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1,634,522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 of capital lease obligations...........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332,083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324,167</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current liabilities...................................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3,476,211</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3,560,550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Capital lease obligations, less current maturities..........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2,605,000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2,937,083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Deposits....................................................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Deferred rent...............................................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705,746</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502,353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issued and outstanding at December 31, 1999, none at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December 31, 2000.........................................</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5,248,610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shares authorized, 2,626 designated as 6% Cumulative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Convertible Preferred Stock 1,500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2000, none at December 31,</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1999....................................................</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authorized; 20,956,887 and 18,635,565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2000 and 1999,</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respectively............................................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209,569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186,355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Additional paid-in capital................................</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138,150,067</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123,917,758</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deficit.......................................</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(130,498,187)</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(119,372,710)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other comprehensive income....................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16,356,334</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compensation.....................................</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(2,735,761)</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stockholders' equity..................................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22,982,022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3,506,403</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29,794,979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15,780,999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457" w:right="1440" w:bottom="1440" w:gutter="0" w:footer="0" w:header="0"/>
        </w:sectPr>
      </w:pPr>
    </w:p>
    <w:bookmarkStart w:id="73" w:name="page74"/>
    <w:bookmarkEnd w:id="73"/>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5"/>
          </w:tcPr>
          <w:p>
            <w:pPr>
              <w:jc w:val="right"/>
              <w:ind w:right="90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70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Revenue from collaborative and licensing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74,300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8,803,163</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5,979,007</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17,658,530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3,361,231</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4,602,758</w:t>
            </w:r>
          </w:p>
        </w:tc>
      </w:tr>
      <w:tr>
        <w:trPr>
          <w:trHeight w:val="171"/>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Encapsulated Cell Therapy wind-down and corporate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3,327,360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12,667,598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22,261,288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(12,593,298)</w:t>
            </w:r>
          </w:p>
        </w:tc>
        <w:tc>
          <w:tcPr>
            <w:tcW w:w="180" w:type="dxa"/>
            <w:vAlign w:val="bottom"/>
          </w:tcPr>
          <w:p>
            <w:pPr>
              <w:spacing w:after="0"/>
              <w:rPr>
                <w:sz w:val="24"/>
                <w:szCs w:val="2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(13,458,125)</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303,746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1,253,781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(272,513)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(472,400)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Gain on sale of Investment........................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1,427,686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8,902</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48,914</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1,467,821</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830,295</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$(11,125,477)</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Deemed dividend to preferred shareholders...........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(265,000)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loss applicable to common shareholders before a</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principle.........................................</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$(11,390,477)</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principle due to deemed dividend..................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(216,000)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 applicable to common shareholders..........</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$(11,606,477)</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applicable to</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shareholders before cumulative effect......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principle.........................................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applicable to</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shareholders...............................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20,067,760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18,290,548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457" w:right="1440" w:bottom="1440" w:gutter="0" w:footer="0" w:header="0"/>
        </w:sectPr>
      </w:pPr>
    </w:p>
    <w:bookmarkStart w:id="74" w:name="page75"/>
    <w:bookmarkEnd w:id="74"/>
    <w:p>
      <w:pPr>
        <w:jc w:val="center"/>
        <w:ind w:right="4520"/>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EQUITY</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REDEEMABLE</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520" w:type="dxa"/>
            <w:vAlign w:val="bottom"/>
          </w:tcPr>
          <w:p>
            <w:pPr>
              <w:spacing w:after="0"/>
              <w:rPr>
                <w:sz w:val="14"/>
                <w:szCs w:val="14"/>
                <w:color w:val="auto"/>
              </w:rPr>
            </w:pPr>
          </w:p>
        </w:tc>
        <w:tc>
          <w:tcPr>
            <w:tcW w:w="21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ADDITIONAL</w:t>
            </w:r>
          </w:p>
        </w:tc>
        <w:tc>
          <w:tcPr>
            <w:tcW w:w="14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4"/>
              </w:rPr>
              <w:t>---------------------</w:t>
            </w:r>
          </w:p>
        </w:tc>
        <w:tc>
          <w:tcPr>
            <w:tcW w:w="520" w:type="dxa"/>
            <w:vAlign w:val="bottom"/>
          </w:tcPr>
          <w:p>
            <w:pPr>
              <w:spacing w:after="0"/>
              <w:rPr>
                <w:sz w:val="14"/>
                <w:szCs w:val="14"/>
                <w:color w:val="auto"/>
              </w:rPr>
            </w:pPr>
          </w:p>
        </w:tc>
        <w:tc>
          <w:tcPr>
            <w:tcW w:w="21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PAID-IN</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ACCUMULATED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AMOUNT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AMOUNT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CAPITAL</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DEFICIT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INCOME (LOSS)</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557,754</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$5,583,110</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17,526,220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$175,262</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$121,472,844</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(91,036,254)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$(8,877)</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43,542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436</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83,622</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84,812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848</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143,025</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101,320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1,013</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505,587</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(33,417)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(334,500)</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33,417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334</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334,166</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11,012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1,254</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321,108</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3,679</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(12,627,830)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5,248,610</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17,800,323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178,003</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122,861,606</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(103,664,084)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(5,198)</w:t>
            </w:r>
          </w:p>
        </w:tc>
      </w:tr>
      <w:tr>
        <w:trPr>
          <w:trHeight w:val="683"/>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5"/>
              </w:rPr>
              <w:t>STOCKHOLDERS'</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EQUITY</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$(1,702,820)</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$ 28,900,155</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6"/>
              </w:rPr>
              <w:t>84,058</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143,873</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506,600</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334,500</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1,364</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229,901</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551,009</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3,679</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(12,627,830)</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(12,624,151)</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(1,472,919)</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17,897,408</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F-5</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520"/>
          </w:cols>
          <w:pgMar w:left="240" w:top="457" w:right="139" w:bottom="1440" w:gutter="0" w:footer="0" w:header="0"/>
        </w:sectPr>
      </w:pPr>
    </w:p>
    <w:bookmarkStart w:id="75" w:name="page76"/>
    <w:bookmarkEnd w:id="75"/>
    <w:p>
      <w:pPr>
        <w:jc w:val="center"/>
        <w:ind w:right="4520"/>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26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EQUITY (CONTINUED)</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REDEEMABLE</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226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ADDITIONAL</w:t>
            </w:r>
          </w:p>
        </w:tc>
        <w:tc>
          <w:tcPr>
            <w:tcW w:w="14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4"/>
              </w:rPr>
              <w:t>---------------------</w:t>
            </w:r>
          </w:p>
        </w:tc>
        <w:tc>
          <w:tcPr>
            <w:tcW w:w="440" w:type="dxa"/>
            <w:vAlign w:val="bottom"/>
          </w:tcPr>
          <w:p>
            <w:pPr>
              <w:spacing w:after="0"/>
              <w:rPr>
                <w:sz w:val="14"/>
                <w:szCs w:val="14"/>
                <w:color w:val="auto"/>
              </w:rPr>
            </w:pPr>
          </w:p>
        </w:tc>
        <w:tc>
          <w:tcPr>
            <w:tcW w:w="226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PAID-IN</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ACCUMULATED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AMOUNT</w:t>
            </w:r>
          </w:p>
        </w:tc>
        <w:tc>
          <w:tcPr>
            <w:tcW w:w="2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CAPITAL</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DEFICIT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INCOME (LOSS)</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$5,248,610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17,800,323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178,003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122,861,606</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$(103,664,084)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$(5,198)</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196,213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318,221</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57,398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574</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41,619</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90,798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908</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102,502</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490,833</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4,908</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513,534</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80,276</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5,198</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5,248,610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18,635,565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186,355</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123,917,758</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(119,372,710)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683"/>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5"/>
              </w:rPr>
              <w:t>STOCKHOLDERS'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EQUITY</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$(1,472,919)</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$ 17,897,408</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320,183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42,193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103,410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518,442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247,919</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328,195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5,198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(15,708,626)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(15,703,428)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(1,225,000)</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3,506,403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F-6</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520"/>
          </w:cols>
          <w:pgMar w:left="240" w:top="457" w:right="139" w:bottom="1440" w:gutter="0" w:footer="0" w:header="0"/>
        </w:sectPr>
      </w:pPr>
    </w:p>
    <w:bookmarkStart w:id="76" w:name="page77"/>
    <w:bookmarkEnd w:id="76"/>
    <w:p>
      <w:pPr>
        <w:jc w:val="center"/>
        <w:ind w:right="3380"/>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gridSpan w:val="4"/>
          </w:tcPr>
          <w:p>
            <w:pPr>
              <w:jc w:val="right"/>
              <w:ind w:right="626"/>
              <w:spacing w:after="0"/>
              <w:rPr>
                <w:sz w:val="20"/>
                <w:szCs w:val="20"/>
                <w:color w:val="auto"/>
              </w:rPr>
            </w:pPr>
            <w:r>
              <w:rPr>
                <w:rFonts w:ascii="Courier New" w:cs="Courier New" w:eastAsia="Courier New" w:hAnsi="Courier New"/>
                <w:sz w:val="15"/>
                <w:szCs w:val="15"/>
                <w:color w:val="auto"/>
                <w:w w:val="99"/>
              </w:rPr>
              <w:t>EQUITY (CONTINUED)</w:t>
            </w: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2"/>
        </w:trPr>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REDEEMABLE</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COMMON</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spacing w:after="0"/>
              <w:rPr>
                <w:sz w:val="14"/>
                <w:szCs w:val="14"/>
                <w:color w:val="auto"/>
              </w:rPr>
            </w:pPr>
          </w:p>
        </w:tc>
        <w:tc>
          <w:tcPr>
            <w:tcW w:w="20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PREFERRED STOCK</w:t>
            </w:r>
          </w:p>
        </w:tc>
        <w:tc>
          <w:tcPr>
            <w:tcW w:w="220" w:type="dxa"/>
            <w:vAlign w:val="bottom"/>
          </w:tcPr>
          <w:p>
            <w:pPr>
              <w:spacing w:after="0"/>
              <w:rPr>
                <w:sz w:val="14"/>
                <w:szCs w:val="14"/>
                <w:color w:val="auto"/>
              </w:rPr>
            </w:pPr>
          </w:p>
        </w:tc>
        <w:tc>
          <w:tcPr>
            <w:tcW w:w="192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ADDITIONAL</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w w:val="98"/>
              </w:rPr>
              <w:t>---------------------</w:t>
            </w:r>
          </w:p>
        </w:tc>
        <w:tc>
          <w:tcPr>
            <w:tcW w:w="21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PAID-IN</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100" w:type="dxa"/>
            <w:vAlign w:val="bottom"/>
          </w:tcPr>
          <w:p>
            <w:pPr>
              <w:spacing w:after="0"/>
              <w:rPr>
                <w:sz w:val="14"/>
                <w:szCs w:val="14"/>
                <w:color w:val="auto"/>
              </w:rPr>
            </w:pPr>
          </w:p>
        </w:tc>
        <w:tc>
          <w:tcPr>
            <w:tcW w:w="11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AMOUNT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AMOUNT</w:t>
            </w:r>
          </w:p>
        </w:tc>
        <w:tc>
          <w:tcPr>
            <w:tcW w:w="2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AMOUNT</w:t>
            </w:r>
          </w:p>
        </w:tc>
        <w:tc>
          <w:tcPr>
            <w:tcW w:w="2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CAPITAL</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524,337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5,248,610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18,635,565</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$186,355</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$123,917,758</w:t>
            </w: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Issuance of common stock to</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Millennium Partners LP,</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of issuance costs of</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$598,563..................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1,104,435</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$ 11,044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4,390,393</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related to license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agreements..................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77,800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364,222</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to employee benefit plan....</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6,672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27,112</w:t>
            </w: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employee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options...................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608,078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651,828</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conversion..................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(524,337)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6"/>
              </w:rPr>
              <w:t>(5,248,610)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524,337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5,243,367</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Issuance of preferred stock...</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$1,500,000</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compensation--</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and cancellations...........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3,555,387</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short-term</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restricted investments......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Comprehensive Income........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2000...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$1,500,000</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20,956,887</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$209,569</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$138,150,067</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center"/>
              <w:ind w:right="286"/>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97"/>
              </w:rPr>
              <w:t>OTHER</w:t>
            </w: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ACCUMULATED</w:t>
            </w:r>
          </w:p>
        </w:tc>
        <w:tc>
          <w:tcPr>
            <w:tcW w:w="360" w:type="dxa"/>
            <w:vAlign w:val="bottom"/>
          </w:tcPr>
          <w:p>
            <w:pPr>
              <w:spacing w:after="0"/>
              <w:rPr>
                <w:sz w:val="14"/>
                <w:szCs w:val="14"/>
                <w:color w:val="auto"/>
              </w:rPr>
            </w:pPr>
          </w:p>
        </w:tc>
        <w:tc>
          <w:tcPr>
            <w:tcW w:w="1500" w:type="dxa"/>
            <w:vAlign w:val="bottom"/>
            <w:gridSpan w:val="2"/>
          </w:tcPr>
          <w:p>
            <w:pPr>
              <w:jc w:val="center"/>
              <w:ind w:right="286"/>
              <w:spacing w:after="0"/>
              <w:rPr>
                <w:sz w:val="20"/>
                <w:szCs w:val="20"/>
                <w:color w:val="auto"/>
              </w:rPr>
            </w:pPr>
            <w:r>
              <w:rPr>
                <w:rFonts w:ascii="Courier New" w:cs="Courier New" w:eastAsia="Courier New" w:hAnsi="Courier New"/>
                <w:sz w:val="15"/>
                <w:szCs w:val="15"/>
                <w:color w:val="auto"/>
                <w:w w:val="97"/>
              </w:rPr>
              <w:t>COMPREHENSIVE</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DEFERRED</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STOCKHOLDERS'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DEFICIT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center"/>
              <w:ind w:right="286"/>
              <w:spacing w:after="0"/>
              <w:rPr>
                <w:sz w:val="20"/>
                <w:szCs w:val="20"/>
                <w:color w:val="auto"/>
              </w:rPr>
            </w:pPr>
            <w:r>
              <w:rPr>
                <w:rFonts w:ascii="Courier New" w:cs="Courier New" w:eastAsia="Courier New" w:hAnsi="Courier New"/>
                <w:sz w:val="15"/>
                <w:szCs w:val="15"/>
                <w:color w:val="auto"/>
                <w:w w:val="97"/>
              </w:rPr>
              <w:t>INCOME (LOSS)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COMPENSATION</w:t>
            </w: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EQUITY</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15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$(119,372,710)</w:t>
            </w:r>
          </w:p>
        </w:tc>
        <w:tc>
          <w:tcPr>
            <w:tcW w:w="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$(1,225,000)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3,506,403</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Issuance of common stock to</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Millennium Partners LP,</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of issuance costs of</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$598,563..................</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4,401,437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related to license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agreements..................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365,000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to employee benefit plan....</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27,180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employee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options...................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657,909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conversion..................</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5,248,610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Issuance of preferred stock...</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compensation--</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and cancellations...........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$(1,510,760)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2,044,627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short-term</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restricted investments......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$16,356,334</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$ 16,356,334</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15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 (11,125,477)</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$(11,125,477)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Comprehensive Income........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5,230,858</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2000...</w:t>
            </w:r>
          </w:p>
        </w:tc>
        <w:tc>
          <w:tcPr>
            <w:tcW w:w="15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$(130,498,187)</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$16,356,334</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$(2,735,761)</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$ 22,982,022</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380"/>
          </w:cols>
          <w:pgMar w:left="240" w:top="457" w:right="1279" w:bottom="1440" w:gutter="0" w:footer="0" w:header="0"/>
        </w:sectPr>
      </w:pPr>
    </w:p>
    <w:bookmarkStart w:id="77" w:name="page78"/>
    <w:bookmarkEnd w:id="77"/>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20" w:type="dxa"/>
            <w:vAlign w:val="bottom"/>
            <w:gridSpan w:val="5"/>
          </w:tcPr>
          <w:p>
            <w:pPr>
              <w:jc w:val="right"/>
              <w:ind w:right="88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loss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$(11,125,477)</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jc w:val="right"/>
              <w:ind w:right="3286"/>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Depreciation and amortization...........................</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738,593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2,244,146</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Acquired research and development.......................</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551,009</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Amortization of deferred compensation...................</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2,044,627</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Fair</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market adjustment for property held for sale.......</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Other non-cash charges..................................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410,173</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Gain</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investment......................................</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(1,427,686)</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Loss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sale of property, plant and equipment...........</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Loss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sale of intangibles.............................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interest receivable...........................</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25,488</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346,577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Technology receivable.................................</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315,213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(265,665)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payable and accrued expenses.................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(92,255)</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(2,378,613)</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rent.........................................</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203,393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2,483,856</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cash</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used in operating activities.......................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(6,318,104)</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(11,913,282)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(9,236,347)</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sale of Investments...........................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1,427,686</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Purchases of marketable securities..........................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(18,982,387)</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sales of marketable securities................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22,573,625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Purchases of property, plant and equipment..................</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(151,212)</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(2,153,525)</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sale of fixed assets............................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Acquisition of other assets.................................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(886,751)</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(400,219)</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Disposal</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other assets....................................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cash</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provided by investing activities...................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389,723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9,962,013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1,037,494</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issuance of common stock......................</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4,401,437</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227,931</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the exercise of stock options.................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685,089</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Common stock issued for agreements..........................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365,000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issuance of preferred stock...................</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debt financings...............................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1,259,300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Change in debt service fund.................................</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609,905</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Repayments of debt and lease obligations....................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(1,366,655)</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cash</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provided by (used in) financing activities.........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7,237,264</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121,940</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Increase</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(decrease) in cash and cash equivalents............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1,308,883</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(8,076,913)</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Cash and</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equivalents at beginning of year..............</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15,941,701</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Cash and</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equivalents at end of the year................</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6,068,947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7,864,788</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Interest</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paid...............................................</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272,513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444,047</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457" w:right="1440" w:bottom="1440" w:gutter="0" w:footer="0" w:header="0"/>
        </w:sectPr>
      </w:pPr>
    </w:p>
    <w:bookmarkStart w:id="78" w:name="page79"/>
    <w:bookmarkEnd w:id="78"/>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StemCells, Inc. (the "Company") is a biopharmaceutical company that operates in one segment, engaged in the development of novel stem cell therapies designed to treat human diseases and disorders. On May 23, 2000, the Company's name was changed to Stem Cells, Inc. from CytoTherapeutics, Inc. by vote of the shareholders at the Annual Meeting.</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As of December 31, 2000, the Company had cash and cash equivalents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approximately $6.1 million and a restricted short-term equity investment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approximately $16.4 million in Modex Therapeutics, a Swiss Biotherapeutics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 Since inception, the Company has incurred annual losses and negative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 flows from operations and has an accumulated deficit of approximately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$130.5 million at December 31, 2000. The Company has not derived any revenues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from the sale of any products, and does not expect to receive revenues from</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product sales for at least several years. As a result, the Company is dependent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upon external financing from equity and debt offerings and revenues from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collaborative research arrangements with corporate sponsors to finance its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operations. There are no such collaborative research arrangements at this time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and there can be no assurance that such financing or partnering revenues will be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available when needed or on terms acceptable to the Company.</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noted above, the Company has a restricted investment in Modex Therapeutics, a Swiss Biotherapeutics company with a fair market value of approximately $16.4 million at December 31, 2000. On January 9, 2001, the Company sold 22,616 shares of Modex common stock for total proceeds of approximately $2.5 million. The Company is restricted from selling any of the remaining 103,577 shares until April 12, 2001. The value of the Company's holdings is subject to market risk and foreign currency fluctuation and could decrease significantly. The Company is currently in discussions with Modex to sell the remaining shares during 2001. If the Company decided to sell the Modex shares, due to relatively small trading volume in Modex shares and the relatively large size of the Company holdings, or other factors, the Company may not be able to sell its Modex shares at their market value or at all, and the Company may have to sell these shares at a significant discount to the market price.</w:t>
      </w:r>
    </w:p>
    <w:p>
      <w:pPr>
        <w:spacing w:after="0" w:line="181" w:lineRule="exact"/>
        <w:rPr>
          <w:sz w:val="20"/>
          <w:szCs w:val="20"/>
          <w:color w:val="auto"/>
        </w:rPr>
      </w:pPr>
    </w:p>
    <w:p>
      <w:pPr>
        <w:ind w:left="9" w:right="3299" w:firstLine="355"/>
        <w:spacing w:after="0" w:line="261" w:lineRule="auto"/>
        <w:rPr>
          <w:sz w:val="20"/>
          <w:szCs w:val="20"/>
          <w:color w:val="auto"/>
        </w:rPr>
      </w:pPr>
      <w:r>
        <w:rPr>
          <w:rFonts w:ascii="Courier New" w:cs="Courier New" w:eastAsia="Courier New" w:hAnsi="Courier New"/>
          <w:sz w:val="14"/>
          <w:szCs w:val="14"/>
          <w:color w:val="auto"/>
        </w:rPr>
        <w:t>If the Company is unable to obtain the necessary proceeds from the sale of Modex shares, significant reductions in spending and the delay or cancellation of planned activities may be necessary. In such event, the Company intends to implement expense reduction plans in a timely manner to enable the Company to meet its operating cash requirements through December 31, 2001.</w:t>
      </w:r>
    </w:p>
    <w:p>
      <w:pPr>
        <w:spacing w:after="0" w:line="162" w:lineRule="exact"/>
        <w:rPr>
          <w:sz w:val="20"/>
          <w:szCs w:val="20"/>
          <w:color w:val="auto"/>
        </w:rPr>
      </w:pPr>
    </w:p>
    <w:p>
      <w:pPr>
        <w:ind w:left="9" w:right="6139" w:hanging="9"/>
        <w:spacing w:after="0" w:line="478" w:lineRule="auto"/>
        <w:tabs>
          <w:tab w:leader="none" w:pos="36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6"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preparation of the consolidated financial statements in conformity with accounting principles generally accepted in the United States, that requires management to make estimates and assumptions that affect the amounts reported in the consolidated financial statements and accompanying notes. Actual results could differ from those estimates.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8"/>
          </w:cols>
          <w:pgMar w:left="231" w:top="457" w:right="1440" w:bottom="1440" w:gutter="0" w:footer="0" w:header="0"/>
        </w:sectPr>
      </w:pPr>
    </w:p>
    <w:bookmarkStart w:id="79" w:name="page80"/>
    <w:bookmarkEnd w:id="79"/>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5079" w:hanging="9"/>
        <w:spacing w:after="0" w:line="238" w:lineRule="auto"/>
        <w:tabs>
          <w:tab w:leader="none" w:pos="36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CASH EQUIVALENTS AND INVESTMENTS</w:t>
      </w:r>
    </w:p>
    <w:p>
      <w:pPr>
        <w:spacing w:after="0" w:line="175" w:lineRule="exact"/>
        <w:rPr>
          <w:sz w:val="20"/>
          <w:szCs w:val="20"/>
          <w:color w:val="auto"/>
        </w:rPr>
      </w:pPr>
    </w:p>
    <w:p>
      <w:pPr>
        <w:ind w:left="9" w:right="3119" w:firstLine="355"/>
        <w:spacing w:after="0" w:line="262" w:lineRule="auto"/>
        <w:rPr>
          <w:sz w:val="20"/>
          <w:szCs w:val="20"/>
          <w:color w:val="auto"/>
        </w:rPr>
      </w:pPr>
      <w:r>
        <w:rPr>
          <w:rFonts w:ascii="Courier New" w:cs="Courier New" w:eastAsia="Courier New" w:hAnsi="Courier New"/>
          <w:sz w:val="14"/>
          <w:szCs w:val="14"/>
          <w:color w:val="auto"/>
        </w:rPr>
        <w:t>Cash equivalents include funds held in investments with original maturities of three months or less when purchased. The Company's policy regarding selection of investments, pending their use, is to ensure safety, liquidity, and capital preservation while obtaining a reasonable rate of return.</w:t>
      </w:r>
    </w:p>
    <w:p>
      <w:pPr>
        <w:spacing w:after="0" w:line="161"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COMPREHENSIVE INCOME (LOSS)</w:t>
      </w:r>
    </w:p>
    <w:p>
      <w:pPr>
        <w:spacing w:after="0" w:line="174" w:lineRule="exact"/>
        <w:rPr>
          <w:sz w:val="20"/>
          <w:szCs w:val="20"/>
          <w:color w:val="auto"/>
        </w:rPr>
      </w:pPr>
    </w:p>
    <w:p>
      <w:pPr>
        <w:ind w:left="9" w:right="3399" w:firstLine="355"/>
        <w:spacing w:after="0"/>
        <w:rPr>
          <w:sz w:val="20"/>
          <w:szCs w:val="20"/>
          <w:color w:val="auto"/>
        </w:rPr>
      </w:pPr>
      <w:r>
        <w:rPr>
          <w:rFonts w:ascii="Courier New" w:cs="Courier New" w:eastAsia="Courier New" w:hAnsi="Courier New"/>
          <w:sz w:val="15"/>
          <w:szCs w:val="15"/>
          <w:color w:val="auto"/>
        </w:rPr>
        <w:t>Comprehensive income (loss) is comprised of net income (loss) and other comprehensive income (loss). The only component of other comprehensive income (loss) is unrealized gains and losses on our available-for-sale securities. Comprehensive income (loss) has been disclosed in the statement of changes in redeemable common stock and stockholders' Equity.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California,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175"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PATENT AND LICENSE COSTS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At December 31, 2000 and 1999, total costs capitalized were $638,000 and $718,000 and the related accumulated amortization were $9,000 and $9,000, respectively. Patent expense totaled $305,000, $539,000, and $3,000 in 2000, 1999 and 1998, respectively.</w:t>
      </w:r>
    </w:p>
    <w:p>
      <w:pPr>
        <w:spacing w:after="0" w:line="177"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In December 1999 the Company sold its Encapsulated Cell Technology ("ECT") to Neurotech, S.A. for an initial payment of $3,000,000, which was paid in 2000, royalties on future product sales, and a portion of certain Neurotech revenues from third parties in return for the assignment to Neurotech</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8"/>
          </w:cols>
          <w:pgMar w:left="231" w:top="457" w:right="1440" w:bottom="1440" w:gutter="0" w:footer="0" w:header="0"/>
        </w:sectPr>
      </w:pPr>
    </w:p>
    <w:bookmarkStart w:id="80" w:name="page81"/>
    <w:bookmarkEnd w:id="80"/>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In year 2000 the Company received $74,300 representing a portion of revenues received by Neurotech from third parties.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BASED COMPENSATION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and is remeasured during the vesting period. Fair value is determined using methodologies allowable by FAS No. 123. The cost is amortized over the vesting period of each option or the recipient's contractual arrangement, if shorter.</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LONG LIVED ASSETS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StemCells recognizes non-refundable upfront license fees and certain other related fees on a straight-line basis over the development period. Fees associated with substantive at risk, performance milestones are recognized as revenue upon their completion, as defined in the respective agreements.</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8"/>
          </w:cols>
          <w:pgMar w:left="231" w:top="457" w:right="1440" w:bottom="1440" w:gutter="0" w:footer="0" w:header="0"/>
        </w:sectPr>
      </w:pPr>
    </w:p>
    <w:bookmarkStart w:id="81" w:name="page82"/>
    <w:bookmarkEnd w:id="81"/>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5079" w:hanging="9"/>
        <w:spacing w:after="0" w:line="238" w:lineRule="auto"/>
        <w:tabs>
          <w:tab w:leader="none" w:pos="3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RECENT ACCOUNTING PRONOUNCEMENTS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The Company is required to adopt SFAS 133 effective January 1, 2001. Because the Company does we does not hold any derivative instruments and does not engage in hedging activities, management does not believe the adoption of SFAS 133 will have an impact on our financial position or results of operations.</w:t>
      </w:r>
    </w:p>
    <w:p>
      <w:pPr>
        <w:spacing w:after="0" w:line="17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November 2000, the FASB issued Emerging Issues Task Force Issue No. 00-27, "Application of EITF Issue No. 98-5, Accounting for Convertible Securities with Beneficial Conversion Features or Contingently Adjustable Conversion Ratios, to Certain Convertible Instruments" ("EITF 00-27") which is effective retroactively to September 1999 for all such instruments. EITF 00-27 clarifies the accounting for instruments with beneficial conversion features or contingently adjustable conversion ratios. According to the new accounting principle, the beneficial conversion features should be calculated by first allocating the proceeds received from the financing among the convertible instrument and the detachable warrants and then, measuring the beneficial conversion feature between the stated conversion price of the convertible instrument and the effective conversion price based on the allocated proceeds. Previously, the beneficial conversion feature calculation was based on the difference between the stated conversion price of the convertible instrument and the fair value of the Company's stock price on the closing date of the financing. As a result of the new accounting principle, the Company modified the calculation of the beneficial conversion features associated with its 6% cumulative convertible preferred stock.</w:t>
      </w:r>
    </w:p>
    <w:p>
      <w:pPr>
        <w:spacing w:after="0" w:line="18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Company has presented the effect of adopting the new accounting principle as a cumulative effect of a change in accounting principle as allowed for in EITF 00-27. Accordingly, the Company has recognized an additional $216,000 of deemed dividend on preferred stock.</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DEVELOPMENT COSTS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NET LOSS PER SHARE</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Basic and diluted net loss per share has been computed using the weighted-average number of shares of common stock outstanding during the period, less shares subject to repurchase. The Company has excluded outstanding stock options and warrants, and shares subject to repurchase from the calculation of diluted loss per common share because all such securities are anti-dilutive for all applicable periods presented.</w:t>
      </w:r>
    </w:p>
    <w:p>
      <w:pPr>
        <w:spacing w:after="0" w:line="172" w:lineRule="exact"/>
        <w:rPr>
          <w:sz w:val="20"/>
          <w:szCs w:val="20"/>
          <w:color w:val="auto"/>
        </w:rPr>
      </w:pPr>
    </w:p>
    <w:p>
      <w:pPr>
        <w:ind w:left="349" w:hanging="349"/>
        <w:spacing w:after="0"/>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8"/>
          </w:cols>
          <w:pgMar w:left="231" w:top="457" w:right="1440" w:bottom="1440" w:gutter="0" w:footer="0" w:header="0"/>
        </w:sectPr>
      </w:pPr>
    </w:p>
    <w:bookmarkStart w:id="82" w:name="page83"/>
    <w:bookmarkEnd w:id="82"/>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3299" w:hanging="9"/>
        <w:spacing w:after="0" w:line="238" w:lineRule="auto"/>
        <w:tabs>
          <w:tab w:leader="none" w:pos="36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9"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75" w:lineRule="exact"/>
        <w:rPr>
          <w:sz w:val="20"/>
          <w:szCs w:val="20"/>
          <w:color w:val="auto"/>
        </w:rPr>
      </w:pPr>
    </w:p>
    <w:p>
      <w:pPr>
        <w:ind w:left="9" w:right="3479" w:firstLine="355"/>
        <w:spacing w:after="0" w:line="239"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176"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w:t>
      </w:r>
    </w:p>
    <w:p>
      <w:pPr>
        <w:spacing w:after="0" w:line="6"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33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Wind-down expenses totaled $3,327,360 and $6,047,806, for the year ended December 31, 2000 and 1999, respectively. No such expenses were incurred in 1998. These expenses relate to the wind-down of our encapsulated cell technology research and other Rhode Island operations and the transfer of the corporate headquarters to Sunnyvale, California. Expenses for the year 2000, includes an accrual for the estimated lease and facility costs related to the facilities in Rhode Island through 2001. Expenses for the year 1999 also includes an accrual for the estimate of the costs of settlement of a 1989 funding agreement with the Rhode Island Partnership for Science and Technology ("RIPSAT").</w:t>
      </w:r>
    </w:p>
    <w:p>
      <w:pPr>
        <w:spacing w:after="0" w:line="166"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At December 31, 1999, the Company's $1.6 million wind-down reserve included approximately $1.2 million for the RIPSAT settlement and approximately</w:t>
      </w:r>
    </w:p>
    <w:p>
      <w:pPr>
        <w:ind w:left="9" w:right="3119"/>
        <w:spacing w:after="0"/>
        <w:rPr>
          <w:sz w:val="20"/>
          <w:szCs w:val="20"/>
          <w:color w:val="auto"/>
        </w:rPr>
      </w:pPr>
      <w:r>
        <w:rPr>
          <w:rFonts w:ascii="Courier New" w:cs="Courier New" w:eastAsia="Courier New" w:hAnsi="Courier New"/>
          <w:sz w:val="15"/>
          <w:szCs w:val="15"/>
          <w:color w:val="auto"/>
        </w:rPr>
        <w:t>$0.4 million for Rhode Island facility for the estimated lease payments and operating costs of the Rhode Island facilities through an expected disposal date of June 30, 2000. In 2000 the Company settled with RIPSAT, paid $1.2 million and paid 0.4 million related to Rhode Island facilities. The Company did not sublet the Rhode Island facilities in 2000 and therefore made a change in estimate to accrue additional expenses of $3.3 million to cover operating lease payments, utilities, taxes, insurance, maintenance, interest and other non-employee expenses through 2001. At December 31, 2000 the remaining wind-down reserve totaled $1.7 million.</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8"/>
          </w:cols>
          <w:pgMar w:left="231" w:top="457" w:right="1440" w:bottom="1440" w:gutter="0" w:footer="0" w:header="0"/>
        </w:sectPr>
      </w:pPr>
    </w:p>
    <w:bookmarkStart w:id="83" w:name="page84"/>
    <w:bookmarkEnd w:id="83"/>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3299" w:hanging="9"/>
        <w:spacing w:after="0" w:line="238" w:lineRule="auto"/>
        <w:tabs>
          <w:tab w:leader="none" w:pos="36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9" w:right="3399" w:firstLine="355"/>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wind-down expenses, including the amounts and periods of recognition,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 1999</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2000</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Employee severance costs....................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$1,554,000</w:t>
            </w:r>
          </w:p>
        </w:tc>
        <w:tc>
          <w:tcPr>
            <w:tcW w:w="164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Impairment losses(1):</w:t>
            </w: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Fixed assets..............................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800,000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ECT patents...............................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1,060,000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Rhode Island facilities carrying costs(2):</w:t>
            </w: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Corporate headquarters....................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702,000</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$3,327,000</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PILOT MANUFACTURING PLANT.................</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562,000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1,264,000</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3,327,000</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EMPLOYEE OUTPLACEMENT.......................</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RIPSAT settlement(3)........................</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1,172,000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on sale of assets(4):</w:t>
            </w: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Fixed assets..............................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318,000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ECT patents...............................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180,000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498,000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Write-down of pilot plant(5)................</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300,000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$6,048,000</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$3,327,000</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9" w:lineRule="auto"/>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176" w:lineRule="exact"/>
        <w:rPr>
          <w:rFonts w:ascii="Courier New" w:cs="Courier New" w:eastAsia="Courier New" w:hAnsi="Courier New"/>
          <w:sz w:val="15"/>
          <w:szCs w:val="15"/>
          <w:color w:val="auto"/>
        </w:rPr>
      </w:pPr>
    </w:p>
    <w:p>
      <w:pPr>
        <w:ind w:left="349" w:right="3579" w:hanging="349"/>
        <w:spacing w:after="0" w:line="262" w:lineRule="auto"/>
        <w:tabs>
          <w:tab w:leader="none" w:pos="34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Facilities carrying costs include operating lease payments, utilities, property taxes, insurance, maintenance, interest and other non-employee related expenses necessary to maintaining these facilities through the expected date of disposition (December 31, 2001)</w:t>
      </w:r>
    </w:p>
    <w:p>
      <w:pPr>
        <w:spacing w:after="0" w:line="160" w:lineRule="exact"/>
        <w:rPr>
          <w:rFonts w:ascii="Courier New" w:cs="Courier New" w:eastAsia="Courier New" w:hAnsi="Courier New"/>
          <w:sz w:val="14"/>
          <w:szCs w:val="14"/>
          <w:color w:val="auto"/>
        </w:rPr>
      </w:pPr>
    </w:p>
    <w:p>
      <w:pPr>
        <w:ind w:left="349" w:right="3219" w:hanging="349"/>
        <w:spacing w:after="0"/>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177"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175" w:lineRule="exact"/>
        <w:rPr>
          <w:rFonts w:ascii="Courier New" w:cs="Courier New" w:eastAsia="Courier New" w:hAnsi="Courier New"/>
          <w:sz w:val="15"/>
          <w:szCs w:val="15"/>
          <w:color w:val="auto"/>
        </w:rPr>
      </w:pPr>
    </w:p>
    <w:p>
      <w:pPr>
        <w:ind w:left="349" w:right="3659" w:hanging="349"/>
        <w:spacing w:after="0" w:line="238" w:lineRule="auto"/>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write-down of the pilot plant was based on an independent property appraisal.</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8"/>
          </w:cols>
          <w:pgMar w:left="231" w:top="457" w:right="1440" w:bottom="1440" w:gutter="0" w:footer="0" w:header="0"/>
        </w:sectPr>
      </w:pPr>
    </w:p>
    <w:bookmarkStart w:id="84" w:name="page85"/>
    <w:bookmarkEnd w:id="84"/>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3299" w:hanging="9"/>
        <w:spacing w:after="0" w:line="238" w:lineRule="auto"/>
        <w:tabs>
          <w:tab w:leader="none" w:pos="36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held for sale at December 31, 2000 and 1999, consisted of</w:t>
      </w:r>
    </w:p>
    <w:p>
      <w:pPr>
        <w:spacing w:after="0" w:line="3" w:lineRule="exact"/>
        <w:rPr>
          <w:rFonts w:ascii="Courier New" w:cs="Courier New" w:eastAsia="Courier New" w:hAnsi="Courier New"/>
          <w:sz w:val="15"/>
          <w:szCs w:val="15"/>
          <w:color w:val="auto"/>
        </w:rPr>
      </w:pPr>
    </w:p>
    <w:p>
      <w:pPr>
        <w:ind w:left="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 million relating to the Company's pilot plant facility located in Lincoln, Rhode Island. The company suspended depreciation of these assets in 1999. The balance reflected the $300,000 write-down included as part of the additional wind-down expenses recognized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17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In September 1997, a merger of a wholly owned subsidiary of the company and StemCells California, Inc. was completed. As part of the acquisition of StemCells, Richard M. Rose, M.D., became President, Chief Executive Officer and director of the Company and Dr. Irving Weissman became a director of the Company. 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w:t>
      </w:r>
    </w:p>
    <w:p>
      <w:pPr>
        <w:spacing w:after="0" w:line="174" w:lineRule="exact"/>
        <w:rPr>
          <w:sz w:val="20"/>
          <w:szCs w:val="20"/>
          <w:color w:val="auto"/>
        </w:rPr>
      </w:pPr>
    </w:p>
    <w:p>
      <w:pPr>
        <w:ind w:left="9" w:right="3119"/>
        <w:spacing w:after="0" w:line="264" w:lineRule="auto"/>
        <w:rPr>
          <w:sz w:val="20"/>
          <w:szCs w:val="20"/>
          <w:color w:val="auto"/>
        </w:rPr>
      </w:pPr>
      <w:r>
        <w:rPr>
          <w:rFonts w:ascii="Courier New" w:cs="Courier New" w:eastAsia="Courier New" w:hAnsi="Courier New"/>
          <w:sz w:val="14"/>
          <w:szCs w:val="14"/>
          <w:color w:val="auto"/>
        </w:rPr>
        <w:t>Dr. Anderson, the Company recorded deferred compensation of $1,750,000, the fair value of such options at the date of grant, which will be amortized over an eight-year period. The fair value was determined using the Black-Scholes method.</w:t>
      </w:r>
    </w:p>
    <w:p>
      <w:pPr>
        <w:spacing w:after="0" w:line="15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$1,647,000 as compensation expense for the fair market value of the vested portion of such options in an amount determined using the Black-Scholes method. The deferred compensation expense associated with the unvested portion of the grants was determined to be approximately $1,338,000. As part of the revision of the options, Drs. Weissman and Gage relinquished all rights under an agreement. These individuals had the right to license the non-brain stem cell technology in exchange for a payment to the Company equal to all prior funding for such research plus royalty payments. We plan to revalue the options using the Black-Scholes method on a quarterly basis and recognize additional compensation expense accordingly.</w:t>
      </w:r>
    </w:p>
    <w:p>
      <w:pPr>
        <w:spacing w:after="0" w:line="18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8"/>
          </w:cols>
          <w:pgMar w:left="231" w:top="457" w:right="1440" w:bottom="1440" w:gutter="0" w:footer="0" w:header="0"/>
        </w:sectPr>
      </w:pPr>
    </w:p>
    <w:bookmarkStart w:id="85" w:name="page86"/>
    <w:bookmarkEnd w:id="85"/>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4" w:lineRule="exact"/>
        <w:rPr>
          <w:sz w:val="20"/>
          <w:szCs w:val="20"/>
          <w:color w:val="auto"/>
        </w:rPr>
      </w:pPr>
    </w:p>
    <w:p>
      <w:pPr>
        <w:ind w:left="9" w:right="3579" w:firstLine="355"/>
        <w:spacing w:after="0" w:line="239"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w:t>
      </w:r>
    </w:p>
    <w:p>
      <w:pPr>
        <w:spacing w:after="0" w:line="175"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w:t>
      </w:r>
    </w:p>
    <w:p>
      <w:pPr>
        <w:spacing w:after="0" w:line="176" w:lineRule="exact"/>
        <w:rPr>
          <w:sz w:val="20"/>
          <w:szCs w:val="20"/>
          <w:color w:val="auto"/>
        </w:rPr>
      </w:pPr>
    </w:p>
    <w:p>
      <w:pPr>
        <w:ind w:left="9" w:right="3759" w:firstLine="355"/>
        <w:spacing w:after="0" w:line="258" w:lineRule="auto"/>
        <w:rPr>
          <w:sz w:val="20"/>
          <w:szCs w:val="20"/>
          <w:color w:val="auto"/>
        </w:rPr>
      </w:pPr>
      <w:r>
        <w:rPr>
          <w:rFonts w:ascii="Courier New" w:cs="Courier New" w:eastAsia="Courier New" w:hAnsi="Courier New"/>
          <w:sz w:val="14"/>
          <w:szCs w:val="14"/>
          <w:color w:val="auto"/>
        </w:rPr>
        <w:t>At December 31, 2000 the Company owned 126,193 shares of Modex. Modex completed an initial public offering of shares on the Swiss Exchange on</w:t>
      </w:r>
    </w:p>
    <w:p>
      <w:pPr>
        <w:ind w:left="9" w:right="3219"/>
        <w:spacing w:after="0" w:line="239" w:lineRule="auto"/>
        <w:rPr>
          <w:sz w:val="20"/>
          <w:szCs w:val="20"/>
          <w:color w:val="auto"/>
        </w:rPr>
      </w:pPr>
      <w:r>
        <w:rPr>
          <w:rFonts w:ascii="Courier New" w:cs="Courier New" w:eastAsia="Courier New" w:hAnsi="Courier New"/>
          <w:sz w:val="15"/>
          <w:szCs w:val="15"/>
          <w:color w:val="auto"/>
        </w:rPr>
        <w:t>June 23, 2000. Accordingly, with an established market value, the investment is recorded as available-for-sale at a fair market value of $16,356,334 as at December 31, 2000. The unrealized gain was reported as other comprehensive income in the statement of stockholders' equity.</w:t>
      </w:r>
    </w:p>
    <w:p>
      <w:pPr>
        <w:spacing w:after="0" w:line="176" w:lineRule="exact"/>
        <w:rPr>
          <w:sz w:val="20"/>
          <w:szCs w:val="20"/>
          <w:color w:val="auto"/>
        </w:rPr>
      </w:pPr>
    </w:p>
    <w:p>
      <w:pPr>
        <w:jc w:val="both"/>
        <w:ind w:left="9" w:right="3119" w:firstLine="355"/>
        <w:spacing w:after="0"/>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2" w:lineRule="exact"/>
        <w:rPr>
          <w:sz w:val="20"/>
          <w:szCs w:val="20"/>
          <w:color w:val="auto"/>
        </w:rPr>
      </w:pPr>
    </w:p>
    <w:p>
      <w:pPr>
        <w:ind w:left="349" w:hanging="349"/>
        <w:spacing w:after="0"/>
        <w:tabs>
          <w:tab w:leader="none" w:pos="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2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2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703,095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665,890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1,766,448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1,691,136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188,736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219,260</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2,658,279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2,576,286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(1,207,218)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(828,401)</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$1,451,061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$1,747,885</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9" w:right="3219" w:firstLine="355"/>
        <w:spacing w:after="0" w:line="238" w:lineRule="auto"/>
        <w:rPr>
          <w:sz w:val="20"/>
          <w:szCs w:val="20"/>
          <w:color w:val="auto"/>
        </w:rPr>
      </w:pPr>
      <w:r>
        <w:rPr>
          <w:rFonts w:ascii="Courier New" w:cs="Courier New" w:eastAsia="Courier New" w:hAnsi="Courier New"/>
          <w:sz w:val="15"/>
          <w:szCs w:val="15"/>
          <w:color w:val="auto"/>
        </w:rPr>
        <w:t>Depreciation expense was $451,000, $1,436,000, and $1,720,000 for the years ending December 31, 2000, 1999 and 1998, respectively.</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part of restructuring our operations, sale of our encapsulated cell technology ("ECT"), and relocation of our corporate headquarters to Sunnyvale, California, we identified fixed assets associated with the ECT or otherwise no longer needed. In December of 1999, we disposed of these excess fixed assets, realizing proceeds of approximately $746,000. These assets had a net book value of approximately $1,063,000 after a write-down of 800,000, which was based on an estimate of expected sale proceeds.</w:t>
      </w:r>
    </w:p>
    <w:p>
      <w:pPr>
        <w:spacing w:after="0" w:line="176"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Certain property, plant and equipment have been acquired under capital lease obligations. These assets totaled $5,827,000 at December 31, 2000 and 1999, respectively, with related accumulated amortization of $2,747,000 at December 31, 2000 and 1999, respectively. As a result of the Company's</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8"/>
          </w:cols>
          <w:pgMar w:left="231" w:top="457" w:right="1440" w:bottom="1440" w:gutter="0" w:footer="0" w:header="0"/>
        </w:sectPr>
      </w:pPr>
    </w:p>
    <w:bookmarkStart w:id="86" w:name="page87"/>
    <w:bookmarkEnd w:id="86"/>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3"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decision to exit ECT and relocate to Sunnyvale, California, this property has been classified as held for sale.</w:t>
      </w:r>
    </w:p>
    <w:p>
      <w:pPr>
        <w:spacing w:after="0" w:line="172" w:lineRule="exact"/>
        <w:rPr>
          <w:sz w:val="20"/>
          <w:szCs w:val="20"/>
          <w:color w:val="auto"/>
        </w:rPr>
      </w:pPr>
    </w:p>
    <w:p>
      <w:pPr>
        <w:ind w:left="349" w:hanging="349"/>
        <w:spacing w:after="0"/>
        <w:tabs>
          <w:tab w:leader="none" w:pos="34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629,203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708,823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License agreements,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669,000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282,750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Deposit--other.......................................</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16,321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109,388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117,195</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2,173,912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$1,858,768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9" w:right="3299" w:firstLine="355"/>
        <w:spacing w:after="0" w:line="238" w:lineRule="auto"/>
        <w:rPr>
          <w:sz w:val="20"/>
          <w:szCs w:val="20"/>
          <w:color w:val="auto"/>
        </w:rPr>
      </w:pPr>
      <w:r>
        <w:rPr>
          <w:rFonts w:ascii="Courier New" w:cs="Courier New" w:eastAsia="Courier New" w:hAnsi="Courier New"/>
          <w:sz w:val="15"/>
          <w:szCs w:val="15"/>
          <w:color w:val="auto"/>
        </w:rPr>
        <w:t>At December 31, 2000 and 1999, accumulated amortization was $1,140,000 and $857,000, respectively, for patents and license agreements.</w:t>
      </w:r>
    </w:p>
    <w:p>
      <w:pPr>
        <w:spacing w:after="0" w:line="172" w:lineRule="exact"/>
        <w:rPr>
          <w:sz w:val="20"/>
          <w:szCs w:val="20"/>
          <w:color w:val="auto"/>
        </w:rPr>
      </w:pPr>
    </w:p>
    <w:p>
      <w:pPr>
        <w:ind w:left="349" w:hanging="349"/>
        <w:spacing w:after="0"/>
        <w:tabs>
          <w:tab w:leader="none" w:pos="34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0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External services.......................................</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$219,051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$ 97,439</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Employee compensation...................................</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109,007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306,342</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Collaborative research..................................</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222,140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509,300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344,625</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$837,358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$970,546</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w:t>
      </w:r>
    </w:p>
    <w:p>
      <w:pPr>
        <w:spacing w:after="0" w:line="16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8"/>
          </w:cols>
          <w:pgMar w:left="231" w:top="457" w:right="1440" w:bottom="1440" w:gutter="0" w:footer="0" w:header="0"/>
        </w:sectPr>
      </w:pPr>
    </w:p>
    <w:bookmarkStart w:id="87" w:name="page88"/>
    <w:bookmarkEnd w:id="87"/>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Funding Agreement dated as of June 22, 1989. On execution and delivery of this Agreement, IRBA agreed to return to the Company the full amount of the Company's debt serve reserve ("Reserve Funds") of approximately $610,000 of principal and interest, relating to the bonds the Company has with IRBA and RIIFC. In order to avoid the loss of interest on the Reserve Funds due to early termination of certain investments, the parties agreed that the Company would render a net payment to RIPSAT in the amount of approximately $562,000.</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Company entered into a fifteen-year lease for a laboratory facility in connection with a sale and leaseback arrangement in 1997. The lease has a rent escalation clause and accordingly, the Company is recognizing rent expense on a straight line basis. At December 31, 2000, the Company has $705,746 in deferred rent expense.</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 The new facility includes vivarium space, laboratories, offices, and a GMP (Good Manufacturing Practices) suite. GMP facilities can be used to manufacture materials for clinical trials. The rent will average approximately $3.15 million per year over the term of the lease.</w:t>
      </w:r>
    </w:p>
    <w:p>
      <w:pPr>
        <w:spacing w:after="0" w:line="175" w:lineRule="exact"/>
        <w:rPr>
          <w:sz w:val="20"/>
          <w:szCs w:val="20"/>
          <w:color w:val="auto"/>
        </w:rPr>
      </w:pPr>
    </w:p>
    <w:p>
      <w:pPr>
        <w:ind w:left="9" w:right="3299" w:firstLine="355"/>
        <w:spacing w:after="0" w:line="238" w:lineRule="auto"/>
        <w:rPr>
          <w:sz w:val="20"/>
          <w:szCs w:val="20"/>
          <w:color w:val="auto"/>
        </w:rPr>
      </w:pPr>
      <w:r>
        <w:rPr>
          <w:rFonts w:ascii="Courier New" w:cs="Courier New" w:eastAsia="Courier New" w:hAnsi="Courier New"/>
          <w:sz w:val="15"/>
          <w:szCs w:val="15"/>
          <w:color w:val="auto"/>
        </w:rPr>
        <w:t>As of December 31, 2000, future minimum lease payments under operating and capital leases and principal payments on equipment loans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CAPITAL</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OPERATING</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SUBLEASE</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LEASES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LEASES</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589,217</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$ 3,584,061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295,854</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519,719</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2,392,988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400,658</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436,909</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4,568,274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395,676</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425,713</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4,677,197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416,507</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2005....................................</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412,587</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4,789,388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437,338</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2,311,577</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8,797,417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130,761</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Total minimum lease payments............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4,695,722</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$28,809,325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$2,076,794</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Less amounts representing interest......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1,758,639</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payments..............................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2,937,083</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332,083</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current maturities....................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$2,605,000</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345" w:lineRule="exact"/>
        <w:rPr>
          <w:sz w:val="20"/>
          <w:szCs w:val="20"/>
          <w:color w:val="auto"/>
        </w:rPr>
      </w:pPr>
    </w:p>
    <w:p>
      <w:pPr>
        <w:ind w:left="9" w:right="3659" w:firstLine="355"/>
        <w:spacing w:after="0" w:line="238" w:lineRule="auto"/>
        <w:rPr>
          <w:sz w:val="20"/>
          <w:szCs w:val="20"/>
          <w:color w:val="auto"/>
        </w:rPr>
      </w:pPr>
      <w:r>
        <w:rPr>
          <w:rFonts w:ascii="Courier New" w:cs="Courier New" w:eastAsia="Courier New" w:hAnsi="Courier New"/>
          <w:sz w:val="15"/>
          <w:szCs w:val="15"/>
          <w:color w:val="auto"/>
        </w:rPr>
        <w:t>Rent expense for the years ended December 31, 2000, 1999 and 1998, was $1,111,000, $947,000 and $1,052,000, respectively.</w:t>
      </w:r>
    </w:p>
    <w:p>
      <w:pPr>
        <w:spacing w:after="0" w:line="175" w:lineRule="exact"/>
        <w:rPr>
          <w:sz w:val="20"/>
          <w:szCs w:val="20"/>
          <w:color w:val="auto"/>
        </w:rPr>
      </w:pPr>
    </w:p>
    <w:p>
      <w:pPr>
        <w:ind w:left="9" w:right="8019" w:hanging="9"/>
        <w:spacing w:after="0" w:line="516" w:lineRule="auto"/>
        <w:tabs>
          <w:tab w:leader="none" w:pos="453"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SALE OF COMMON STOCK</w:t>
      </w:r>
    </w:p>
    <w:p>
      <w:pPr>
        <w:spacing w:after="0" w:line="1"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On August 3, 2000, the Company completed a $4 million common stock financing transaction with Millennium Partners, LP (the "Fund"). StemCells received $3 million of the purchase price at the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8"/>
          </w:cols>
          <w:pgMar w:left="231" w:top="457" w:right="1440" w:bottom="1440" w:gutter="0" w:footer="0" w:header="0"/>
        </w:sectPr>
      </w:pPr>
    </w:p>
    <w:bookmarkStart w:id="88" w:name="page89"/>
    <w:bookmarkEnd w:id="88"/>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closing and received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 received a five-year warrant to purchase up to 101,587 shares of common stock at $4.725 per share. This warrant is callable at any time by StemCells at</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$7.875 per underlying share. The calculated value of this callable warrant using the Black-Scholes method is $376,888, which was treated as a credit to paid in capital in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177" w:lineRule="exact"/>
        <w:rPr>
          <w:sz w:val="20"/>
          <w:szCs w:val="20"/>
          <w:color w:val="auto"/>
        </w:rPr>
      </w:pPr>
    </w:p>
    <w:p>
      <w:pPr>
        <w:jc w:val="both"/>
        <w:ind w:left="9" w:right="3119" w:firstLine="355"/>
        <w:spacing w:after="0" w:line="258"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w:t>
      </w:r>
    </w:p>
    <w:p>
      <w:pPr>
        <w:spacing w:after="0" w:line="1"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paid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w:t>
      </w:r>
    </w:p>
    <w:p>
      <w:pPr>
        <w:spacing w:after="0" w:line="2"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w:t>
      </w:r>
    </w:p>
    <w:p>
      <w:pPr>
        <w:spacing w:after="0" w:line="6"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$10.05 per underlying share. The calculated value of this callable warrant using the Black-Scholes method is $139,897, which the Company accounted for as a credit to paid in capital.</w:t>
      </w:r>
    </w:p>
    <w:p>
      <w:pPr>
        <w:spacing w:after="0" w:line="175"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8"/>
          </w:cols>
          <w:pgMar w:left="231" w:top="457" w:right="1440" w:bottom="1440" w:gutter="0" w:footer="0" w:header="0"/>
        </w:sectPr>
      </w:pPr>
    </w:p>
    <w:bookmarkStart w:id="89" w:name="page90"/>
    <w:bookmarkEnd w:id="89"/>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warrant also limits the number of shares that can be beneficially owned by the Fund to 9.99% of the total number of outstanding shares of Common Stock.</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REDEEMABLE COMMON STOCK</w:t>
      </w:r>
    </w:p>
    <w:p>
      <w:pPr>
        <w:spacing w:after="0" w:line="174" w:lineRule="exact"/>
        <w:rPr>
          <w:sz w:val="20"/>
          <w:szCs w:val="20"/>
          <w:color w:val="auto"/>
        </w:rPr>
      </w:pPr>
    </w:p>
    <w:p>
      <w:pPr>
        <w:ind w:left="9" w:right="3299" w:firstLine="355"/>
        <w:spacing w:after="0" w:line="258" w:lineRule="auto"/>
        <w:rPr>
          <w:sz w:val="20"/>
          <w:szCs w:val="20"/>
          <w:color w:val="auto"/>
        </w:rPr>
      </w:pPr>
      <w:r>
        <w:rPr>
          <w:rFonts w:ascii="Courier New" w:cs="Courier New" w:eastAsia="Courier New" w:hAnsi="Courier New"/>
          <w:sz w:val="14"/>
          <w:szCs w:val="14"/>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studies by more than</w:t>
      </w:r>
    </w:p>
    <w:p>
      <w:pPr>
        <w:spacing w:after="0" w:line="2"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 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currently recorded as Redeemable Common Stock ($5,248,000) to Stockholders' Equity in March 2000. The Company and Genentech also agreed that all of the agreements between them were terminated and that neither had any claim to the intellectual property of the other.</w:t>
      </w:r>
    </w:p>
    <w:p>
      <w:pPr>
        <w:spacing w:after="0" w:line="16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ISSUED FOR TECHNOLOGY LICENSES</w:t>
      </w:r>
    </w:p>
    <w:p>
      <w:pPr>
        <w:spacing w:after="0" w:line="174" w:lineRule="exact"/>
        <w:rPr>
          <w:sz w:val="20"/>
          <w:szCs w:val="20"/>
          <w:color w:val="auto"/>
        </w:rPr>
      </w:pPr>
    </w:p>
    <w:p>
      <w:pPr>
        <w:ind w:left="349"/>
        <w:spacing w:after="0"/>
        <w:rPr>
          <w:sz w:val="20"/>
          <w:szCs w:val="20"/>
          <w:color w:val="auto"/>
        </w:rPr>
      </w:pPr>
      <w:r>
        <w:rPr>
          <w:rFonts w:ascii="Courier New" w:cs="Courier New" w:eastAsia="Courier New" w:hAnsi="Courier New"/>
          <w:sz w:val="14"/>
          <w:szCs w:val="14"/>
          <w:color w:val="auto"/>
        </w:rPr>
        <w:t>Under a 1997 License Agreement with NeuroSpheres, Ltd., the Company obtained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an exclusive patent license in the field of transplantation. The Company entered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into an additional license agreement with NeuroSpheres as of October 31, 2000,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under which the Company obtained an exclusive license in the field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non-transplant uses, such as drug discovery and drug testing, so that together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licenses are exclusive for all uses of the technology. The Company made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up-front payments to NeuroSpheres of 65,000 shares of its common stock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$50,000, and will make additional cash payments when milestones are achieved in</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non-transplant field, or in any products employing NeuroSpheres patents for</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generating cells of the blood and immune system from neural stem cells.</w:t>
      </w:r>
    </w:p>
    <w:p>
      <w:pPr>
        <w:spacing w:after="0" w:line="17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Company also entered into license agreements with the California Institute of Technology and issued 12,800 shares of common stock upon execution of the license agreements. The Company must pay an additional $10,000 upon the issuance of the patent licensed under the relevant agreement</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 ISSUED</w:t>
      </w:r>
    </w:p>
    <w:p>
      <w:pPr>
        <w:spacing w:after="0" w:line="174" w:lineRule="exact"/>
        <w:rPr>
          <w:sz w:val="20"/>
          <w:szCs w:val="20"/>
          <w:color w:val="auto"/>
        </w:rPr>
      </w:pPr>
    </w:p>
    <w:p>
      <w:pPr>
        <w:ind w:left="9" w:right="3119" w:firstLine="355"/>
        <w:spacing w:after="0" w:line="261" w:lineRule="auto"/>
        <w:rPr>
          <w:sz w:val="20"/>
          <w:szCs w:val="20"/>
          <w:color w:val="auto"/>
        </w:rPr>
      </w:pPr>
      <w:r>
        <w:rPr>
          <w:rFonts w:ascii="Courier New" w:cs="Courier New" w:eastAsia="Courier New" w:hAnsi="Courier New"/>
          <w:sz w:val="14"/>
          <w:szCs w:val="14"/>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5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8"/>
          </w:cols>
          <w:pgMar w:left="231" w:top="457" w:right="1440" w:bottom="1440" w:gutter="0" w:footer="0" w:header="0"/>
        </w:sectPr>
      </w:pPr>
    </w:p>
    <w:bookmarkStart w:id="90" w:name="page91"/>
    <w:bookmarkEnd w:id="90"/>
    <w:p>
      <w:pPr>
        <w:jc w:val="center"/>
        <w:ind w:right="3451"/>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35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SALE OF 6% CUMULATIVE CONVERTIBLE PREFERRED STOCK</w:t>
      </w:r>
    </w:p>
    <w:p>
      <w:pPr>
        <w:spacing w:after="0" w:line="174" w:lineRule="exact"/>
        <w:rPr>
          <w:sz w:val="20"/>
          <w:szCs w:val="20"/>
          <w:color w:val="auto"/>
        </w:rPr>
      </w:pPr>
    </w:p>
    <w:p>
      <w:pPr>
        <w:ind w:left="9" w:right="3360" w:firstLine="355"/>
        <w:spacing w:after="0"/>
        <w:rPr>
          <w:sz w:val="20"/>
          <w:szCs w:val="20"/>
          <w:color w:val="auto"/>
        </w:rPr>
      </w:pPr>
      <w:r>
        <w:rPr>
          <w:rFonts w:ascii="Courier New" w:cs="Courier New" w:eastAsia="Courier New" w:hAnsi="Courier New"/>
          <w:sz w:val="15"/>
          <w:szCs w:val="15"/>
          <w:color w:val="auto"/>
        </w:rPr>
        <w:t>On April 13, 2000 the Company issued 1,500 shares of 6% cumulative convertible preferred stock plus a warrant for 75,000 shares of our common stock to two members of its Board of Directors for $1.500,000 on terms more favorable to the Company than it was then able to obtain from outside investors. The shares are convertible at the option of the holders into common stock at $3.77 per share (based on the face value of the preferred shares). The conversion price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4" w:lineRule="exact"/>
        <w:rPr>
          <w:sz w:val="20"/>
          <w:szCs w:val="20"/>
          <w:color w:val="auto"/>
        </w:rPr>
      </w:pPr>
    </w:p>
    <w:p>
      <w:pPr>
        <w:ind w:left="9" w:right="3360" w:firstLine="355"/>
        <w:spacing w:after="0"/>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2000, the Company had reserved 3,828,371 shares of common stock for the exercise of stock options.</w:t>
      </w:r>
    </w:p>
    <w:p>
      <w:pPr>
        <w:spacing w:after="0" w:line="178" w:lineRule="exact"/>
        <w:rPr>
          <w:sz w:val="20"/>
          <w:szCs w:val="20"/>
          <w:color w:val="auto"/>
        </w:rPr>
      </w:pPr>
    </w:p>
    <w:p>
      <w:pPr>
        <w:ind w:left="9" w:right="3640" w:firstLine="355"/>
        <w:spacing w:after="0" w:line="239"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right"/>
              <w:ind w:right="1026"/>
              <w:spacing w:after="0"/>
              <w:rPr>
                <w:sz w:val="20"/>
                <w:szCs w:val="20"/>
                <w:color w:val="auto"/>
              </w:rPr>
            </w:pPr>
            <w:r>
              <w:rPr>
                <w:rFonts w:ascii="Courier New" w:cs="Courier New" w:eastAsia="Courier New" w:hAnsi="Courier New"/>
                <w:sz w:val="15"/>
                <w:szCs w:val="15"/>
                <w:color w:val="auto"/>
                <w:w w:val="94"/>
              </w:rPr>
              <w:t>2000</w:t>
            </w:r>
          </w:p>
        </w:tc>
        <w:tc>
          <w:tcPr>
            <w:tcW w:w="1060" w:type="dxa"/>
            <w:vAlign w:val="bottom"/>
          </w:tcPr>
          <w:p>
            <w:pPr>
              <w:spacing w:after="0"/>
              <w:rPr>
                <w:sz w:val="14"/>
                <w:szCs w:val="14"/>
                <w:color w:val="auto"/>
              </w:rPr>
            </w:pPr>
          </w:p>
        </w:tc>
        <w:tc>
          <w:tcPr>
            <w:tcW w:w="152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14"/>
                <w:szCs w:val="14"/>
                <w:color w:val="auto"/>
              </w:rPr>
            </w:pP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w w:val="94"/>
              </w:rPr>
              <w:t>1998</w:t>
            </w:r>
          </w:p>
        </w:tc>
      </w:tr>
      <w:tr>
        <w:trPr>
          <w:trHeight w:val="171"/>
        </w:trPr>
        <w:tc>
          <w:tcPr>
            <w:tcW w:w="2840" w:type="dxa"/>
            <w:vAlign w:val="bottom"/>
          </w:tcPr>
          <w:p>
            <w:pPr>
              <w:spacing w:after="0"/>
              <w:rPr>
                <w:sz w:val="14"/>
                <w:szCs w:val="14"/>
                <w:color w:val="auto"/>
              </w:rPr>
            </w:pPr>
          </w:p>
        </w:tc>
        <w:tc>
          <w:tcPr>
            <w:tcW w:w="25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WEIGHTED</w:t>
            </w:r>
          </w:p>
        </w:tc>
        <w:tc>
          <w:tcPr>
            <w:tcW w:w="106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AVERAGE</w:t>
            </w:r>
          </w:p>
        </w:tc>
        <w:tc>
          <w:tcPr>
            <w:tcW w:w="106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OPTIONS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EXERCISE PRICE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OPTIONS</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EXERCISE PRICE</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939,335</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$2.65</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1,654,126</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2,446,573</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$7.48</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2,485,090</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4.08</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536,078</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1,174,118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1.70</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(540,927)</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(604,362)</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(166,532)</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(646,507)</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7.08</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2,716,966</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4.32</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939,335</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1,654,126</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$3.62</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731,523</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$4.01</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594,216</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$3.44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1,108,936</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$4.33</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360" w:firstLine="355"/>
        <w:spacing w:after="0"/>
        <w:rPr>
          <w:sz w:val="20"/>
          <w:szCs w:val="20"/>
          <w:color w:val="auto"/>
        </w:rPr>
      </w:pPr>
      <w:r>
        <w:rPr>
          <w:rFonts w:ascii="Courier New" w:cs="Courier New" w:eastAsia="Courier New" w:hAnsi="Courier New"/>
          <w:sz w:val="15"/>
          <w:szCs w:val="15"/>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96,750 of these options vest and become exercisable only upon achievement of specified milestones, and the remaining 78,210 options vest over three years from the date of grant. Additionally, the Company adopted the 1997 StemCells, Inc. StemCells California Research Stock Option Plan (the StemCells California Research Plan) whereby an additional 2,000,000 shares of Common Stock have</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469"/>
          </w:cols>
          <w:pgMar w:left="231" w:top="457" w:right="1199" w:bottom="1440" w:gutter="0" w:footer="0" w:header="0"/>
        </w:sectPr>
      </w:pPr>
    </w:p>
    <w:bookmarkStart w:id="91" w:name="page92"/>
    <w:bookmarkEnd w:id="91"/>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were exercisable immediately, 1,031,000 of these options vest and become exercisable only upon achievement of specified milestones and the remaining 469,000 options vest over eight years. For the year 2000 the options have been incorporated into the number of options granted so as to be reflected in the total of options outstanding as of December 31, 2000</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FAS 123 DISCLOSURES</w:t>
      </w:r>
    </w:p>
    <w:p>
      <w:pPr>
        <w:spacing w:after="0" w:line="174" w:lineRule="exact"/>
        <w:rPr>
          <w:sz w:val="20"/>
          <w:szCs w:val="20"/>
          <w:color w:val="auto"/>
        </w:rPr>
      </w:pPr>
    </w:p>
    <w:p>
      <w:pPr>
        <w:ind w:left="9" w:right="3219" w:firstLine="355"/>
        <w:spacing w:after="0" w:line="262" w:lineRule="auto"/>
        <w:rPr>
          <w:sz w:val="20"/>
          <w:szCs w:val="20"/>
          <w:color w:val="auto"/>
        </w:rPr>
      </w:pPr>
      <w:r>
        <w:rPr>
          <w:rFonts w:ascii="Courier New" w:cs="Courier New" w:eastAsia="Courier New" w:hAnsi="Courier New"/>
          <w:sz w:val="14"/>
          <w:szCs w:val="14"/>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61" w:lineRule="exact"/>
        <w:rPr>
          <w:sz w:val="20"/>
          <w:szCs w:val="20"/>
          <w:color w:val="auto"/>
        </w:rPr>
      </w:pPr>
    </w:p>
    <w:p>
      <w:pPr>
        <w:ind w:left="9" w:right="3479" w:firstLine="355"/>
        <w:spacing w:after="0" w:line="271"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2000:</w:t>
      </w:r>
    </w:p>
    <w:p>
      <w:pPr>
        <w:spacing w:after="0" w:line="200" w:lineRule="exact"/>
        <w:rPr>
          <w:sz w:val="20"/>
          <w:szCs w:val="20"/>
          <w:color w:val="auto"/>
        </w:rPr>
      </w:pPr>
    </w:p>
    <w:p>
      <w:pPr>
        <w:spacing w:after="0" w:line="29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980" w:type="dxa"/>
            <w:vAlign w:val="bottom"/>
          </w:tcPr>
          <w:p>
            <w:pPr>
              <w:spacing w:after="0"/>
              <w:rPr>
                <w:sz w:val="14"/>
                <w:szCs w:val="14"/>
                <w:color w:val="auto"/>
              </w:rPr>
            </w:pPr>
          </w:p>
        </w:tc>
        <w:tc>
          <w:tcPr>
            <w:tcW w:w="21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3800" w:type="dxa"/>
            <w:vAlign w:val="bottom"/>
          </w:tcPr>
          <w:p>
            <w:pPr>
              <w:spacing w:after="0"/>
              <w:rPr>
                <w:sz w:val="14"/>
                <w:szCs w:val="14"/>
                <w:color w:val="auto"/>
              </w:rPr>
            </w:pPr>
          </w:p>
        </w:tc>
        <w:tc>
          <w:tcPr>
            <w:tcW w:w="25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4"/>
              </w:rPr>
              <w:t>------------------------------------</w:t>
            </w:r>
          </w:p>
        </w:tc>
        <w:tc>
          <w:tcPr>
            <w:tcW w:w="980" w:type="dxa"/>
            <w:vAlign w:val="bottom"/>
          </w:tcPr>
          <w:p>
            <w:pPr>
              <w:spacing w:after="0"/>
              <w:rPr>
                <w:sz w:val="14"/>
                <w:szCs w:val="14"/>
                <w:color w:val="auto"/>
              </w:rPr>
            </w:pPr>
          </w:p>
        </w:tc>
        <w:tc>
          <w:tcPr>
            <w:tcW w:w="2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WEIGHTED</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AVERAGE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WEIGHTED</w:t>
            </w:r>
          </w:p>
        </w:tc>
      </w:tr>
      <w:tr>
        <w:trPr>
          <w:trHeight w:val="171"/>
        </w:trPr>
        <w:tc>
          <w:tcPr>
            <w:tcW w:w="3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REMAINING</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CONTRACTUAL</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EXERCISE</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LIFE (YRS.)</w:t>
            </w:r>
          </w:p>
        </w:tc>
        <w:tc>
          <w:tcPr>
            <w:tcW w:w="980" w:type="dxa"/>
            <w:vAlign w:val="bottom"/>
          </w:tcPr>
          <w:p>
            <w:pPr>
              <w:ind w:left="120"/>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Less than $5.00...........................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944,216</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8.68</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$ 2.063</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370,023</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$ 1.53</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$5.01 - $10.00............................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1,691,750</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6.87</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5.26</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280,500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5.27</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Greater than $10.00.......................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81,000</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11.03</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81,000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w:t>
            </w:r>
          </w:p>
        </w:tc>
      </w:tr>
      <w:tr>
        <w:trPr>
          <w:trHeight w:val="171"/>
        </w:trPr>
        <w:tc>
          <w:tcPr>
            <w:tcW w:w="38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2,716,966</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731,523</w:t>
            </w:r>
          </w:p>
        </w:tc>
        <w:tc>
          <w:tcPr>
            <w:tcW w:w="9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34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2000, 1999, and 1998, as if the compensation cost for the option plans and the stock purchase plan had been determined based on the fair value at the grant date for grants in 2000, 1999, and 1998, consistent with the provisions of FAS 123:</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2"/>
              </w:rPr>
              <w:t>---------------------------</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60" w:type="dxa"/>
            <w:vAlign w:val="bottom"/>
            <w:gridSpan w:val="4"/>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PRO FORMA</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PRO FORMA</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PRO FORMA</w:t>
            </w:r>
          </w:p>
        </w:tc>
      </w:tr>
      <w:tr>
        <w:trPr>
          <w:trHeight w:val="171"/>
        </w:trPr>
        <w:tc>
          <w:tcPr>
            <w:tcW w:w="19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(11,125,477)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(12,160,752)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(15,708,626)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(15,764,569)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(12,627,830)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(14,919,389)</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bl>
    <w:p>
      <w:pPr>
        <w:spacing w:after="0" w:line="345"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weighted average fair value per share of options granted during 2000, 1999 and 1998 was $4.13, $.82 and $3.40, respectively. The fair value of options and shares issued pursuant to the stock</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8"/>
          </w:cols>
          <w:pgMar w:left="231" w:top="457" w:right="1440" w:bottom="1440" w:gutter="0" w:footer="0" w:header="0"/>
        </w:sectPr>
      </w:pPr>
    </w:p>
    <w:bookmarkStart w:id="92" w:name="page93"/>
    <w:bookmarkEnd w:id="92"/>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purchase plan at the date of grant were estimated using the Black-Scholes model with the following weighted average assumptions: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spacing w:after="0"/>
              <w:rPr>
                <w:sz w:val="14"/>
                <w:szCs w:val="14"/>
                <w:color w:val="auto"/>
              </w:rPr>
            </w:pPr>
          </w:p>
        </w:tc>
        <w:tc>
          <w:tcPr>
            <w:tcW w:w="31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STOCK PURCHASE PLAN</w:t>
            </w:r>
          </w:p>
        </w:tc>
      </w:tr>
      <w:tr>
        <w:trPr>
          <w:trHeight w:val="171"/>
        </w:trPr>
        <w:tc>
          <w:tcPr>
            <w:tcW w:w="3360" w:type="dxa"/>
            <w:vAlign w:val="bottom"/>
          </w:tcPr>
          <w:p>
            <w:pPr>
              <w:spacing w:after="0"/>
              <w:rPr>
                <w:sz w:val="14"/>
                <w:szCs w:val="14"/>
                <w:color w:val="auto"/>
              </w:rPr>
            </w:pPr>
          </w:p>
        </w:tc>
        <w:tc>
          <w:tcPr>
            <w:tcW w:w="232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124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36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34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6.5%</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1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167.8</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96.7%</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63.5%</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96.7%</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63.5%</w:t>
            </w:r>
          </w:p>
        </w:tc>
      </w:tr>
    </w:tbl>
    <w:p>
      <w:pPr>
        <w:spacing w:after="0" w:line="345"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 On August 04, 1999 the board suspended the 1992 Employee Stock Purchase Plan.</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effects on pro forma net loss and net loss per share of expensing the estimated fair value of stock options and shares issued pursuant to the stock purchase plan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WARRANTS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issued warrants to purchase 8,952 shares of common stock in conjunction with the StemCells California merger, warrants to purchase 31,545 shares in conjunction with various equipment leasing agreements, and warrants to purchase 434,500 shares in connection with a public offering of common stock in April 1995. All of these expired at various dates in 2000.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 RESERVED</w:t>
      </w:r>
    </w:p>
    <w:p>
      <w:pPr>
        <w:spacing w:after="0" w:line="171"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5"/>
          <w:szCs w:val="15"/>
          <w:color w:val="auto"/>
        </w:rPr>
        <w:t>The Company has the following shares of common stock reserved for the</w:t>
      </w:r>
    </w:p>
    <w:p>
      <w:pPr>
        <w:spacing w:after="0" w:line="3"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4"/>
          <w:szCs w:val="14"/>
          <w:color w:val="auto"/>
        </w:rPr>
        <w:t>exercise of options, warrants and other contingent issuances of common stock.</w:t>
      </w:r>
    </w:p>
    <w:p>
      <w:pPr>
        <w:spacing w:after="0" w:line="200" w:lineRule="exact"/>
        <w:rPr>
          <w:sz w:val="20"/>
          <w:szCs w:val="20"/>
          <w:color w:val="auto"/>
        </w:rPr>
      </w:pPr>
    </w:p>
    <w:p>
      <w:pPr>
        <w:spacing w:after="0" w:line="32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Shares reserved</w:t>
            </w:r>
          </w:p>
        </w:tc>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for exercise of stock options...............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3,828,371</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Shares reserved</w:t>
            </w:r>
          </w:p>
        </w:tc>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for warrants................................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2,292,625</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StemCell option</w:t>
            </w:r>
          </w:p>
        </w:tc>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conversions.................................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250,344</w:t>
            </w:r>
          </w:p>
        </w:tc>
      </w:tr>
      <w:tr>
        <w:trPr>
          <w:trHeight w:val="171"/>
        </w:trPr>
        <w:tc>
          <w:tcPr>
            <w:tcW w:w="14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6,371,340</w:t>
            </w:r>
          </w:p>
        </w:tc>
      </w:tr>
      <w:tr>
        <w:trPr>
          <w:trHeight w:val="171"/>
        </w:trPr>
        <w:tc>
          <w:tcPr>
            <w:tcW w:w="14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9" w:hanging="449"/>
        <w:spacing w:after="0"/>
        <w:tabs>
          <w:tab w:leader="none" w:pos="44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$307,000 in 1998, $309,000 in 1999, and $225,739 in 2000. In addition, the Company agreed to issue to Scripps 4,837 shares of the Company's common stock and a stock option to purchase 9,674 shares of the Company's Common Stock with an exercise price of $.01 per share</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8"/>
          </w:cols>
          <w:pgMar w:left="231" w:top="457" w:right="1440" w:bottom="1440" w:gutter="0" w:footer="0" w:header="0"/>
        </w:sectPr>
      </w:pPr>
    </w:p>
    <w:bookmarkStart w:id="93" w:name="page94"/>
    <w:bookmarkEnd w:id="93"/>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 obligations with AstraZeneca.</w:t>
      </w:r>
    </w:p>
    <w:p>
      <w:pPr>
        <w:spacing w:after="0" w:line="19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$314,000, $868,000, and $1,259,000 for the years ended December 31, 2000, 1999 and 1998, respectively. The Company has no other significant collaborative research funding obligations.</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8"/>
          </w:cols>
          <w:pgMar w:left="231" w:top="457" w:right="1440" w:bottom="1440" w:gutter="0" w:footer="0" w:header="0"/>
        </w:sectPr>
      </w:pPr>
    </w:p>
    <w:bookmarkStart w:id="94" w:name="page95"/>
    <w:bookmarkEnd w:id="94"/>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Due to net losses incurred by the Company in each year since inception, no provision for income taxes has been recorded. At December 31, 2000, the Company had tax net operating loss carry forwards of $110,000,000 and research and development tax credit carry forwards of $4,100,000, which expire in the years 2004 through 2020. 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177" w:lineRule="exact"/>
        <w:rPr>
          <w:sz w:val="20"/>
          <w:szCs w:val="20"/>
          <w:color w:val="auto"/>
        </w:rPr>
      </w:pPr>
    </w:p>
    <w:p>
      <w:pPr>
        <w:ind w:left="9" w:right="3219" w:firstLine="355"/>
        <w:spacing w:after="0" w:line="238"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420" w:type="dxa"/>
            <w:vAlign w:val="bottom"/>
          </w:tcPr>
          <w:p>
            <w:pPr>
              <w:spacing w:after="0"/>
              <w:rPr>
                <w:sz w:val="14"/>
                <w:szCs w:val="14"/>
                <w:color w:val="auto"/>
              </w:rPr>
            </w:pPr>
          </w:p>
        </w:tc>
        <w:tc>
          <w:tcPr>
            <w:tcW w:w="26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6,000,000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4,331,000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44,000,000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38,478,000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4,260,000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4,035,000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928,000</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55,280,000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47,772,000</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Unrealized gain on investment..................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(6,543,000)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(127,000)</w:t>
            </w:r>
          </w:p>
        </w:tc>
        <w:tc>
          <w:tcPr>
            <w:tcW w:w="26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(48,610,000)</w:t>
            </w:r>
          </w:p>
        </w:tc>
        <w:tc>
          <w:tcPr>
            <w:tcW w:w="26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(47,526,000)</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56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Realization of deferred tax assets is dependent upon future</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earnings, if</w:t>
            </w:r>
          </w:p>
        </w:tc>
      </w:tr>
      <w:tr>
        <w:trPr>
          <w:trHeight w:val="171"/>
        </w:trPr>
        <w:tc>
          <w:tcPr>
            <w:tcW w:w="5680" w:type="dxa"/>
            <w:vAlign w:val="bottom"/>
            <w:gridSpan w:val="3"/>
          </w:tcPr>
          <w:p>
            <w:pPr>
              <w:spacing w:after="0"/>
              <w:rPr>
                <w:sz w:val="20"/>
                <w:szCs w:val="20"/>
                <w:color w:val="auto"/>
              </w:rPr>
            </w:pPr>
            <w:r>
              <w:rPr>
                <w:rFonts w:ascii="Courier New" w:cs="Courier New" w:eastAsia="Courier New" w:hAnsi="Courier New"/>
                <w:sz w:val="15"/>
                <w:szCs w:val="15"/>
                <w:color w:val="auto"/>
                <w:w w:val="99"/>
              </w:rPr>
              <w:t>any, the timing and amount of which are uncertain. Accordingly,</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the net deferred</w:t>
            </w:r>
          </w:p>
        </w:tc>
      </w:tr>
      <w:tr>
        <w:trPr>
          <w:trHeight w:val="171"/>
        </w:trPr>
        <w:tc>
          <w:tcPr>
            <w:tcW w:w="5680" w:type="dxa"/>
            <w:vAlign w:val="bottom"/>
            <w:gridSpan w:val="3"/>
          </w:tcPr>
          <w:p>
            <w:pPr>
              <w:spacing w:after="0"/>
              <w:rPr>
                <w:sz w:val="20"/>
                <w:szCs w:val="20"/>
                <w:color w:val="auto"/>
              </w:rPr>
            </w:pPr>
            <w:r>
              <w:rPr>
                <w:rFonts w:ascii="Courier New" w:cs="Courier New" w:eastAsia="Courier New" w:hAnsi="Courier New"/>
                <w:sz w:val="15"/>
                <w:szCs w:val="15"/>
                <w:color w:val="auto"/>
                <w:w w:val="99"/>
              </w:rPr>
              <w:t>tax assets have been fully offset by a valuation allowance. The</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valuation</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allowance increased by $6,272,000 during 1999, and $5,459,000 during 1998.</w:t>
      </w:r>
    </w:p>
    <w:p>
      <w:pPr>
        <w:spacing w:after="0" w:line="171" w:lineRule="exact"/>
        <w:rPr>
          <w:sz w:val="20"/>
          <w:szCs w:val="20"/>
          <w:color w:val="auto"/>
        </w:rPr>
      </w:pPr>
    </w:p>
    <w:p>
      <w:pPr>
        <w:ind w:left="449" w:hanging="449"/>
        <w:spacing w:after="0"/>
        <w:tabs>
          <w:tab w:leader="none" w:pos="44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$33,000, $103,000, and $146,000 for the years ended December 31, 2000, 1999 and 1998, respectively.</w:t>
      </w:r>
    </w:p>
    <w:p>
      <w:pPr>
        <w:spacing w:after="0" w:line="173" w:lineRule="exact"/>
        <w:rPr>
          <w:sz w:val="20"/>
          <w:szCs w:val="20"/>
          <w:color w:val="auto"/>
        </w:rPr>
      </w:pPr>
    </w:p>
    <w:p>
      <w:pPr>
        <w:ind w:left="449" w:hanging="449"/>
        <w:spacing w:after="0"/>
        <w:tabs>
          <w:tab w:leader="none" w:pos="44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$3.15 million per year over the term of the lease. The Company continues to lease the facilities in Lincoln, Rhode Island</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8"/>
          </w:cols>
          <w:pgMar w:left="231" w:top="457" w:right="1440" w:bottom="1440" w:gutter="0" w:footer="0" w:header="0"/>
        </w:sectPr>
      </w:pPr>
    </w:p>
    <w:bookmarkStart w:id="95" w:name="page96"/>
    <w:bookmarkEnd w:id="95"/>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77"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On January 9, 2001, the Company sold 22,616 Modex shares for a net price of 182.00 Swiss francs per share, which converts to $112.76 per share, for total proceeds of $2,550,000. In connection with this sale, the Company agreed not to resell any more of its Modex shares until April 12, 2001. On March 07, 2001 the market price of Modex stock was 145.00 Swiss francs which converts to $84.31 using exchange rates on that date, which represents an estimated fair market value of $8,732,797 for the remaining shares. If the Company were to seek to liquidate all or part of the remaining 103,577 Modex shares, the proceeds would depend on the share price and foreign currency exchange rates at the time of conversion.</w:t>
      </w:r>
    </w:p>
    <w:p>
      <w:pPr>
        <w:spacing w:after="0" w:line="175"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15.</w:t>
        <w:tab/>
        <w:t>QUARTERLY FINANCIAL INFORMATION (UNAUDITED)</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right"/>
              <w:ind w:right="586"/>
              <w:spacing w:after="0"/>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spacing w:after="0"/>
              <w:rPr>
                <w:sz w:val="14"/>
                <w:szCs w:val="14"/>
                <w:color w:val="auto"/>
              </w:rPr>
            </w:pPr>
          </w:p>
        </w:tc>
        <w:tc>
          <w:tcPr>
            <w:tcW w:w="3680" w:type="dxa"/>
            <w:vAlign w:val="bottom"/>
            <w:gridSpan w:val="8"/>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FIRST</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SECOND</w:t>
            </w:r>
          </w:p>
        </w:tc>
        <w:tc>
          <w:tcPr>
            <w:tcW w:w="220" w:type="dxa"/>
            <w:vAlign w:val="bottom"/>
          </w:tcPr>
          <w:p>
            <w:pPr>
              <w:spacing w:after="0"/>
              <w:rPr>
                <w:sz w:val="14"/>
                <w:szCs w:val="14"/>
                <w:color w:val="auto"/>
              </w:rPr>
            </w:pPr>
          </w:p>
        </w:tc>
        <w:tc>
          <w:tcPr>
            <w:tcW w:w="7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THIRD</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FOURTH</w:t>
            </w:r>
          </w:p>
        </w:tc>
      </w:tr>
      <w:tr>
        <w:trPr>
          <w:trHeight w:val="171"/>
        </w:trPr>
        <w:tc>
          <w:tcPr>
            <w:tcW w:w="376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40" w:type="dxa"/>
            <w:vAlign w:val="bottom"/>
            <w:gridSpan w:val="7"/>
          </w:tcPr>
          <w:p>
            <w:pPr>
              <w:jc w:val="right"/>
              <w:ind w:right="106"/>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41"/>
        </w:trPr>
        <w:tc>
          <w:tcPr>
            <w:tcW w:w="3760" w:type="dxa"/>
            <w:vAlign w:val="bottom"/>
          </w:tcPr>
          <w:p>
            <w:pPr>
              <w:jc w:val="right"/>
              <w:ind w:right="3246"/>
              <w:spacing w:after="0"/>
              <w:rPr>
                <w:sz w:val="20"/>
                <w:szCs w:val="20"/>
                <w:color w:val="auto"/>
              </w:rPr>
            </w:pPr>
            <w:r>
              <w:rPr>
                <w:rFonts w:ascii="Courier New" w:cs="Courier New" w:eastAsia="Courier New" w:hAnsi="Courier New"/>
                <w:sz w:val="15"/>
                <w:szCs w:val="15"/>
                <w:color w:val="auto"/>
                <w:w w:val="93"/>
              </w:rPr>
              <w:t>2000:</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revenue............................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Operating expenses.....................</w:t>
            </w:r>
          </w:p>
        </w:tc>
        <w:tc>
          <w:tcPr>
            <w:tcW w:w="14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1,799</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1,939</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2,553</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6,378</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(1,794)</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(532)</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(2,539)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(6,260)</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Basic and diluted net loss per share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applicable to common shareholders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before cumulative effect.............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accounting principle(1)..............</w:t>
            </w:r>
          </w:p>
        </w:tc>
        <w:tc>
          <w:tcPr>
            <w:tcW w:w="14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loss per share applicable to 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shareholders.........................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r>
        <w:trPr>
          <w:trHeight w:val="171"/>
        </w:trPr>
        <w:tc>
          <w:tcPr>
            <w:tcW w:w="3760" w:type="dxa"/>
            <w:vAlign w:val="bottom"/>
          </w:tcPr>
          <w:p>
            <w:pPr>
              <w:jc w:val="right"/>
              <w:ind w:right="3246"/>
              <w:spacing w:after="0"/>
              <w:rPr>
                <w:sz w:val="20"/>
                <w:szCs w:val="20"/>
                <w:color w:val="auto"/>
              </w:rPr>
            </w:pPr>
            <w:r>
              <w:rPr>
                <w:rFonts w:ascii="Courier New" w:cs="Courier New" w:eastAsia="Courier New" w:hAnsi="Courier New"/>
                <w:sz w:val="15"/>
                <w:szCs w:val="15"/>
                <w:color w:val="auto"/>
                <w:w w:val="93"/>
              </w:rPr>
              <w:t>1999:</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revenue............................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2,501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2,521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Operating expenses.....................</w:t>
            </w:r>
          </w:p>
        </w:tc>
        <w:tc>
          <w:tcPr>
            <w:tcW w:w="14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4,562</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4,454</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6,690</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5,253</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(1,932)</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(1,840)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(6,711)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(5,226)</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Basic and diluted net loss per share...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r>
      <w:tr>
        <w:trPr>
          <w:trHeight w:val="512"/>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28"/>
          </w:cols>
          <w:pgMar w:left="231" w:top="457" w:right="1440" w:bottom="1440" w:gutter="0" w:footer="0" w:header="0"/>
        </w:sectPr>
      </w:pPr>
    </w:p>
    <w:bookmarkStart w:id="96" w:name="page97"/>
    <w:bookmarkEnd w:id="96"/>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 2001</w:t>
            </w:r>
          </w:p>
        </w:tc>
      </w:tr>
      <w:tr>
        <w:trPr>
          <w:trHeight w:val="171"/>
        </w:trPr>
        <w:tc>
          <w:tcPr>
            <w:tcW w:w="54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(UNAUDITED)</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4,499,158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restricted investments.........................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8,412,650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9,706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rent..............................................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909,415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473,696</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14,304,625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held for sale....................................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3,203,491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plant and equipment, net........................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1,442,089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 net..........................................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2,556,457</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21,506,661</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237,856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785,064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wind-down costs...................................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1,380,947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333,333</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2,737,200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2,521,250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760,508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shares authorized, 2,626 designated as 6% Cumulative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Convertible Preferred Stock 1,500 shares issued and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 at March 31, 2000...........................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authorized; 21,458,211 shares issued and outstanding at</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March 31, 2001..........................................</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214,612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 in capital................................</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137,608,696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(130,229,646)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8,412,650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(2,044,609)</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15,461,703</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21,506,661</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457" w:right="1440" w:bottom="1440" w:gutter="0" w:footer="0" w:header="0"/>
        </w:sectPr>
      </w:pPr>
    </w:p>
    <w:bookmarkStart w:id="97" w:name="page98"/>
    <w:bookmarkEnd w:id="97"/>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400" w:type="dxa"/>
            <w:vAlign w:val="bottom"/>
          </w:tcPr>
          <w:p>
            <w:pPr>
              <w:spacing w:after="0"/>
              <w:rPr>
                <w:sz w:val="14"/>
                <w:szCs w:val="14"/>
                <w:color w:val="auto"/>
              </w:rPr>
            </w:pPr>
          </w:p>
        </w:tc>
        <w:tc>
          <w:tcPr>
            <w:tcW w:w="24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Revenue from grants.........................................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1,644,257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906,632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996,862</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657,714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Wind-down expenses........................................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234,386</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2,641,119</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1,798,732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(2,541,119)</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(1,798,732)</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income.........................................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79,041</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73,332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(68,858)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Gain on sale of investments...............................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2,550,230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180,389</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other income, net.....................................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2,809,660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4,474</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268,541</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$(1,794,258)</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 - basic net income (loss) per share................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20,989,127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19,329,517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 - diluted income per share.........................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22,405,358</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19,329,517</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457" w:right="1440" w:bottom="1440" w:gutter="0" w:footer="0" w:header="0"/>
        </w:sectPr>
      </w:pPr>
    </w:p>
    <w:bookmarkStart w:id="98" w:name="page99"/>
    <w:bookmarkEnd w:id="98"/>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400" w:type="dxa"/>
            <w:vAlign w:val="bottom"/>
          </w:tcPr>
          <w:p>
            <w:pPr>
              <w:spacing w:after="0"/>
              <w:rPr>
                <w:sz w:val="14"/>
                <w:szCs w:val="14"/>
                <w:color w:val="auto"/>
              </w:rPr>
            </w:pPr>
          </w:p>
        </w:tc>
        <w:tc>
          <w:tcPr>
            <w:tcW w:w="24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268,541</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($1,794,258)</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used for operating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142,554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204,449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Gain on sale of investments.............................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(2,550,230)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Compensation expense relating to the grant of stock</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128,220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43,750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(1,812,084)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(1,776,812)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(3,822,999)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(3,322,870)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sale of investments.........................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2,550,230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property, plant and equipment.................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(114,734)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(7,542)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Acquisition of other assets...............................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(126,391)</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sales of technology.........................</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2,800,000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2,309,105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2,792,458</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the exercise of stock options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26,605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352,557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Principal payments under capitalized lease obligations....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(82,500)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(used by) financing activities.......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(55,895)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272,557</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decrease in cash and cash equivalents...................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(1,569,789)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(257,855)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6,068,947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4,760,064</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$ 4,499,158</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$ 4,502,209</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64,460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68,858</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457" w:right="1440" w:bottom="1440" w:gutter="0" w:footer="0" w:header="0"/>
        </w:sectPr>
      </w:pPr>
    </w:p>
    <w:bookmarkStart w:id="99" w:name="page100"/>
    <w:bookmarkEnd w:id="99"/>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2001 are not necessarily indicative of the results that may be expected for the entire fiscal year ending December 31, 2001.</w:t>
      </w:r>
    </w:p>
    <w:p>
      <w:pPr>
        <w:spacing w:after="0" w:line="181"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balance sheet at December 31, 2000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2000, included on form 10-K as amended.</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NET INCOME (LOSS) PER SHARE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Basic net income (loss) per common share is computed using the weighted average number of common shares outstanding during the period. Diluted net income per share is computed using the weighted average of common and diluted equivalent stock options and warrants outstanding during the period. We excluded all stock options and warrants from the calculation of diluted loss per common share for the period ended March 31, 2000, because these securities are antidilutive during that period.</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LOSS</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only component of other comprehensive loss is unrealized gains and losses on available for sale securities. For the three months ended March 31, 2001 and 2000, total comprehensive loss was $7,675,143 and $1,794,258 respectively.</w:t>
      </w:r>
    </w:p>
    <w:p>
      <w:pPr>
        <w:spacing w:after="0" w:line="176" w:lineRule="exact"/>
        <w:rPr>
          <w:sz w:val="20"/>
          <w:szCs w:val="20"/>
          <w:color w:val="auto"/>
        </w:rPr>
      </w:pPr>
    </w:p>
    <w:p>
      <w:pPr>
        <w:ind w:left="780" w:right="3579" w:hanging="798"/>
        <w:spacing w:after="0" w:line="238" w:lineRule="auto"/>
        <w:tabs>
          <w:tab w:leader="none" w:pos="760" w:val="left"/>
        </w:tabs>
        <w:rPr>
          <w:sz w:val="20"/>
          <w:szCs w:val="20"/>
          <w:color w:val="auto"/>
        </w:rPr>
      </w:pPr>
      <w:r>
        <w:rPr>
          <w:rFonts w:ascii="Courier New" w:cs="Courier New" w:eastAsia="Courier New" w:hAnsi="Courier New"/>
          <w:sz w:val="15"/>
          <w:szCs w:val="15"/>
          <w:color w:val="auto"/>
        </w:rPr>
        <w:t>NOTE 4.</w:t>
        <w:tab/>
        <w:t>WIND-DOWN OF ENCAPSULATED CELL TECHNOLOGY RESEARCH AND DEVELOPMENT PROGRAM</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 previously reported, in 1999 the Company restructured its operations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abandon all further encapsulated cell technology research and concentrate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on the research and development of its proprietary platform of stem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cell technologies. The Company relocated its remaining research and development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and its corporate headquarters to California, and has been seeking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dispose of its former science and administrative and pilot manufacturing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in Rhode Island. In December 2000, the company had a reserve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$1,780,000 related to the carrying costs for the Rhode Island facilities through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On February 2001, the Company subleased portions of the facilities and 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actively seeking to sublease, assign or sell our remaining interests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 However, there can be no assurance that the Company will be able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dispose of these facilities in a reasonable time, if at all. At March 31,2001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reserve was $1,381,000.</w:t>
      </w:r>
    </w:p>
    <w:p>
      <w:pPr>
        <w:sectPr>
          <w:pgSz w:w="11900" w:h="16838" w:orient="portrait"/>
          <w:cols w:equalWidth="0" w:num="1">
            <w:col w:w="10219"/>
          </w:cols>
          <w:pgMar w:left="240" w:top="45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340"/>
        <w:spacing w:after="0" w:line="271" w:lineRule="auto"/>
        <w:rPr>
          <w:sz w:val="20"/>
          <w:szCs w:val="20"/>
          <w:color w:val="auto"/>
        </w:rPr>
      </w:pPr>
      <w:r>
        <w:rPr>
          <w:rFonts w:ascii="Courier New" w:cs="Courier New" w:eastAsia="Courier New" w:hAnsi="Courier New"/>
          <w:sz w:val="14"/>
          <w:szCs w:val="14"/>
          <w:color w:val="auto"/>
        </w:rPr>
        <w:t>RESERVE AS AT 12/31/2000 ------------------------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AS AT 03/31/01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3">
            <w:col w:w="2480" w:space="620"/>
            <w:col w:w="700" w:space="720"/>
            <w:col w:w="5699"/>
          </w:cols>
          <w:pgMar w:left="240" w:top="457" w:right="1440" w:bottom="1440" w:gutter="0" w:footer="0" w:header="0"/>
          <w:type w:val="continuous"/>
        </w:sectPr>
      </w:pPr>
    </w:p>
    <w:p>
      <w:pPr>
        <w:ind w:left="960"/>
        <w:spacing w:after="0"/>
        <w:rPr>
          <w:sz w:val="20"/>
          <w:szCs w:val="20"/>
          <w:color w:val="auto"/>
        </w:rPr>
      </w:pPr>
      <w:r>
        <w:rPr>
          <w:rFonts w:ascii="Courier New" w:cs="Courier New" w:eastAsia="Courier New" w:hAnsi="Courier New"/>
          <w:sz w:val="15"/>
          <w:szCs w:val="15"/>
          <w:color w:val="auto"/>
        </w:rPr>
        <w:t>$1,780,579</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Courier New" w:cs="Courier New" w:eastAsia="Courier New" w:hAnsi="Courier New"/>
          <w:sz w:val="14"/>
          <w:szCs w:val="14"/>
          <w:color w:val="auto"/>
        </w:rPr>
        <w:t>$399,632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$1,380,947</w:t>
      </w:r>
    </w:p>
    <w:p>
      <w:pPr>
        <w:spacing w:after="0" w:line="200" w:lineRule="exact"/>
        <w:rPr>
          <w:sz w:val="20"/>
          <w:szCs w:val="20"/>
          <w:color w:val="auto"/>
        </w:rPr>
      </w:pPr>
    </w:p>
    <w:p>
      <w:pPr>
        <w:sectPr>
          <w:pgSz w:w="11900" w:h="16838" w:orient="portrait"/>
          <w:cols w:equalWidth="0" w:num="3">
            <w:col w:w="2380" w:space="720"/>
            <w:col w:w="1220" w:space="720"/>
            <w:col w:w="5179"/>
          </w:cols>
          <w:pgMar w:left="240" w:top="457" w:right="1440" w:bottom="1440" w:gutter="0" w:footer="0" w:header="0"/>
          <w:type w:val="continuous"/>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19"/>
          </w:cols>
          <w:pgMar w:left="240" w:top="457" w:right="1440" w:bottom="1440" w:gutter="0" w:footer="0" w:header="0"/>
          <w:type w:val="continuous"/>
        </w:sectPr>
      </w:pPr>
    </w:p>
    <w:bookmarkStart w:id="100" w:name="page101"/>
    <w:bookmarkEnd w:id="100"/>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INVESTMENTS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At March 31, 2001, the Company owned 103,577 shares of Modex Therapeutics Ltd. ("Modex"), a Swiss biotechnology company traded on the Swiss Exchange. On January 9, 2001, the Company sold 22,616 Modex shares for a net price of 182.00 Swiss francs per share, which converts to $112.76 per share, for total proceeds of $2,550,000. In connection with this sale, the Company agreed not to resell any more of its Modex shares until April 12, 2001. Accordingly, with an established market value, the investment is recorded as available-for-sale at an estimated fair market value. On March 31, 2001 the market price of Modex stock was 141.00 Swiss francs, or $81.22 using exchange rates on that date, which represented an estimated fair market value of $8,412,650 for the remaining shares. The unrealized gain was reported in other comprehensive income. The Company liquidated the remaining 103,577 Modex shares on April 30, 2001 for $5,232,168 net of commissions and other fees. See note 9.</w:t>
      </w:r>
    </w:p>
    <w:p>
      <w:pPr>
        <w:spacing w:after="0" w:line="17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SALE OF SECURITIES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On August 3, 2000, the Company completed a $4 million common stock financing transaction with Millennium Partners, LP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On the first adjustment date, January 27, 2001, the Fund became entitled to 463,369 additional shares, and it has exercised its warrant as to such shares.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$.01. The Company will have the right, under certain circumstances, to cap the number of additional shares by purchasing part of the entitlement from the Fund at a purchase price based on the market price of such shares.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the Company accounts for as stock issuance cost that has no impact on stockholders' equity. The Company has accounted for the sale of the stock and warrants by adding that portion of the proceeds equal to the par value of the new shares to common stock and the balance, including the value of the warrants, to additional paid in capital. In addition, any repurchase of the shares by the Company would also be accounted for through additional paid in capital.</w:t>
      </w:r>
    </w:p>
    <w:p>
      <w:pPr>
        <w:spacing w:after="0" w:line="346" w:lineRule="exact"/>
        <w:rPr>
          <w:sz w:val="20"/>
          <w:szCs w:val="20"/>
          <w:color w:val="auto"/>
        </w:rPr>
      </w:pPr>
    </w:p>
    <w:p>
      <w:pPr>
        <w:jc w:val="both"/>
        <w:ind w:right="3119" w:firstLine="355"/>
        <w:spacing w:after="0" w:line="258"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457" w:right="1440" w:bottom="1440" w:gutter="0" w:footer="0" w:header="0"/>
        </w:sectPr>
      </w:pPr>
    </w:p>
    <w:bookmarkStart w:id="101" w:name="page102"/>
    <w:bookmarkEnd w:id="101"/>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SALE OF SECURITIES (CONTINUED)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underlying share. The calculated value of this callable warrant using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Black-Scholes method is $139,897, which the Company accounts for as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cost that has no impact on stockholders' equity.</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7.</w:t>
        <w:tab/>
        <w:t>LEASES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$3.2 million per year over the term of the lease. The company paid $1.2 million upfront related to this new lease. Approximately $909,000 of this payment has been recorded as prepaid rent and is being amortized over seven months. The Company continues to lease the facilities in Lincoln, Rhode Island 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8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8.</w:t>
        <w:tab/>
        <w:t>GRANT</w:t>
      </w:r>
    </w:p>
    <w:p>
      <w:pPr>
        <w:spacing w:after="0" w:line="17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 The company received and recognized as revenue $100,000 from a prior SBIR grant relating to the neural program.</w:t>
      </w:r>
    </w:p>
    <w:p>
      <w:pPr>
        <w:spacing w:after="0" w:line="15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SUBSEQUENT EVENTS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April 30, 2001, StemCells sold its remaining 103,577 shares of Modex Therapeutics at 87.3 Swiss francs per share, or $50.51 per share at the exchange rate on that date, for total proceeds of $5,232,168 net of commissions and other fees. In addition, 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StemCells, Inc. and Neurotech SA, by which Neurotech SA purchased the Company's former encapsulated cell therapy technology.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457" w:right="1440" w:bottom="1440" w:gutter="0" w:footer="0" w:header="0"/>
        </w:sectPr>
      </w:pPr>
    </w:p>
    <w:bookmarkStart w:id="102" w:name="page103"/>
    <w:bookmarkEnd w:id="102"/>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SUBSEQUENT EVENTS (CONTINUED)</w:t>
      </w:r>
    </w:p>
    <w:p>
      <w:pPr>
        <w:spacing w:after="0" w:line="3" w:lineRule="exact"/>
        <w:rPr>
          <w:sz w:val="20"/>
          <w:szCs w:val="20"/>
          <w:color w:val="auto"/>
        </w:rPr>
      </w:pPr>
    </w:p>
    <w:p>
      <w:pPr>
        <w:ind w:right="3219" w:firstLine="355"/>
        <w:spacing w:after="0" w:line="271" w:lineRule="auto"/>
        <w:rPr>
          <w:sz w:val="20"/>
          <w:szCs w:val="20"/>
          <w:color w:val="auto"/>
        </w:rPr>
      </w:pPr>
      <w:r>
        <w:rPr>
          <w:rFonts w:ascii="Courier New" w:cs="Courier New" w:eastAsia="Courier New" w:hAnsi="Courier New"/>
          <w:sz w:val="14"/>
          <w:szCs w:val="14"/>
          <w:color w:val="auto"/>
        </w:rPr>
        <w:t>On April 27, 2001, the Company reached an agreement to terminate as of May 15, 2001, without cost, its lease on part of its former Sunnyvale headquarters.</w:t>
      </w:r>
    </w:p>
    <w:p>
      <w:pPr>
        <w:spacing w:after="0" w:line="15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RECENT ACCOUNTING PRONOUNCEMENT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Financial Instruments and for Hedging Activities" ("SFAS 133"). The Statement requires the Company to recognize all derivatives on the balance sheet at fair value. Derivatives 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As the Company had no derivative instruments and does not currently engage in hedging activities, the adoption of Statement No. 133 on January 1, 2001 had no impact on StemCells results, operations or financial statement.</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457" w:right="1440" w:bottom="1440" w:gutter="0" w:footer="0" w:header="0"/>
        </w:sectPr>
      </w:pPr>
    </w:p>
    <w:bookmarkStart w:id="103" w:name="page104"/>
    <w:bookmarkEnd w:id="103"/>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following table sets forth the costs and expenses payable by the Registrant in connection with the sale of the securities being registered. All amounts shown are estimates except the SEC registration fee.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SEC registration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7,979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Printing and engraving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$ 30,000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Legal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$ 35,000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Accounting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$ 15,000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Miscellaneous...............................................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$ 50,000</w:t>
            </w:r>
          </w:p>
        </w:tc>
      </w:tr>
      <w:tr>
        <w:trPr>
          <w:trHeight w:val="171"/>
        </w:trPr>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$137,979</w:t>
            </w:r>
          </w:p>
        </w:tc>
      </w:tr>
      <w:tr>
        <w:trPr>
          <w:trHeight w:val="171"/>
        </w:trPr>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457" w:right="1440" w:bottom="1440" w:gutter="0" w:footer="0" w:header="0"/>
        </w:sectPr>
      </w:pPr>
    </w:p>
    <w:bookmarkStart w:id="104" w:name="page105"/>
    <w:bookmarkEnd w:id="104"/>
    <w:p>
      <w:pPr>
        <w:ind w:left="9" w:right="3119" w:firstLine="355"/>
        <w:spacing w:after="0" w:line="239" w:lineRule="auto"/>
        <w:rPr>
          <w:sz w:val="20"/>
          <w:szCs w:val="20"/>
          <w:color w:val="auto"/>
        </w:rPr>
      </w:pPr>
      <w:r>
        <w:rPr>
          <w:rFonts w:ascii="Courier New" w:cs="Courier New" w:eastAsia="Courier New" w:hAnsi="Courier New"/>
          <w:sz w:val="15"/>
          <w:szCs w:val="15"/>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176" w:lineRule="exact"/>
        <w:rPr>
          <w:sz w:val="20"/>
          <w:szCs w:val="20"/>
          <w:color w:val="auto"/>
        </w:rPr>
      </w:pPr>
    </w:p>
    <w:p>
      <w:pPr>
        <w:ind w:left="9" w:right="3659" w:firstLine="355"/>
        <w:spacing w:after="0" w:line="238" w:lineRule="auto"/>
        <w:rPr>
          <w:sz w:val="20"/>
          <w:szCs w:val="20"/>
          <w:color w:val="auto"/>
        </w:rPr>
      </w:pPr>
      <w:r>
        <w:rPr>
          <w:rFonts w:ascii="Courier New" w:cs="Courier New" w:eastAsia="Courier New" w:hAnsi="Courier New"/>
          <w:sz w:val="15"/>
          <w:szCs w:val="15"/>
          <w:color w:val="auto"/>
        </w:rPr>
        <w:t>We have obtained insurance covering our directors and officers against certain liabilities.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0"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345" w:lineRule="exact"/>
        <w:rPr>
          <w:sz w:val="20"/>
          <w:szCs w:val="20"/>
          <w:color w:val="auto"/>
        </w:rPr>
      </w:pPr>
    </w:p>
    <w:p>
      <w:pPr>
        <w:ind w:left="9" w:right="3399" w:firstLine="355"/>
        <w:spacing w:after="0" w:line="258" w:lineRule="auto"/>
        <w:rPr>
          <w:sz w:val="20"/>
          <w:szCs w:val="20"/>
          <w:color w:val="auto"/>
        </w:rPr>
      </w:pPr>
      <w:r>
        <w:rPr>
          <w:rFonts w:ascii="Courier New" w:cs="Courier New" w:eastAsia="Courier New" w:hAnsi="Courier New"/>
          <w:sz w:val="14"/>
          <w:szCs w:val="14"/>
          <w:color w:val="auto"/>
        </w:rPr>
        <w:t>The shares of capital stock and other securities issued in the following transactions were offered and sold in reliance upon the following exemptions:</w:t>
      </w:r>
    </w:p>
    <w:p>
      <w:pPr>
        <w:ind w:left="9" w:right="3219" w:hanging="9"/>
        <w:spacing w:after="0"/>
        <w:tabs>
          <w:tab w:leader="none" w:pos="36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transactions described in (a), (b) and (d) below, Section 4(2) of a the Securities Act or Regulation D promulgated thereunder relative to sales by an issuer not involving a public offering; and (ii) in the case of the transactions (c) below, Section 3(b) of the Securities Act and Rule 701 promulgated thereunder relative to sales pursuant to certain compensatory benefits plans.</w:t>
      </w:r>
    </w:p>
    <w:p>
      <w:pPr>
        <w:spacing w:after="0" w:line="345" w:lineRule="exact"/>
        <w:rPr>
          <w:rFonts w:ascii="Courier New" w:cs="Courier New" w:eastAsia="Courier New" w:hAnsi="Courier New"/>
          <w:sz w:val="15"/>
          <w:szCs w:val="15"/>
          <w:color w:val="auto"/>
        </w:rPr>
      </w:pPr>
    </w:p>
    <w:p>
      <w:pPr>
        <w:ind w:left="9" w:right="3119" w:firstLine="346"/>
        <w:spacing w:after="0"/>
        <w:tabs>
          <w:tab w:leader="none" w:pos="719"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13, 2000, the Registrant sold 1,500 shares of 6% cumulative convertible preferred stock plus warrants for a total of 75,000 shares of the Registrant's common stock to two members of its Board of Directors for $1,500,000, on terms more favorable than it was then able to obtain from outside investors. The sale was made in reliance on Rule 506 of Regulation D promulgated under the Securities Act of 1933, as amended. The shares of preferred stock are convertible at the option of the holders into common stock at $3.77 per share (based on the face value of the shares). The holders of the preferred stock have liquidation rights equal to their original investments plus accrued but unpaid dividends. Any unconverted preferred stock is converted, at the applicable conversion price, on April 13, 2002. The warrants, which are exercisable at $6.58 per share, expire on April 13, 2005.</w:t>
      </w:r>
    </w:p>
    <w:p>
      <w:pPr>
        <w:spacing w:after="0" w:line="180"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On August 3, 2000, the Registrant completed a $4 million common stock financing transaction with Millennium Partners, LP, or the Fund. The sale was made in reliance on Rule 506 of Regulation D promulgated under the Securities Act of 1933, as amended. The Registrant received $3 million of the purchase price at the closing and received the remaining $1 million upon effectiveness of a registration statement covering the shares owned by the Fund. The Fund purchased the Registrant's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the Registrant's common stock over a period prior to each date. The Registrant will have the right, under certain circumstances, to cap the number of additional shares by purchasing part of the entitlement from the</w:t>
      </w:r>
    </w:p>
    <w:p>
      <w:pPr>
        <w:spacing w:after="0" w:line="18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8"/>
          </w:cols>
          <w:pgMar w:left="231" w:top="460" w:right="1440" w:bottom="1440" w:gutter="0" w:footer="0" w:header="0"/>
        </w:sectPr>
      </w:pPr>
    </w:p>
    <w:bookmarkStart w:id="105" w:name="page106"/>
    <w:bookmarkEnd w:id="105"/>
    <w:p>
      <w:pPr>
        <w:ind w:right="3119"/>
        <w:spacing w:after="0"/>
        <w:rPr>
          <w:sz w:val="20"/>
          <w:szCs w:val="20"/>
          <w:color w:val="auto"/>
        </w:rPr>
      </w:pPr>
      <w:r>
        <w:rPr>
          <w:rFonts w:ascii="Courier New" w:cs="Courier New" w:eastAsia="Courier New" w:hAnsi="Courier New"/>
          <w:sz w:val="15"/>
          <w:szCs w:val="15"/>
          <w:color w:val="auto"/>
        </w:rPr>
        <w:t>Fund. On January 27, 2001, Millennium's August 3, 2000 adjustable warrant became exercisable for 463,369 shares of our common stock, and Millennium purchased all of those shares for $4,634 on March 30, 2001. On April 27, 2001, the adjustable warrant became exercisable for an additional 622,469 shares of our common stock, and the warrant has not been exercised with respect to those shares. The Fund also received a warrant to purchase up to 101,587 shares of common stock at $4.725 per share. This warrant is callable by the Registrant at $7.875 per underlying share.</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Fund also has the option for twelve months to purchase up to $3 million of additional common stock. On August 23, 2000, the Fund exercised $1,000,000 of that option to purchase Registrant's common stock at $5.53 per share. The Registrant received $750,000 of the purchase price in connection with the closing on August 30, 2000 and received the remaining $250,000 upon effectiveness of a registration statement covering the shares owned by the Fund. At the closing on August 30, 2000, the Fund also received an adjustable warrant similar to the one issued on August 3, 2000. This adjustable warrant was canceled by agreement of the Registrant and the Fund on November 1, 2000. The Fund also received a five year warrant to purchase up to 19,900 shares of the Registrant's common stock at $6.03 per share. This warrant is callable by the Registrant at any time at $10.05 per underlying share.</w:t>
      </w:r>
    </w:p>
    <w:p>
      <w:pPr>
        <w:spacing w:after="0" w:line="34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On June 8, 2001, the Fund exercised its remaining option to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million of additional common stock. At the closing on June 21, 2001, the Fund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457,750 shares of common stock at $4.3692 per share. The Fund 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$1,500,000 of the purchase price at the closing and will pay the remainder upon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effectiveness of a registration statement covering the shares purchased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 and issuable upon exercise of the warrants received by the Fund.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does not cover the shares purchased by or issuable to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 In connection with the closing, the Fund received an adjustable warrant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similar to the adjustable warrant issued on August 3, 2000. The Fund also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a five-year warrant to purchase 50,352 shares of additional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at a price per share of $4.7664. This warrant is callable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 at any time at $7.944 per underlying share.</w:t>
      </w:r>
    </w:p>
    <w:p>
      <w:pPr>
        <w:spacing w:after="0" w:line="200" w:lineRule="exact"/>
        <w:rPr>
          <w:sz w:val="20"/>
          <w:szCs w:val="20"/>
          <w:color w:val="auto"/>
        </w:rPr>
      </w:pPr>
    </w:p>
    <w:p>
      <w:pPr>
        <w:spacing w:after="0" w:line="315" w:lineRule="exact"/>
        <w:rPr>
          <w:sz w:val="20"/>
          <w:szCs w:val="20"/>
          <w:color w:val="auto"/>
        </w:rPr>
      </w:pPr>
    </w:p>
    <w:p>
      <w:pPr>
        <w:ind w:right="3219" w:firstLine="346"/>
        <w:spacing w:after="0"/>
        <w:tabs>
          <w:tab w:leader="none" w:pos="7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entered into a license agreement with NeuroSpheres, Ltd. on October 30, 2000 expanding our rights to the intellectual property covered by the license agreement. See "Business--License Agreements and Sponsored Research Agreements--Neurospheres, Ltd." Under that license agreement, on October 30, 2000, we issued 65,000 shares of our common stock to NeuroSpheres and we agreed to file a registration statement covering the resale of those shares by NeuroSpheres.</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right="3219" w:firstLine="346"/>
        <w:spacing w:after="0" w:line="238" w:lineRule="auto"/>
        <w:tabs>
          <w:tab w:leader="none" w:pos="7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25, 2000 we issued 2,800 shares of unregistered Rule 144 common stock to the California Institute of Technology.</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right="3119" w:firstLine="346"/>
        <w:spacing w:after="0"/>
        <w:tabs>
          <w:tab w:leader="none" w:pos="7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10, 2001, we entered into a common stock purchase agreement with Sativum Investments Limited, for the potential future issuance and sale of up to $30,000,000 million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Our volume weighted average market price is calculated by adding the total dollars traded in every transaction in a given trading day and dividing that number by the total number of shares traded during that trading day. We are limited with respect to how often we can exercise a drawdown and the amount of each drawdown.</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460"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4" w:lineRule="exact"/>
        <w:rPr>
          <w:sz w:val="20"/>
          <w:szCs w:val="20"/>
          <w:color w:val="auto"/>
        </w:rPr>
      </w:pPr>
    </w:p>
    <w:p>
      <w:pPr>
        <w:ind w:left="620" w:right="3219" w:hanging="274"/>
        <w:spacing w:after="0" w:line="238" w:lineRule="auto"/>
        <w:tabs>
          <w:tab w:leader="none" w:pos="70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4.3X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4.4X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4.5X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4.6X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4.7X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 dated July 31, 2000, issued to Millennium</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Partners, L.P.</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4.10XXX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dated May 10, 2001, to Purchase Common Stock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to Sativum Investments Limited.</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4.12XXX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dated May 10, 2001, to Purchase Common Stock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to Pacific Crest Securities, Inc.</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4.13XXX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dated May 10, 2001, to Purchase Common Stock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to Granite Financial Group, Inc.</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 dated June 21, 2001, issued to Millennium</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Partners, L.P.</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 Class A, dated June 21,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issued to Millennium Partners, L.P.</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5.1XXX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Opinion of Ropes &amp; Gray.</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1"/>
        </w:trPr>
        <w:tc>
          <w:tcPr>
            <w:tcW w:w="20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bl>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457"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969" w:right="1440" w:bottom="1440" w:gutter="0" w:footer="0" w:header="0"/>
        </w:sectPr>
      </w:pPr>
    </w:p>
    <w:bookmarkStart w:id="108" w:name="page109"/>
    <w:bookmarkEnd w:id="108"/>
    <w:tbl>
      <w:tblPr>
        <w:tblLayout w:type="fixed"/>
        <w:tblInd w:w="9"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10.50XXX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Esrow Agreement, dated as of May 10, 2001, among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Company, Sativum Investments Limited and Epstein, Becker &amp;</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Green, P.C.</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30, 2000,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Company and Neuro Spheres Ltd.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10.53XX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January 2, 2001, between the Company</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Martin McGlynn.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10.54XX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dated February 1, 2001, between the Board of Trustees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Stanford University and the Company.</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June 21, 2001, by</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between the Company and Millennium Partners, L.P.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June 21, 2001, by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Millennium Partners, L.P.</w:t>
            </w:r>
          </w:p>
        </w:tc>
      </w:tr>
      <w:tr>
        <w:trPr>
          <w:trHeight w:val="341"/>
        </w:trPr>
        <w:tc>
          <w:tcPr>
            <w:tcW w:w="2080" w:type="dxa"/>
            <w:vAlign w:val="bottom"/>
          </w:tcPr>
          <w:p>
            <w:pPr>
              <w:ind w:left="160"/>
              <w:spacing w:after="0"/>
              <w:rPr>
                <w:sz w:val="20"/>
                <w:szCs w:val="20"/>
                <w:color w:val="auto"/>
              </w:rPr>
            </w:pPr>
            <w:r>
              <w:rPr>
                <w:rFonts w:ascii="Courier New" w:cs="Courier New" w:eastAsia="Courier New" w:hAnsi="Courier New"/>
                <w:sz w:val="15"/>
                <w:szCs w:val="15"/>
                <w:color w:val="auto"/>
              </w:rPr>
              <w:t>21.1X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23.2XXX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Ropes &amp; Gray (included in the form of opinion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filed as Exhibit 5.1).</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24.1XXX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Power of Attorney pursuant to which amendments to this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may be filed (contained on page II-9</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thereto).</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99.2XX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Side Letter, dated March 17, 2001, between the Company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Oleh S. Hnatiuk regarding NeuroSpheres License Agreement,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dated October 30, 2000.</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529" w:right="3659" w:hanging="529"/>
        <w:spacing w:after="0" w:line="239" w:lineRule="auto"/>
        <w:tabs>
          <w:tab w:leader="none" w:pos="4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333-85494.</w:t>
      </w:r>
    </w:p>
    <w:p>
      <w:pPr>
        <w:spacing w:after="0" w:line="175" w:lineRule="exact"/>
        <w:rPr>
          <w:sz w:val="20"/>
          <w:szCs w:val="20"/>
          <w:color w:val="auto"/>
        </w:rPr>
      </w:pPr>
    </w:p>
    <w:p>
      <w:pPr>
        <w:ind w:left="529" w:right="3659" w:hanging="529"/>
        <w:spacing w:after="0" w:line="239" w:lineRule="auto"/>
        <w:tabs>
          <w:tab w:leader="none" w:pos="4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333-97272.</w:t>
      </w:r>
    </w:p>
    <w:p>
      <w:pPr>
        <w:spacing w:after="0" w:line="175" w:lineRule="exact"/>
        <w:rPr>
          <w:sz w:val="20"/>
          <w:szCs w:val="20"/>
          <w:color w:val="auto"/>
        </w:rPr>
      </w:pPr>
    </w:p>
    <w:p>
      <w:pPr>
        <w:ind w:left="529" w:right="3659" w:hanging="529"/>
        <w:spacing w:after="0" w:line="239" w:lineRule="auto"/>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333-91228.</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8"/>
          </w:cols>
          <w:pgMar w:left="231" w:top="1140" w:right="1440" w:bottom="1440" w:gutter="0" w:footer="0" w:header="0"/>
        </w:sectPr>
      </w:pPr>
    </w:p>
    <w:bookmarkStart w:id="109" w:name="page110"/>
    <w:bookmarkEnd w:id="109"/>
    <w:p>
      <w:pPr>
        <w:ind w:left="529" w:right="3479" w:hanging="529"/>
        <w:spacing w:after="0" w:line="258" w:lineRule="auto"/>
        <w:tabs>
          <w:tab w:leader="none" w:pos="618"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333-45739.</w:t>
      </w:r>
    </w:p>
    <w:p>
      <w:pPr>
        <w:spacing w:after="0" w:line="174" w:lineRule="exact"/>
        <w:rPr>
          <w:sz w:val="20"/>
          <w:szCs w:val="20"/>
          <w:color w:val="auto"/>
        </w:rPr>
      </w:pPr>
    </w:p>
    <w:p>
      <w:pPr>
        <w:ind w:left="529" w:right="3399" w:hanging="529"/>
        <w:spacing w:after="0" w:line="239" w:lineRule="auto"/>
        <w:tabs>
          <w:tab w:leader="none" w:pos="52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5" w:lineRule="exact"/>
        <w:rPr>
          <w:sz w:val="20"/>
          <w:szCs w:val="20"/>
          <w:color w:val="auto"/>
        </w:rPr>
      </w:pPr>
    </w:p>
    <w:p>
      <w:pPr>
        <w:ind w:left="529" w:right="3579" w:hanging="529"/>
        <w:spacing w:after="0" w:line="239" w:lineRule="auto"/>
        <w:tabs>
          <w:tab w:leader="none" w:pos="6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6" w:lineRule="exact"/>
        <w:rPr>
          <w:sz w:val="20"/>
          <w:szCs w:val="20"/>
          <w:color w:val="auto"/>
        </w:rPr>
      </w:pPr>
    </w:p>
    <w:p>
      <w:pPr>
        <w:ind w:left="529" w:right="3119" w:hanging="529"/>
        <w:spacing w:after="0" w:line="239" w:lineRule="auto"/>
        <w:tabs>
          <w:tab w:leader="none" w:pos="4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5" w:lineRule="exact"/>
        <w:rPr>
          <w:sz w:val="20"/>
          <w:szCs w:val="20"/>
          <w:color w:val="auto"/>
        </w:rPr>
      </w:pPr>
    </w:p>
    <w:p>
      <w:pPr>
        <w:ind w:left="529" w:right="3399" w:hanging="529"/>
        <w:spacing w:after="0" w:line="264" w:lineRule="auto"/>
        <w:tabs>
          <w:tab w:leader="none" w:pos="529"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9" w:right="3119" w:hanging="529"/>
        <w:spacing w:after="0" w:line="239" w:lineRule="auto"/>
        <w:tabs>
          <w:tab w:leader="none" w:pos="61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5" w:lineRule="exact"/>
        <w:rPr>
          <w:sz w:val="20"/>
          <w:szCs w:val="20"/>
          <w:color w:val="auto"/>
        </w:rPr>
      </w:pPr>
    </w:p>
    <w:p>
      <w:pPr>
        <w:ind w:left="529" w:right="3119" w:hanging="529"/>
        <w:spacing w:after="0" w:line="239" w:lineRule="auto"/>
        <w:tabs>
          <w:tab w:leader="none" w:pos="61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ind w:left="529" w:right="3219" w:hanging="529"/>
        <w:spacing w:after="0" w:line="264" w:lineRule="auto"/>
        <w:tabs>
          <w:tab w:leader="none" w:pos="70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9" w:right="3219" w:hanging="529"/>
        <w:spacing w:after="0" w:line="239" w:lineRule="auto"/>
        <w:tabs>
          <w:tab w:leader="none" w:pos="70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529" w:right="3119" w:hanging="529"/>
        <w:spacing w:after="0" w:line="239" w:lineRule="auto"/>
        <w:tabs>
          <w:tab w:leader="none" w:pos="61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61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5" w:lineRule="exact"/>
        <w:rPr>
          <w:sz w:val="20"/>
          <w:szCs w:val="20"/>
          <w:color w:val="auto"/>
        </w:rPr>
      </w:pPr>
    </w:p>
    <w:p>
      <w:pPr>
        <w:ind w:left="529" w:right="3399" w:hanging="529"/>
        <w:spacing w:after="0" w:line="264" w:lineRule="auto"/>
        <w:tabs>
          <w:tab w:leader="none" w:pos="44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9" w:right="3219" w:hanging="529"/>
        <w:spacing w:after="0" w:line="239" w:lineRule="auto"/>
        <w:tabs>
          <w:tab w:leader="none" w:pos="61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5" w:lineRule="exact"/>
        <w:rPr>
          <w:sz w:val="20"/>
          <w:szCs w:val="20"/>
          <w:color w:val="auto"/>
        </w:rPr>
      </w:pPr>
    </w:p>
    <w:p>
      <w:pPr>
        <w:ind w:left="529" w:right="3479" w:hanging="531"/>
        <w:spacing w:after="0" w:line="239"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6" w:lineRule="exact"/>
        <w:rPr>
          <w:sz w:val="20"/>
          <w:szCs w:val="20"/>
          <w:color w:val="auto"/>
        </w:rPr>
      </w:pPr>
    </w:p>
    <w:p>
      <w:pPr>
        <w:jc w:val="both"/>
        <w:ind w:left="529" w:right="3399" w:hanging="531"/>
        <w:spacing w:after="0" w:line="239"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175" w:lineRule="exact"/>
        <w:rPr>
          <w:sz w:val="20"/>
          <w:szCs w:val="20"/>
          <w:color w:val="auto"/>
        </w:rPr>
      </w:pPr>
    </w:p>
    <w:p>
      <w:pPr>
        <w:jc w:val="both"/>
        <w:ind w:left="529" w:right="3399" w:hanging="529"/>
        <w:spacing w:after="0" w:line="239" w:lineRule="auto"/>
        <w:tabs>
          <w:tab w:leader="none" w:pos="52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pacing w:after="0" w:line="175" w:lineRule="exact"/>
        <w:rPr>
          <w:sz w:val="20"/>
          <w:szCs w:val="20"/>
          <w:color w:val="auto"/>
        </w:rPr>
      </w:pPr>
    </w:p>
    <w:p>
      <w:pPr>
        <w:ind w:left="529" w:right="3399" w:hanging="529"/>
        <w:spacing w:after="0" w:line="264" w:lineRule="auto"/>
        <w:tabs>
          <w:tab w:leader="none" w:pos="44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2000 and filed on April 2, 2001.</w:t>
      </w:r>
    </w:p>
    <w:p>
      <w:pPr>
        <w:spacing w:after="0" w:line="330" w:lineRule="exact"/>
        <w:rPr>
          <w:sz w:val="20"/>
          <w:szCs w:val="20"/>
          <w:color w:val="auto"/>
        </w:rPr>
      </w:pPr>
    </w:p>
    <w:p>
      <w:pPr>
        <w:ind w:left="529" w:right="3299" w:hanging="529"/>
        <w:spacing w:after="0" w:line="239" w:lineRule="auto"/>
        <w:tabs>
          <w:tab w:leader="none" w:pos="35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filed on Form S-1, File No. 333-61726.</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8"/>
          </w:cols>
          <w:pgMar w:left="231" w:top="460"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ITEM 17. UNDERTAKINGS.</w:t>
      </w:r>
    </w:p>
    <w:p>
      <w:pPr>
        <w:spacing w:after="0" w:line="345" w:lineRule="exact"/>
        <w:rPr>
          <w:sz w:val="20"/>
          <w:szCs w:val="20"/>
          <w:color w:val="auto"/>
        </w:rPr>
      </w:pPr>
    </w:p>
    <w:p>
      <w:pPr>
        <w:ind w:right="3119" w:firstLine="346"/>
        <w:spacing w:after="0" w:line="259" w:lineRule="auto"/>
        <w:tabs>
          <w:tab w:leader="none" w:pos="79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rFonts w:ascii="Courier New" w:cs="Courier New" w:eastAsia="Courier New" w:hAnsi="Courier New"/>
          <w:sz w:val="14"/>
          <w:szCs w:val="14"/>
          <w:color w:val="auto"/>
        </w:rPr>
      </w:pPr>
    </w:p>
    <w:p>
      <w:pPr>
        <w:spacing w:after="0" w:line="301" w:lineRule="exact"/>
        <w:rPr>
          <w:rFonts w:ascii="Courier New" w:cs="Courier New" w:eastAsia="Courier New" w:hAnsi="Courier New"/>
          <w:sz w:val="14"/>
          <w:szCs w:val="14"/>
          <w:color w:val="auto"/>
        </w:rPr>
      </w:pPr>
    </w:p>
    <w:p>
      <w:pPr>
        <w:ind w:left="700" w:hanging="354"/>
        <w:spacing w:after="0"/>
        <w:tabs>
          <w:tab w:leader="none" w:pos="7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345" w:lineRule="exact"/>
        <w:rPr>
          <w:sz w:val="20"/>
          <w:szCs w:val="20"/>
          <w:color w:val="auto"/>
        </w:rPr>
      </w:pPr>
    </w:p>
    <w:p>
      <w:pPr>
        <w:ind w:left="620" w:right="3399" w:hanging="274"/>
        <w:spacing w:after="0" w:line="238" w:lineRule="auto"/>
        <w:tabs>
          <w:tab w:leader="none" w:pos="70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060" w:right="3759" w:hanging="359"/>
        <w:spacing w:after="0" w:line="238" w:lineRule="auto"/>
        <w:tabs>
          <w:tab w:leader="none" w:pos="1060" w:val="left"/>
        </w:tabs>
        <w:numPr>
          <w:ilvl w:val="2"/>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4" w:lineRule="exact"/>
        <w:rPr>
          <w:rFonts w:ascii="Courier New" w:cs="Courier New" w:eastAsia="Courier New" w:hAnsi="Courier New"/>
          <w:sz w:val="15"/>
          <w:szCs w:val="15"/>
          <w:color w:val="auto"/>
        </w:rPr>
      </w:pPr>
    </w:p>
    <w:p>
      <w:pPr>
        <w:ind w:left="1140" w:right="3119" w:hanging="439"/>
        <w:spacing w:after="0"/>
        <w:tabs>
          <w:tab w:leader="none" w:pos="1140" w:val="left"/>
        </w:tabs>
        <w:numPr>
          <w:ilvl w:val="2"/>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1" w:lineRule="exact"/>
        <w:rPr>
          <w:rFonts w:ascii="Courier New" w:cs="Courier New" w:eastAsia="Courier New" w:hAnsi="Courier New"/>
          <w:sz w:val="15"/>
          <w:szCs w:val="15"/>
          <w:color w:val="auto"/>
        </w:rPr>
      </w:pPr>
    </w:p>
    <w:p>
      <w:pPr>
        <w:ind w:left="1140" w:right="3119" w:hanging="528"/>
        <w:spacing w:after="0" w:line="239" w:lineRule="auto"/>
        <w:tabs>
          <w:tab w:leader="none" w:pos="114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rFonts w:ascii="Courier New" w:cs="Courier New" w:eastAsia="Courier New" w:hAnsi="Courier New"/>
          <w:sz w:val="15"/>
          <w:szCs w:val="15"/>
          <w:color w:val="auto"/>
        </w:rPr>
      </w:pPr>
    </w:p>
    <w:p>
      <w:pPr>
        <w:ind w:left="620" w:right="3119" w:hanging="274"/>
        <w:spacing w:after="0"/>
        <w:tabs>
          <w:tab w:leader="none" w:pos="70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Courier New" w:cs="Courier New" w:eastAsia="Courier New" w:hAnsi="Courier New"/>
          <w:sz w:val="15"/>
          <w:szCs w:val="15"/>
          <w:color w:val="auto"/>
        </w:rPr>
      </w:pPr>
    </w:p>
    <w:p>
      <w:pPr>
        <w:ind w:left="620" w:right="3119" w:hanging="274"/>
        <w:spacing w:after="0" w:line="239" w:lineRule="auto"/>
        <w:tabs>
          <w:tab w:leader="none" w:pos="70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jc w:val="both"/>
        <w:ind w:left="620" w:right="3579" w:hanging="274"/>
        <w:spacing w:after="0" w:line="239" w:lineRule="auto"/>
        <w:tabs>
          <w:tab w:leader="none" w:pos="70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section 10(a)(3) of the Securities Act.</w:t>
      </w:r>
    </w:p>
    <w:p>
      <w:pPr>
        <w:spacing w:after="0" w:line="346" w:lineRule="exact"/>
        <w:rPr>
          <w:sz w:val="20"/>
          <w:szCs w:val="20"/>
          <w:color w:val="auto"/>
        </w:rPr>
      </w:pPr>
    </w:p>
    <w:p>
      <w:pPr>
        <w:ind w:left="620" w:right="3119" w:hanging="274"/>
        <w:spacing w:after="0"/>
        <w:tabs>
          <w:tab w:leader="none" w:pos="70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457" w:right="1440" w:bottom="1440" w:gutter="0" w:footer="0" w:header="0"/>
        </w:sectPr>
      </w:pPr>
    </w:p>
    <w:bookmarkStart w:id="111" w:name="page112"/>
    <w:bookmarkEnd w:id="111"/>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left="9" w:right="3119" w:firstLine="355"/>
        <w:spacing w:after="0" w:line="26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has duly caused this Pre-Effective Amendment No. 1 to the Registration Statement to be signed on its behalf by the undersigned, thereunto duly authorized, in the City of Palo Alto, State of California, on the 29th day of June,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8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4889"/>
        <w:spacing w:after="0"/>
        <w:tabs>
          <w:tab w:leader="none" w:pos="5309" w:val="left"/>
        </w:tabs>
        <w:rPr>
          <w:sz w:val="20"/>
          <w:szCs w:val="20"/>
          <w:color w:val="auto"/>
        </w:rPr>
      </w:pPr>
      <w:r>
        <w:rPr>
          <w:rFonts w:ascii="Courier New" w:cs="Courier New" w:eastAsia="Courier New" w:hAnsi="Courier New"/>
          <w:sz w:val="15"/>
          <w:szCs w:val="15"/>
          <w:color w:val="auto"/>
        </w:rPr>
        <w:t>BY:</w:t>
        <w:tab/>
        <w:t>/S/ MARTIN M. MCGLYNN</w:t>
      </w:r>
    </w:p>
    <w:p>
      <w:pPr>
        <w:spacing w:after="0" w:line="3" w:lineRule="exact"/>
        <w:rPr>
          <w:sz w:val="20"/>
          <w:szCs w:val="20"/>
          <w:color w:val="auto"/>
        </w:rPr>
      </w:pPr>
    </w:p>
    <w:p>
      <w:pPr>
        <w:ind w:left="53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329"/>
        <w:spacing w:after="0"/>
        <w:rPr>
          <w:sz w:val="20"/>
          <w:szCs w:val="20"/>
          <w:color w:val="auto"/>
        </w:rPr>
      </w:pPr>
      <w:r>
        <w:rPr>
          <w:rFonts w:ascii="Courier New" w:cs="Courier New" w:eastAsia="Courier New" w:hAnsi="Courier New"/>
          <w:sz w:val="15"/>
          <w:szCs w:val="15"/>
          <w:color w:val="auto"/>
        </w:rPr>
        <w:t>Martin M. McGlynn</w:t>
      </w:r>
    </w:p>
    <w:p>
      <w:pPr>
        <w:spacing w:after="0" w:line="1" w:lineRule="exact"/>
        <w:rPr>
          <w:sz w:val="20"/>
          <w:szCs w:val="20"/>
          <w:color w:val="auto"/>
        </w:rPr>
      </w:pPr>
    </w:p>
    <w:p>
      <w:pPr>
        <w:ind w:left="5329"/>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Pre-Effective Amendment No. 1 to the Registration Statement has been signed by the following persons in the capacities indicated on June 29,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SIGNATURE</w:t>
            </w:r>
          </w:p>
        </w:tc>
        <w:tc>
          <w:tcPr>
            <w:tcW w:w="4040" w:type="dxa"/>
            <w:vAlign w:val="bottom"/>
          </w:tcPr>
          <w:p>
            <w:pPr>
              <w:ind w:left="2080"/>
              <w:spacing w:after="0"/>
              <w:rPr>
                <w:sz w:val="20"/>
                <w:szCs w:val="20"/>
                <w:color w:val="auto"/>
              </w:rPr>
            </w:pPr>
            <w:r>
              <w:rPr>
                <w:rFonts w:ascii="Courier New" w:cs="Courier New" w:eastAsia="Courier New" w:hAnsi="Courier New"/>
                <w:sz w:val="15"/>
                <w:szCs w:val="15"/>
                <w:color w:val="auto"/>
              </w:rPr>
              <w:t>TITLE</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ind w:left="2080"/>
              <w:spacing w:after="0"/>
              <w:rPr>
                <w:sz w:val="20"/>
                <w:szCs w:val="20"/>
                <w:color w:val="auto"/>
              </w:rPr>
            </w:pPr>
            <w:r>
              <w:rPr>
                <w:rFonts w:ascii="Courier New" w:cs="Courier New" w:eastAsia="Courier New" w:hAnsi="Courier New"/>
                <w:sz w:val="15"/>
                <w:szCs w:val="15"/>
                <w:color w:val="auto"/>
              </w:rPr>
              <w:t>-----</w:t>
            </w: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Martin M. McGlynn,</w:t>
            </w:r>
          </w:p>
        </w:tc>
      </w:tr>
      <w:tr>
        <w:trPr>
          <w:trHeight w:val="171"/>
        </w:trPr>
        <w:tc>
          <w:tcPr>
            <w:tcW w:w="456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President, Chief Executive Officer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/s/ MARTIN M. MCGLYNN</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(Principal Executive Officer), Director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George Koshy,</w:t>
            </w:r>
          </w:p>
        </w:tc>
      </w:tr>
      <w:tr>
        <w:trPr>
          <w:trHeight w:val="171"/>
        </w:trPr>
        <w:tc>
          <w:tcPr>
            <w:tcW w:w="456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Controller and Acting Chief Financial</w:t>
            </w:r>
          </w:p>
        </w:tc>
      </w:tr>
      <w:tr>
        <w:trPr>
          <w:trHeight w:val="171"/>
        </w:trPr>
        <w:tc>
          <w:tcPr>
            <w:tcW w:w="456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w w:val="98"/>
              </w:rPr>
              <w:t>Officer (Principal Financial Officer and</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88"/>
              </w:rPr>
              <w:t>*</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Principal Accounting Officer)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Mark J. Levin</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88"/>
              </w:rPr>
              <w:t>*</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Roger M. Perlmutter, M.D., Ph.D.</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88"/>
              </w:rPr>
              <w:t>*</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John J. Schwartz, Ph. D.</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88"/>
              </w:rPr>
              <w:t>*</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56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Irving Weissman, M.D.</w:t>
            </w:r>
          </w:p>
        </w:tc>
      </w:tr>
      <w:tr>
        <w:trPr>
          <w:trHeight w:val="171"/>
        </w:trPr>
        <w:tc>
          <w:tcPr>
            <w:tcW w:w="45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88"/>
              </w:rPr>
              <w:t>*</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5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683"/>
        </w:trPr>
        <w:tc>
          <w:tcPr>
            <w:tcW w:w="4560" w:type="dxa"/>
            <w:vAlign w:val="bottom"/>
          </w:tcPr>
          <w:p>
            <w:pPr>
              <w:jc w:val="right"/>
              <w:ind w:right="2186"/>
              <w:spacing w:after="0"/>
              <w:rPr>
                <w:sz w:val="20"/>
                <w:szCs w:val="20"/>
                <w:color w:val="auto"/>
              </w:rPr>
            </w:pPr>
            <w:r>
              <w:rPr>
                <w:rFonts w:ascii="Courier New" w:cs="Courier New" w:eastAsia="Courier New" w:hAnsi="Courier New"/>
                <w:sz w:val="15"/>
                <w:szCs w:val="15"/>
                <w:color w:val="auto"/>
                <w:w w:val="97"/>
              </w:rPr>
              <w:t>- ------------------------</w:t>
            </w:r>
          </w:p>
        </w:tc>
        <w:tc>
          <w:tcPr>
            <w:tcW w:w="4040" w:type="dxa"/>
            <w:vAlign w:val="bottom"/>
          </w:tcPr>
          <w:p>
            <w:pPr>
              <w:spacing w:after="0"/>
              <w:rPr>
                <w:sz w:val="24"/>
                <w:szCs w:val="24"/>
                <w:color w:val="auto"/>
              </w:rPr>
            </w:pPr>
          </w:p>
        </w:tc>
      </w:tr>
    </w:tbl>
    <w:p>
      <w:pPr>
        <w:spacing w:after="0" w:line="345" w:lineRule="exact"/>
        <w:rPr>
          <w:sz w:val="20"/>
          <w:szCs w:val="20"/>
          <w:color w:val="auto"/>
        </w:rPr>
      </w:pPr>
    </w:p>
    <w:p>
      <w:pPr>
        <w:ind w:left="349" w:right="3119" w:hanging="349"/>
        <w:spacing w:after="0" w:line="239" w:lineRule="auto"/>
        <w:tabs>
          <w:tab w:leader="none" w:pos="34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his name hereto Martin M. McGlynn is signing this document on behalf of the persons indicated above pursuant to the power of attorney duly executed by such persons and filed with the Securities and Exchange Commission.</w:t>
      </w:r>
    </w:p>
    <w:p>
      <w:pPr>
        <w:sectPr>
          <w:pgSz w:w="11900" w:h="16838" w:orient="portrait"/>
          <w:cols w:equalWidth="0" w:num="1">
            <w:col w:w="10228"/>
          </w:cols>
          <w:pgMar w:left="231" w:top="4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MARTIN M. MCGLYNN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Martin M. McGlynn</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ectPr>
          <w:pgSz w:w="11900" w:h="16838" w:orient="portrait"/>
          <w:cols w:equalWidth="0" w:num="2">
            <w:col w:w="349" w:space="720"/>
            <w:col w:w="9159"/>
          </w:cols>
          <w:pgMar w:left="231" w:top="457" w:right="1440" w:bottom="1440" w:gutter="0" w:footer="0" w:header="0"/>
          <w:type w:val="continuous"/>
        </w:sectPr>
      </w:pPr>
    </w:p>
    <w:p>
      <w:pPr>
        <w:spacing w:after="0" w:line="31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10228"/>
          </w:cols>
          <w:pgMar w:left="231" w:top="457" w:right="1440"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5540" w:type="dxa"/>
            <w:vAlign w:val="bottom"/>
          </w:tcPr>
          <w:p>
            <w:pPr>
              <w:ind w:left="840"/>
              <w:spacing w:after="0"/>
              <w:rPr>
                <w:sz w:val="20"/>
                <w:szCs w:val="20"/>
                <w:color w:val="auto"/>
              </w:rPr>
            </w:pPr>
            <w:r>
              <w:rPr>
                <w:rFonts w:ascii="Courier New" w:cs="Courier New" w:eastAsia="Courier New" w:hAnsi="Courier New"/>
                <w:sz w:val="15"/>
                <w:szCs w:val="15"/>
                <w:color w:val="auto"/>
              </w:rPr>
              <w:t>EXHIBIT INDEX</w:t>
            </w:r>
          </w:p>
        </w:tc>
      </w:tr>
      <w:tr>
        <w:trPr>
          <w:trHeight w:val="853"/>
        </w:trPr>
        <w:tc>
          <w:tcPr>
            <w:tcW w:w="20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4.3X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4.4X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4.5X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4.6X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4.7X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 dated July 31, 2000, issued to Millennium</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Partners, L.P.</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4.10XXX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Stock Purchase Warrant, dated May 10, 2001, issued to</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Sativum Investments Limited.</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4.12XXX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Stock Purchase Warrant, dated May 10, 2001, issued to</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Pacific Crest Securities, Inc.</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4.13XXX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Stock Purchase Warrant, dated May 10, 2001, issued to</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Granite Financial Group, Inc.</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 dated June 21, 2001, issued to Millennium</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Partners, L.P.</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 Class A, dated June 21,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issued to Millennium Partners, L.P.</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5.1XXX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Opinion of Ropes &amp; Gray.</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1"/>
        </w:trPr>
        <w:tc>
          <w:tcPr>
            <w:tcW w:w="20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1"/>
        </w:trPr>
        <w:tc>
          <w:tcPr>
            <w:tcW w:w="20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10.12++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1"/>
        </w:trPr>
        <w:tc>
          <w:tcPr>
            <w:tcW w:w="20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10.13++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bl>
    <w:p>
      <w:pPr>
        <w:sectPr>
          <w:pgSz w:w="11900" w:h="16838" w:orient="portrait"/>
          <w:cols w:equalWidth="0" w:num="1">
            <w:col w:w="10219"/>
          </w:cols>
          <w:pgMar w:left="240" w:top="457" w:right="1440"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Hub RI Properties Trust, as Landlord,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CytoTherapeutics, Inc., as Tenant.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the Societe Financiere Valoria SA.</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Dr. Irving Weissman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Dr. Richard M. Rose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John J. Schwartz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Scripps Research Institute and the Registrant.</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bl>
    <w:p>
      <w:pPr>
        <w:sectPr>
          <w:pgSz w:w="11900" w:h="16838" w:orient="portrait"/>
          <w:cols w:equalWidth="0" w:num="1">
            <w:col w:w="10219"/>
          </w:cols>
          <w:pgMar w:left="240" w:top="1140" w:right="1440" w:bottom="1440" w:gutter="0" w:footer="0" w:header="0"/>
        </w:sectPr>
      </w:pPr>
    </w:p>
    <w:bookmarkStart w:id="114" w:name="page115"/>
    <w:bookmarkEnd w:id="114"/>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10.50XXX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Esrow Agreement, dated as of May 10, 2001, among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Company, Sativum Investments Limited and Epstein Becker &amp;</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Green, P.C.</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30, 2000,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Company and Neuro Spheres Ltd.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10.53XX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January 2, 2001, between the Company</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Martin McGlynn.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10.54XX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dated February 1, 2001, between the Board of Trustees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Stanford University and the Company.</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June 21, 2001, by</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between the Company and Millennium Partners, L.P.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June 21, 2001, by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Millennium Partners, L.P.</w:t>
            </w:r>
          </w:p>
        </w:tc>
      </w:tr>
      <w:tr>
        <w:trPr>
          <w:trHeight w:val="341"/>
        </w:trPr>
        <w:tc>
          <w:tcPr>
            <w:tcW w:w="2080" w:type="dxa"/>
            <w:vAlign w:val="bottom"/>
          </w:tcPr>
          <w:p>
            <w:pPr>
              <w:ind w:left="160"/>
              <w:spacing w:after="0"/>
              <w:rPr>
                <w:sz w:val="20"/>
                <w:szCs w:val="20"/>
                <w:color w:val="auto"/>
              </w:rPr>
            </w:pPr>
            <w:r>
              <w:rPr>
                <w:rFonts w:ascii="Courier New" w:cs="Courier New" w:eastAsia="Courier New" w:hAnsi="Courier New"/>
                <w:sz w:val="15"/>
                <w:szCs w:val="15"/>
                <w:color w:val="auto"/>
              </w:rPr>
              <w:t>21.1X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23.2XXX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Ropes &amp; Gray (included in the opinion filed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Exhibit 5.1).</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24.1XXX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Power of Attorney pursuant to which amendments to this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may be filed (contained on page II-9</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thereto).</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99.2XX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Side Letter, dated March 17, 2001, between the Company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Oleh S. Hnatiuk regarding NeuroSpheres License Agreement,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dated October 30, 2000.</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529" w:right="3659" w:hanging="529"/>
        <w:spacing w:after="0" w:line="239" w:lineRule="auto"/>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5" w:lineRule="exact"/>
        <w:rPr>
          <w:sz w:val="20"/>
          <w:szCs w:val="20"/>
          <w:color w:val="auto"/>
        </w:rPr>
      </w:pPr>
    </w:p>
    <w:p>
      <w:pPr>
        <w:ind w:left="529" w:right="3659" w:hanging="529"/>
        <w:spacing w:after="0" w:line="239" w:lineRule="auto"/>
        <w:tabs>
          <w:tab w:leader="none" w:pos="4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5" w:lineRule="exact"/>
        <w:rPr>
          <w:sz w:val="20"/>
          <w:szCs w:val="20"/>
          <w:color w:val="auto"/>
        </w:rPr>
      </w:pPr>
    </w:p>
    <w:p>
      <w:pPr>
        <w:ind w:left="529" w:right="3659" w:hanging="529"/>
        <w:spacing w:after="0" w:line="239" w:lineRule="auto"/>
        <w:tabs>
          <w:tab w:leader="none" w:pos="4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5" w:lineRule="exact"/>
        <w:rPr>
          <w:sz w:val="20"/>
          <w:szCs w:val="20"/>
          <w:color w:val="auto"/>
        </w:rPr>
      </w:pPr>
    </w:p>
    <w:p>
      <w:pPr>
        <w:ind w:left="529" w:right="3479" w:hanging="529"/>
        <w:spacing w:after="0" w:line="258" w:lineRule="auto"/>
        <w:tabs>
          <w:tab w:leader="none" w:pos="61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4" w:lineRule="exact"/>
        <w:rPr>
          <w:sz w:val="20"/>
          <w:szCs w:val="20"/>
          <w:color w:val="auto"/>
        </w:rPr>
      </w:pPr>
    </w:p>
    <w:p>
      <w:pPr>
        <w:ind w:left="529" w:right="3399" w:hanging="529"/>
        <w:spacing w:after="0" w:line="239" w:lineRule="auto"/>
        <w:tabs>
          <w:tab w:leader="none" w:pos="52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5" w:lineRule="exact"/>
        <w:rPr>
          <w:sz w:val="20"/>
          <w:szCs w:val="20"/>
          <w:color w:val="auto"/>
        </w:rPr>
      </w:pPr>
    </w:p>
    <w:p>
      <w:pPr>
        <w:ind w:left="529" w:right="3579" w:hanging="529"/>
        <w:spacing w:after="0" w:line="239" w:lineRule="auto"/>
        <w:tabs>
          <w:tab w:leader="none" w:pos="618"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6" w:lineRule="exact"/>
        <w:rPr>
          <w:sz w:val="20"/>
          <w:szCs w:val="20"/>
          <w:color w:val="auto"/>
        </w:rPr>
      </w:pPr>
    </w:p>
    <w:p>
      <w:pPr>
        <w:ind w:left="529" w:right="3119" w:hanging="529"/>
        <w:spacing w:after="0" w:line="239" w:lineRule="auto"/>
        <w:tabs>
          <w:tab w:leader="none" w:pos="4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ectPr>
          <w:pgSz w:w="11900" w:h="16838" w:orient="portrait"/>
          <w:cols w:equalWidth="0" w:num="1">
            <w:col w:w="10228"/>
          </w:cols>
          <w:pgMar w:left="231" w:top="1140" w:right="1440" w:bottom="1440" w:gutter="0" w:footer="0" w:header="0"/>
        </w:sectPr>
      </w:pPr>
    </w:p>
    <w:bookmarkStart w:id="115" w:name="page116"/>
    <w:bookmarkEnd w:id="115"/>
    <w:p>
      <w:pPr>
        <w:ind w:left="529" w:right="3399" w:hanging="529"/>
        <w:spacing w:after="0" w:line="264" w:lineRule="auto"/>
        <w:tabs>
          <w:tab w:leader="none" w:pos="52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9" w:right="3119" w:hanging="529"/>
        <w:spacing w:after="0" w:line="239" w:lineRule="auto"/>
        <w:tabs>
          <w:tab w:leader="none" w:pos="61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5" w:lineRule="exact"/>
        <w:rPr>
          <w:sz w:val="20"/>
          <w:szCs w:val="20"/>
          <w:color w:val="auto"/>
        </w:rPr>
      </w:pPr>
    </w:p>
    <w:p>
      <w:pPr>
        <w:ind w:left="529" w:right="3119" w:hanging="529"/>
        <w:spacing w:after="0" w:line="239" w:lineRule="auto"/>
        <w:tabs>
          <w:tab w:leader="none" w:pos="61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ind w:left="529" w:right="3219" w:hanging="529"/>
        <w:spacing w:after="0" w:line="264" w:lineRule="auto"/>
        <w:tabs>
          <w:tab w:leader="none" w:pos="70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9" w:right="3219" w:hanging="529"/>
        <w:spacing w:after="0" w:line="239" w:lineRule="auto"/>
        <w:tabs>
          <w:tab w:leader="none" w:pos="70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529" w:right="3119" w:hanging="529"/>
        <w:spacing w:after="0" w:line="239" w:lineRule="auto"/>
        <w:tabs>
          <w:tab w:leader="none" w:pos="61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61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5" w:lineRule="exact"/>
        <w:rPr>
          <w:sz w:val="20"/>
          <w:szCs w:val="20"/>
          <w:color w:val="auto"/>
        </w:rPr>
      </w:pPr>
    </w:p>
    <w:p>
      <w:pPr>
        <w:ind w:left="529" w:right="3399" w:hanging="529"/>
        <w:spacing w:after="0" w:line="264" w:lineRule="auto"/>
        <w:tabs>
          <w:tab w:leader="none" w:pos="44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9" w:right="3219" w:hanging="529"/>
        <w:spacing w:after="0" w:line="239" w:lineRule="auto"/>
        <w:tabs>
          <w:tab w:leader="none" w:pos="61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1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Previously filed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with the</w:t>
            </w:r>
          </w:p>
        </w:tc>
        <w:tc>
          <w:tcPr>
            <w:tcW w:w="3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Commission as an Exhibit to, and</w:t>
            </w:r>
          </w:p>
        </w:tc>
      </w:tr>
      <w:tr>
        <w:trPr>
          <w:trHeight w:val="171"/>
        </w:trPr>
        <w:tc>
          <w:tcPr>
            <w:tcW w:w="16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by reference</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w w:val="99"/>
              </w:rPr>
              <w:t>to, the Registrant's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annual report on</w:t>
            </w:r>
          </w:p>
        </w:tc>
      </w:tr>
      <w:tr>
        <w:trPr>
          <w:trHeight w:val="171"/>
        </w:trPr>
        <w:tc>
          <w:tcPr>
            <w:tcW w:w="528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9"/>
              </w:rPr>
              <w:t>Form 10-K for the fiscal year ended December 31, 1998</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and filed on</w:t>
            </w:r>
          </w:p>
        </w:tc>
      </w:tr>
      <w:tr>
        <w:trPr>
          <w:trHeight w:val="171"/>
        </w:trPr>
        <w:tc>
          <w:tcPr>
            <w:tcW w:w="226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March 31, 1999.</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4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SectionSection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Previously</w:t>
            </w:r>
          </w:p>
        </w:tc>
        <w:tc>
          <w:tcPr>
            <w:tcW w:w="42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filed with the Commission as an Exhibit to, and</w:t>
            </w:r>
          </w:p>
        </w:tc>
      </w:tr>
      <w:tr>
        <w:trPr>
          <w:trHeight w:val="171"/>
        </w:trPr>
        <w:tc>
          <w:tcPr>
            <w:tcW w:w="16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by reference</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w w:val="99"/>
              </w:rPr>
              <w:t>to, the Registrant's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current report on</w:t>
            </w:r>
          </w:p>
        </w:tc>
      </w:tr>
      <w:tr>
        <w:trPr>
          <w:trHeight w:val="171"/>
        </w:trPr>
        <w:tc>
          <w:tcPr>
            <w:tcW w:w="226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Form 8-K on January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174" w:lineRule="exact"/>
        <w:rPr>
          <w:sz w:val="20"/>
          <w:szCs w:val="20"/>
          <w:color w:val="auto"/>
        </w:rPr>
      </w:pPr>
    </w:p>
    <w:p>
      <w:pPr>
        <w:jc w:val="both"/>
        <w:ind w:left="529" w:right="3399" w:hanging="529"/>
        <w:spacing w:after="0" w:line="239" w:lineRule="auto"/>
        <w:tabs>
          <w:tab w:leader="none" w:pos="52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pacing w:after="0" w:line="175" w:lineRule="exact"/>
        <w:rPr>
          <w:sz w:val="20"/>
          <w:szCs w:val="20"/>
          <w:color w:val="auto"/>
        </w:rPr>
      </w:pPr>
    </w:p>
    <w:p>
      <w:pPr>
        <w:ind w:left="529" w:right="3399" w:hanging="529"/>
        <w:spacing w:after="0" w:line="264" w:lineRule="auto"/>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2000 and filed on April 2, 2001.</w:t>
      </w:r>
    </w:p>
    <w:p>
      <w:pPr>
        <w:spacing w:after="0" w:line="330" w:lineRule="exact"/>
        <w:rPr>
          <w:sz w:val="20"/>
          <w:szCs w:val="20"/>
          <w:color w:val="auto"/>
        </w:rPr>
      </w:pPr>
    </w:p>
    <w:p>
      <w:pPr>
        <w:ind w:left="529" w:right="3299" w:hanging="529"/>
        <w:spacing w:after="0" w:line="239" w:lineRule="auto"/>
        <w:tabs>
          <w:tab w:leader="none" w:pos="35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filed on Form S-1, File No. 333-61726.</w:t>
      </w:r>
    </w:p>
    <w:p>
      <w:pPr>
        <w:sectPr>
          <w:pgSz w:w="11900" w:h="16838" w:orient="portrait"/>
          <w:cols w:equalWidth="0" w:num="1">
            <w:col w:w="10228"/>
          </w:cols>
          <w:pgMar w:left="231" w:top="460" w:right="1440" w:bottom="1440" w:gutter="0" w:footer="0" w:header="0"/>
        </w:sectPr>
      </w:pPr>
    </w:p>
    <w:bookmarkStart w:id="116" w:name="page117"/>
    <w:bookmarkEnd w:id="116"/>
    <w:p>
      <w:pPr>
        <w:ind w:left="6020"/>
        <w:spacing w:after="0"/>
        <w:rPr>
          <w:sz w:val="20"/>
          <w:szCs w:val="20"/>
          <w:color w:val="auto"/>
        </w:rPr>
      </w:pPr>
      <w:r>
        <w:rPr>
          <w:rFonts w:ascii="Courier New" w:cs="Courier New" w:eastAsia="Courier New" w:hAnsi="Courier New"/>
          <w:sz w:val="14"/>
          <w:szCs w:val="14"/>
          <w:color w:val="auto"/>
        </w:rPr>
        <w:t>EXHIBIT 4.14</w:t>
      </w:r>
    </w:p>
    <w:p>
      <w:pPr>
        <w:spacing w:after="0" w:line="18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NEITHER THESE SECURITIES NOR THE SECURITIES INTO WHICH THESE SECURITIES ARE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THE REGISTRATION REQUIREMENTS THEREUNDER AND IN COMPLIANCE WITH APPLICABLE STATE SECURITIES OR BLUE SKY LAWS.</w:t>
      </w: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CALLABLE WARRANT</w:t>
      </w:r>
    </w:p>
    <w:p>
      <w:pPr>
        <w:spacing w:after="0" w:line="17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Warrant No. CW-3</w:t>
      </w:r>
      <w:r>
        <w:rPr>
          <w:sz w:val="20"/>
          <w:szCs w:val="20"/>
          <w:color w:val="auto"/>
        </w:rPr>
        <w:tab/>
      </w:r>
      <w:r>
        <w:rPr>
          <w:rFonts w:ascii="Courier New" w:cs="Courier New" w:eastAsia="Courier New" w:hAnsi="Courier New"/>
          <w:sz w:val="14"/>
          <w:szCs w:val="14"/>
          <w:color w:val="auto"/>
        </w:rPr>
        <w:t>Dated: June 21, 2001</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STEMCELLS, INC., a Delaware corporation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hereby certifies that, for value received, MILLENNIUM PARTNERS, L.P., or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assigns ("Holder"), is entitled, subject to the terms set forth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to purchase from the Company a total of 50,352 shares of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$.01 par value per share (the "Common Stock"), of the Company (each such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"Warrant Share" and all such shares, the "Warrant Shares") at an exercise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equal to $4.7664 per share (as adjusted from time to time as provided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 the "Exercise Price"), at any time and from time to time from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the date hereof and through and including June 21, 2006 (the "Expiration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and subject to the following terms and conditions:</w:t>
      </w:r>
    </w:p>
    <w:p>
      <w:pPr>
        <w:spacing w:after="0" w:line="174" w:lineRule="exact"/>
        <w:rPr>
          <w:sz w:val="20"/>
          <w:szCs w:val="20"/>
          <w:color w:val="auto"/>
        </w:rPr>
      </w:pPr>
    </w:p>
    <w:p>
      <w:pPr>
        <w:ind w:right="3119" w:firstLine="1588"/>
        <w:spacing w:after="0"/>
        <w:tabs>
          <w:tab w:leader="none" w:pos="186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WARRANT.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and the Company shall not be affected by notice to the contrary.</w:t>
      </w:r>
    </w:p>
    <w:p>
      <w:pPr>
        <w:spacing w:after="0" w:line="173"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TRANSFERS AND EXCHANGES.</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register the transfer of any</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portion of this Warrant in the Warrant Register, upon surrender of this Warrant, with the Form of Assignment attached hereto duly completed and signed, to the Transfer Agent or to the Company at the office specified in or pursuant to Section 3(b). Upon any such registration or transfer, a new warrant to purchase Common Stock, in substantially the form of this Warrant (any such new warrant, a "New Warrant"), evidencing the portion of this Warrant so transferred shall be issued to the transferee and a New Warrant evidencing the remaining portion of this Warrant not so transferred, if any, shall be issued to the transferring Holder. The acceptance of the New</w:t>
      </w:r>
    </w:p>
    <w:p>
      <w:pPr>
        <w:sectPr>
          <w:pgSz w:w="11900" w:h="16838" w:orient="portrait"/>
          <w:cols w:equalWidth="0" w:num="1">
            <w:col w:w="10219"/>
          </w:cols>
          <w:pgMar w:left="240" w:top="483" w:right="1440" w:bottom="1440" w:gutter="0" w:footer="0" w:header="0"/>
        </w:sectPr>
      </w:pPr>
    </w:p>
    <w:bookmarkStart w:id="117" w:name="page118"/>
    <w:bookmarkEnd w:id="117"/>
    <w:p>
      <w:pPr>
        <w:ind w:right="3759"/>
        <w:spacing w:after="0" w:line="271" w:lineRule="auto"/>
        <w:rPr>
          <w:sz w:val="20"/>
          <w:szCs w:val="20"/>
          <w:color w:val="auto"/>
        </w:rPr>
      </w:pPr>
      <w:r>
        <w:rPr>
          <w:rFonts w:ascii="Courier New" w:cs="Courier New" w:eastAsia="Courier New" w:hAnsi="Courier New"/>
          <w:sz w:val="14"/>
          <w:szCs w:val="14"/>
          <w:color w:val="auto"/>
        </w:rPr>
        <w:t>Warrant by the transferee thereof shall be deemed the acceptance of such transferee of all of the rights and obligations of a holder of a Warrant.</w:t>
      </w:r>
    </w:p>
    <w:p>
      <w:pPr>
        <w:spacing w:after="0" w:line="151" w:lineRule="exact"/>
        <w:rPr>
          <w:sz w:val="20"/>
          <w:szCs w:val="20"/>
          <w:color w:val="auto"/>
        </w:rPr>
      </w:pPr>
    </w:p>
    <w:p>
      <w:pPr>
        <w:ind w:left="2740" w:hanging="353"/>
        <w:spacing w:after="0"/>
        <w:tabs>
          <w:tab w:leader="none" w:pos="274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is exchangeable, upon the surrender</w:t>
      </w:r>
    </w:p>
    <w:p>
      <w:pPr>
        <w:spacing w:after="0" w:line="3" w:lineRule="exact"/>
        <w:rPr>
          <w:rFonts w:ascii="Courier New" w:cs="Courier New" w:eastAsia="Courier New" w:hAnsi="Courier New"/>
          <w:sz w:val="15"/>
          <w:szCs w:val="15"/>
          <w:color w:val="auto"/>
        </w:rPr>
      </w:pPr>
    </w:p>
    <w:p>
      <w:pPr>
        <w:ind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hereof by the Holder to the office of the Company specified in or pursuant to Section 3(b) for one or more New Warrants, evidencing in the aggregate the right to purchase the number of Warrant Shares which may then be purchased hereunder. Any such New Warrant will be dated the date of such exchange.</w:t>
      </w:r>
    </w:p>
    <w:p>
      <w:pPr>
        <w:spacing w:after="0" w:line="173"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EXERCISE AND REDEMPTION OF WARRANTS.</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shall be exercisable by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Holder on any business day before 5:00 P.M., New York City time, at any time and from time to time on or after the date hereof to and including the Expiration Date. At 5:00 P.M., New York City time on the Expiration Date, the portion of this Warrant not exercised prior thereto shall be and become void and of no value.</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2(b), 5 and 10, upon</w:t>
      </w:r>
    </w:p>
    <w:p>
      <w:pPr>
        <w:spacing w:after="0" w:line="3" w:lineRule="exact"/>
        <w:rPr>
          <w:rFonts w:ascii="Courier New" w:cs="Courier New" w:eastAsia="Courier New" w:hAnsi="Courier New"/>
          <w:sz w:val="15"/>
          <w:szCs w:val="15"/>
          <w:color w:val="auto"/>
        </w:rPr>
      </w:pPr>
    </w:p>
    <w:p>
      <w:pPr>
        <w:ind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surrender of this Warrant, with the Form of Election to Purchase attached hereto duly completed and signed, to the Company at its address for notice set forth in Section 13 and upon payment of the Exercise Price multiplied by the number of Warrant Shares that the Holder intends to purchase hereunder, in the manner provided hereunder, all as specified by the Holder in the Form of Election to Purchase, the Company shall promptly (but in no event later than 3 business days after the Date of Exercise (as defined herein)) issue or cause to be issued and cause to be delivered to or upon the written order of the Holder and in such name or names as the Holder may designate, a certificate for the Warrant Shares issuable upon such exercise, free of restrictive legends except (i) either in the event that a registration statement covering the resale of the Warrant Shares and naming the Holder as a selling stockholder thereunder is not then effective or the Warrant Shares are not freely transferable without volume restrictions pursuant to Rule 144(k) promulgated under the Securities Act of 1933, as amended (the "Securities Act"), or (ii) if this Warrant shall have been issued pursuant to a written agreement between the original Holder and the Company, as required by such agreement. Any person so designated by the Holder to receive Warrant Shares shall be deemed to have become holder of record of such Warrant Shares as of the Date of Exercise of this Warrant.</w:t>
      </w:r>
    </w:p>
    <w:p>
      <w:pPr>
        <w:spacing w:after="0" w:line="333" w:lineRule="exact"/>
        <w:rPr>
          <w:sz w:val="20"/>
          <w:szCs w:val="20"/>
          <w:color w:val="auto"/>
        </w:rPr>
      </w:pPr>
    </w:p>
    <w:p>
      <w:pPr>
        <w:ind w:right="3219" w:firstLine="2396"/>
        <w:spacing w:after="0"/>
        <w:rPr>
          <w:sz w:val="20"/>
          <w:szCs w:val="20"/>
          <w:color w:val="auto"/>
        </w:rPr>
      </w:pPr>
      <w:r>
        <w:rPr>
          <w:rFonts w:ascii="Courier New" w:cs="Courier New" w:eastAsia="Courier New" w:hAnsi="Courier New"/>
          <w:sz w:val="15"/>
          <w:szCs w:val="15"/>
          <w:color w:val="auto"/>
        </w:rPr>
        <w:t>A "Date of Exercise" means the date on which the Company shall have received (i) this Warrant (or any New Warrant, as applicable), with the Form of Election to Purchase attached hereto (or attached to such New Warrant) appropriately completed and duly signed, and (ii) payment of the Exercise Price for the number of Warrant Shares so indicated by the holder hereof to be purchased.</w:t>
      </w:r>
    </w:p>
    <w:p>
      <w:pPr>
        <w:spacing w:after="0" w:line="172" w:lineRule="exact"/>
        <w:rPr>
          <w:sz w:val="20"/>
          <w:szCs w:val="20"/>
          <w:color w:val="auto"/>
        </w:rPr>
      </w:pPr>
    </w:p>
    <w:p>
      <w:pPr>
        <w:ind w:left="2740" w:hanging="353"/>
        <w:spacing w:after="0"/>
        <w:tabs>
          <w:tab w:leader="none" w:pos="27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shall be exercisable, either in its</w:t>
      </w:r>
    </w:p>
    <w:p>
      <w:pPr>
        <w:spacing w:after="0" w:line="3" w:lineRule="exact"/>
        <w:rPr>
          <w:rFonts w:ascii="Courier New" w:cs="Courier New" w:eastAsia="Courier New" w:hAnsi="Courier New"/>
          <w:sz w:val="15"/>
          <w:szCs w:val="15"/>
          <w:color w:val="auto"/>
        </w:rPr>
      </w:pPr>
    </w:p>
    <w:p>
      <w:pPr>
        <w:ind w:right="31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entirety or, from time to time, for a portion of the number of Warrant Shares. If less than all of the Warrant Shares which may be purchased under this Warrant are exercised at any time, the Company shall issue or cause to be issued, at its expense, a New Warrant evidencing the right to purchase the remaining number of Warrant Shares for which no exercise has been evidenced by this Warrant.</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118" w:name="page119"/>
    <w:bookmarkEnd w:id="118"/>
    <w:p>
      <w:pPr>
        <w:ind w:left="-1200" w:right="3119" w:firstLine="1588"/>
        <w:spacing w:after="0"/>
        <w:tabs>
          <w:tab w:leader="none" w:pos="752"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delivering physical certificates representing the Warrant Shares issuable upon conversion of this Warrant, provided the Company's transfer agent is participating in the Depository Trust Company ("DTC") Fast Automated Securities Transfer ("FAST") program, upon request of the Holder, the Company shall use its best efforts to cause its transfer agent to electronically transmit the Warrant Shares issuable upon exercise to the Holder, by crediting the account of the Holder's prime broker with DTC through its Deposit Withdrawal Agent Commission ("DWAC") system. The time periods for delivery described above shall apply to the electronic transmittals through the DWAC system. The Company agrees to coordinate with DTC to accomplish this objective.</w:t>
      </w:r>
    </w:p>
    <w:p>
      <w:pPr>
        <w:spacing w:after="0" w:line="178" w:lineRule="exact"/>
        <w:rPr>
          <w:rFonts w:ascii="Courier New" w:cs="Courier New" w:eastAsia="Courier New" w:hAnsi="Courier New"/>
          <w:sz w:val="15"/>
          <w:szCs w:val="15"/>
          <w:color w:val="auto"/>
        </w:rPr>
      </w:pPr>
    </w:p>
    <w:p>
      <w:pPr>
        <w:ind w:left="-1200" w:right="3119" w:firstLine="1588"/>
        <w:spacing w:after="0" w:line="259" w:lineRule="auto"/>
        <w:tabs>
          <w:tab w:leader="none" w:pos="752"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Commencing at any time after the date of the issuance of this Warrant, the Company shall have the right, upon fifteen (15) days notice to the Holder, to cancel this Warrant in full effective on such 15th day (the "Cancellation Date"). The Holder may exercise this Warrant at any time prior to the Cancellation Date. On the Cancellation Date, the Company shall pay in full and complete satisfaction of its obligations under the remaining portion of this Warrant to the Holder an amount in cash equal to (i) the number of shares of Common Stock then issuable hereunder multiplied by (ii) $7.944, as such number shall be appropriately adjusted for stock splits, recapitalizations and similar events minus the applicable Exercise Price as of the Cancellation Date, and the Holder shall surrender this Warrant to the Company for cancellation.</w:t>
      </w:r>
    </w:p>
    <w:p>
      <w:pPr>
        <w:spacing w:after="0" w:line="165" w:lineRule="exact"/>
        <w:rPr>
          <w:rFonts w:ascii="Courier New" w:cs="Courier New" w:eastAsia="Courier New" w:hAnsi="Courier New"/>
          <w:sz w:val="14"/>
          <w:szCs w:val="14"/>
          <w:color w:val="auto"/>
        </w:rPr>
      </w:pPr>
    </w:p>
    <w:p>
      <w:pPr>
        <w:ind w:left="-1200" w:right="3219" w:firstLine="1500"/>
        <w:spacing w:after="0"/>
        <w:tabs>
          <w:tab w:leader="none" w:pos="57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This Warrant and the Holder hereof are entitled to the benefits of, and subject to the terms and condition of and obligations under, that certain Registration Rights Agreement dated the date hereof between the Company and the original Holder (the "Registration Rights Agreement").</w:t>
      </w:r>
    </w:p>
    <w:p>
      <w:pPr>
        <w:spacing w:after="0" w:line="172" w:lineRule="exact"/>
        <w:rPr>
          <w:sz w:val="20"/>
          <w:szCs w:val="20"/>
          <w:color w:val="auto"/>
        </w:rPr>
      </w:pPr>
    </w:p>
    <w:p>
      <w:pPr>
        <w:ind w:left="660" w:hanging="272"/>
        <w:spacing w:after="0"/>
        <w:tabs>
          <w:tab w:leader="none" w:pos="6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left blank.</w:t>
      </w:r>
    </w:p>
    <w:p>
      <w:pPr>
        <w:spacing w:after="0" w:line="174" w:lineRule="exact"/>
        <w:rPr>
          <w:rFonts w:ascii="Courier New" w:cs="Courier New" w:eastAsia="Courier New" w:hAnsi="Courier New"/>
          <w:sz w:val="15"/>
          <w:szCs w:val="15"/>
          <w:color w:val="auto"/>
        </w:rPr>
      </w:pPr>
    </w:p>
    <w:p>
      <w:pPr>
        <w:ind w:left="-1200" w:right="3219" w:firstLine="1588"/>
        <w:spacing w:after="0"/>
        <w:tabs>
          <w:tab w:leader="none" w:pos="66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The Company will pay all documentary stamp taxes attributable to the issuance of Warrant Shares upon the exercise of this Warrant; provided, however, that the Company shall not be required to pay any tax which may be payable in respect of any transfer involved in the registration of any certificates for Warrant Shares or Warrants in a name other than that of the Holder. The Holder shall be responsible for all other tax liability that may arise as a result of holding or transferring this Warrant or receiving Warrant Shares upon exercise hereof.</w:t>
      </w:r>
    </w:p>
    <w:p>
      <w:pPr>
        <w:spacing w:after="0" w:line="176" w:lineRule="exact"/>
        <w:rPr>
          <w:rFonts w:ascii="Courier New" w:cs="Courier New" w:eastAsia="Courier New" w:hAnsi="Courier New"/>
          <w:sz w:val="15"/>
          <w:szCs w:val="15"/>
          <w:color w:val="auto"/>
        </w:rPr>
      </w:pPr>
    </w:p>
    <w:p>
      <w:pPr>
        <w:ind w:left="-1200" w:right="3119" w:firstLine="1588"/>
        <w:spacing w:after="0" w:line="260" w:lineRule="auto"/>
        <w:tabs>
          <w:tab w:leader="none" w:pos="664"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OF WARRANT.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and indemnity, if requested, satisfactory to it. Applicants for a New Warrant under such circumstances shall also comply with such other reasonable regulations and procedures and pay such other reasonable charges as the Company may prescribe.</w:t>
      </w:r>
    </w:p>
    <w:p>
      <w:pPr>
        <w:spacing w:after="0" w:line="161" w:lineRule="exact"/>
        <w:rPr>
          <w:rFonts w:ascii="Courier New" w:cs="Courier New" w:eastAsia="Courier New" w:hAnsi="Courier New"/>
          <w:sz w:val="14"/>
          <w:szCs w:val="14"/>
          <w:color w:val="auto"/>
        </w:rPr>
      </w:pPr>
    </w:p>
    <w:p>
      <w:pPr>
        <w:ind w:left="-1200" w:right="3299" w:firstLine="1588"/>
        <w:spacing w:after="0"/>
        <w:tabs>
          <w:tab w:leader="none" w:pos="66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WARRANT SHARES. The Company covenants that it will at all times reserve and keep available out of the aggregate of its authorized but unissued Common Stock, solely for the purpose of enabling it to issue Warrant Shares upon exercise of this Warrant as herein provided, the number of Warrant Shares which are then issuable and deliverable upon</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631" w:right="1440" w:bottom="1440" w:gutter="0" w:footer="0" w:header="0"/>
        </w:sectPr>
      </w:pPr>
    </w:p>
    <w:bookmarkStart w:id="119" w:name="page120"/>
    <w:bookmarkEnd w:id="119"/>
    <w:p>
      <w:pPr>
        <w:ind w:right="3119"/>
        <w:spacing w:after="0"/>
        <w:rPr>
          <w:sz w:val="20"/>
          <w:szCs w:val="20"/>
          <w:color w:val="auto"/>
        </w:rPr>
      </w:pPr>
      <w:r>
        <w:rPr>
          <w:rFonts w:ascii="Courier New" w:cs="Courier New" w:eastAsia="Courier New" w:hAnsi="Courier New"/>
          <w:sz w:val="15"/>
          <w:szCs w:val="15"/>
          <w:color w:val="auto"/>
        </w:rPr>
        <w:t>the exercise of this entire Warrant, free from preemptive rights or any other actual contingent purchase rights of persons other than the Holder (taking into account the adjustments and restrictions of Section 9). The Company covenants that all Warrant Shares that shall be so issuable and deliverable shall, upon issuance and the payment of the applicable Exercise Price in accordance with the terms hereof, be duly and validly authorized, issued and fully paid and nonassessable.</w:t>
      </w:r>
    </w:p>
    <w:p>
      <w:pPr>
        <w:spacing w:after="0" w:line="176" w:lineRule="exact"/>
        <w:rPr>
          <w:sz w:val="20"/>
          <w:szCs w:val="20"/>
          <w:color w:val="auto"/>
        </w:rPr>
      </w:pPr>
    </w:p>
    <w:p>
      <w:pPr>
        <w:ind w:right="3119" w:firstLine="1588"/>
        <w:spacing w:after="0"/>
        <w:tabs>
          <w:tab w:leader="none" w:pos="186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ADJUSTMENTS. The Exercise Price and number of Warrant Shares issuable upon exercise of this Warrant are subject to adjustment from time to time as set forth in this Section. Upon each such adjustment of the Exercise Price pursuant to this Section, the Holder shall thereafter prior to the Expiration Date be entitled to purchase, at the Exercise Price resulting from such adjustment, the number of Warrant Shares obtained by multiplying the Exercise Price in effect immediately prior to such adjustment by the number of Warrant Shares issuable upon exercise of this Warrant immediately prior to such adjustment and dividing the product thereof by the Exercise Price resulting from such adjustment.</w:t>
      </w:r>
    </w:p>
    <w:p>
      <w:pPr>
        <w:spacing w:after="0" w:line="178" w:lineRule="exact"/>
        <w:rPr>
          <w:rFonts w:ascii="Courier New" w:cs="Courier New" w:eastAsia="Courier New" w:hAnsi="Courier New"/>
          <w:sz w:val="15"/>
          <w:szCs w:val="15"/>
          <w:color w:val="auto"/>
        </w:rPr>
      </w:pPr>
    </w:p>
    <w:p>
      <w:pPr>
        <w:ind w:right="3119" w:firstLine="2387"/>
        <w:spacing w:after="0" w:line="259" w:lineRule="auto"/>
        <w:tabs>
          <w:tab w:leader="none" w:pos="2751"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at any time while this Warrant is outstanding, (i) shall pay a stock dividend or otherwise make a distribution or distributions on shares of its Common Stock or on any other class of capital stock payable in shares of Common Stock (except dividends or distributions paid on preferred or other senior stock), (ii) subdivide outstanding shares of Common Stock into a larger number of shares, or (iii) combine outstanding shares of Common Stock into a smaller number of shares, the Exercise Price shall be multiplied by a fraction of which the numerator shall be the number of shares of Common Stock (excluding treasury shares, if any) outstanding before such event and of which the denominator shall be the number of shares of Common Stock (excluding treasury shares, if any)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or combination, and shall apply to successive subdivisions and combinations.</w:t>
      </w:r>
    </w:p>
    <w:p>
      <w:pPr>
        <w:spacing w:after="0" w:line="162" w:lineRule="exact"/>
        <w:rPr>
          <w:rFonts w:ascii="Courier New" w:cs="Courier New" w:eastAsia="Courier New" w:hAnsi="Courier New"/>
          <w:sz w:val="14"/>
          <w:szCs w:val="14"/>
          <w:color w:val="auto"/>
        </w:rPr>
      </w:pPr>
    </w:p>
    <w:p>
      <w:pPr>
        <w:ind w:right="3119" w:firstLine="2387"/>
        <w:spacing w:after="0"/>
        <w:tabs>
          <w:tab w:leader="none" w:pos="2751"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any reclassification of the Common Stock or any compulsory share exchange pursuant to which the Common Stock is converted into other securities, cash or property, then the Holder shall have the right thereafter to exercise this Warrant only into the shares of stock and other securities and property receivable upon or deemed to be held by holders of Common Stock following such reclassification or share exchange, and the Holder shall be entitled upon such event to receive such amount of securities or property as such Holder would have been entitled to receive if such Holder had exercised this Warrant immediately prior to such reclassification or share exchange (net of the applicable Exercise Price). The terms of any such reclassification or share exchange shall include such terms so as to continue to give to the Holder the right to receive the securities or property set forth in this Section 9(b) upon any exercise following any such reclassification or share exchange.</w:t>
      </w:r>
    </w:p>
    <w:p>
      <w:pPr>
        <w:spacing w:after="0" w:line="181" w:lineRule="exact"/>
        <w:rPr>
          <w:rFonts w:ascii="Courier New" w:cs="Courier New" w:eastAsia="Courier New" w:hAnsi="Courier New"/>
          <w:sz w:val="15"/>
          <w:szCs w:val="15"/>
          <w:color w:val="auto"/>
        </w:rPr>
      </w:pPr>
    </w:p>
    <w:p>
      <w:pPr>
        <w:ind w:right="3119" w:firstLine="2387"/>
        <w:spacing w:after="0" w:line="261" w:lineRule="auto"/>
        <w:tabs>
          <w:tab w:leader="none" w:pos="2751"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at any time while this Warrant is outstanding, shall distribute to all holders of Common Stock (and not to holders of this Warrant) evidences of its indebtedness or assets or rights or warrants to subscribe for or purchase any security (excluding those referred to in Sections 9(a), (b) and (d)), then in each such case the Exercise Price shall be</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20" w:name="page121"/>
    <w:bookmarkEnd w:id="120"/>
    <w:p>
      <w:pPr>
        <w:ind w:right="3119"/>
        <w:spacing w:after="0" w:line="259" w:lineRule="auto"/>
        <w:rPr>
          <w:sz w:val="20"/>
          <w:szCs w:val="20"/>
          <w:color w:val="auto"/>
        </w:rPr>
      </w:pPr>
      <w:r>
        <w:rPr>
          <w:rFonts w:ascii="Courier New" w:cs="Courier New" w:eastAsia="Courier New" w:hAnsi="Courier New"/>
          <w:sz w:val="14"/>
          <w:szCs w:val="14"/>
          <w:color w:val="auto"/>
        </w:rPr>
        <w:t>determined by multiplying the Exercise Price in effect immediately prior to the record date fixed for determination of stockholders entitled to receive such distribution by a fraction of which the denominator shall be the Exercise Price determined as of the record date mentioned above, and of which the numerator shall be such Exercise Price on such record date less the then fair market value at such record date of the portion of such assets or evidence of indebtedness so distributed applicable to one outstanding share of Common Stock as determined by the Company's independent certified public accountants that regularly examine the financial statements of the Company (an "Appraiser").</w:t>
      </w:r>
    </w:p>
    <w:p>
      <w:pPr>
        <w:spacing w:after="0" w:line="166" w:lineRule="exact"/>
        <w:rPr>
          <w:sz w:val="20"/>
          <w:szCs w:val="20"/>
          <w:color w:val="auto"/>
        </w:rPr>
      </w:pPr>
    </w:p>
    <w:p>
      <w:pPr>
        <w:ind w:right="3119" w:firstLine="2387"/>
        <w:spacing w:after="0" w:line="258" w:lineRule="auto"/>
        <w:tabs>
          <w:tab w:leader="none" w:pos="2751"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Company or any subsidiary thereof, as applicable with respect to Common Stock Equivalents (as defined below), shall issue shares of Common Stock or rights, warrants, options or other securities or debt that is convertible into or exchangeable for shares of Common Stock ("COMMON STOCK EQUIVALENTS"), entitling any person or entity to acquire shares of Common Stock at a price per share less than the market price of the Common Stock at the time of issuance, except with respect to a Board Approved Transaction (as defined herein), forthwith upon such issue or sale, the Exercise Price shall be reduced to the price (calculated to the nearest cent) determined by multiplying the Exercise Price in effect immediately prior thereto by a fraction, the numerator of which shall be the sum of (i) the number of shares of Common Stock outstanding immediately prior to such issuance, and (ii) the number of shares of Common Stock which the aggregate consideration received (or to be received, assuming exercise or conversion in full of such Common Stock Equivalents) for the issuance of such additional shares of Common Stock would purchase at the Exercise Price, and the denominator of which shall be the sum of the number of shares of Common Stock outstanding immediately after the issuance of such additional shares. For purposes hereof, all shares of Common Stock that are issuable upon conversion, exercise or exchange of Common Stock Equivalents shall be deemed outstanding immediately after the issuance of such Common Stock Equivalents. Such adjustment shall be made whenever such Common Stock or Common Stock Equivalents are issued. However, upon the expiration of any Common Stock Equivalents the issuance of which resulted in an adjustment in the Exercise Price pursuant to this Section, the Exercise Price shall immediately upon such expiration be recomputed and effective immediately upon such expiration be increased to the price which it would have been (but reflecting any other adjustments in the Exercise Price made pursuant to the provisions of this Section after the issuance of such Common Stock Equivalents) had the adjustment of the Exercise Price made upon the issuance of such Common Stock Equivalents been made on the basis of offering for subscription or purchase only that number of shares of the Common Stock actually purchased upon the exercise of such Common Stock Equivalents actually exercised. Notwithstanding anything herein to the contrary, issuances of any stock or stock options under any bona fide employee benefit plan or compensation arrangement of the Company, shall not be subject to the provisions of this Section.</w:t>
      </w:r>
    </w:p>
    <w:p>
      <w:pPr>
        <w:spacing w:after="0" w:line="200" w:lineRule="exact"/>
        <w:rPr>
          <w:sz w:val="20"/>
          <w:szCs w:val="20"/>
          <w:color w:val="auto"/>
        </w:rPr>
      </w:pPr>
    </w:p>
    <w:p>
      <w:pPr>
        <w:spacing w:after="0" w:line="318" w:lineRule="exact"/>
        <w:rPr>
          <w:sz w:val="20"/>
          <w:szCs w:val="20"/>
          <w:color w:val="auto"/>
        </w:rPr>
      </w:pPr>
    </w:p>
    <w:p>
      <w:pPr>
        <w:ind w:right="3219" w:firstLine="2396"/>
        <w:spacing w:after="0" w:line="260" w:lineRule="auto"/>
        <w:rPr>
          <w:sz w:val="20"/>
          <w:szCs w:val="20"/>
          <w:color w:val="auto"/>
        </w:rPr>
      </w:pPr>
      <w:r>
        <w:rPr>
          <w:rFonts w:ascii="Courier New" w:cs="Courier New" w:eastAsia="Courier New" w:hAnsi="Courier New"/>
          <w:sz w:val="14"/>
          <w:szCs w:val="14"/>
          <w:color w:val="auto"/>
        </w:rPr>
        <w:t>A "Board Approved Transaction" is a transaction involving a strategic alliance, acquisition of stock or assets, merger, collaboration, joint venture, partnership or similar arrangement of the Company with another corporation, partnership or other business entity (A) which is engaged in a business similar complementary or related to the business of the Company or (B) pursuant to which the Company issues securities with the primary purpose to directly or indirectly acquire, license or otherwise become entitled to use technology relevant to or useful in</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121" w:name="page122"/>
    <w:bookmarkEnd w:id="121"/>
    <w:p>
      <w:pPr>
        <w:ind w:right="3219"/>
        <w:spacing w:after="0" w:line="239" w:lineRule="auto"/>
        <w:rPr>
          <w:sz w:val="20"/>
          <w:szCs w:val="20"/>
          <w:color w:val="auto"/>
        </w:rPr>
      </w:pPr>
      <w:r>
        <w:rPr>
          <w:rFonts w:ascii="Courier New" w:cs="Courier New" w:eastAsia="Courier New" w:hAnsi="Courier New"/>
          <w:sz w:val="15"/>
          <w:szCs w:val="15"/>
          <w:color w:val="auto"/>
        </w:rPr>
        <w:t>the Company's business, so long as the Company's Board of Directors by resolution duly adopted approves such transaction in accordance with its duties under applicable law.</w:t>
      </w:r>
    </w:p>
    <w:p>
      <w:pPr>
        <w:spacing w:after="0" w:line="175" w:lineRule="exact"/>
        <w:rPr>
          <w:sz w:val="20"/>
          <w:szCs w:val="20"/>
          <w:color w:val="auto"/>
        </w:rPr>
      </w:pPr>
    </w:p>
    <w:p>
      <w:pPr>
        <w:ind w:left="2740" w:hanging="353"/>
        <w:spacing w:after="0"/>
        <w:tabs>
          <w:tab w:leader="none" w:pos="274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any (1) merger or consolidation of the</w:t>
      </w:r>
    </w:p>
    <w:p>
      <w:pPr>
        <w:spacing w:after="0" w:line="12" w:lineRule="exact"/>
        <w:rPr>
          <w:rFonts w:ascii="Courier New" w:cs="Courier New" w:eastAsia="Courier New" w:hAnsi="Courier New"/>
          <w:sz w:val="14"/>
          <w:szCs w:val="14"/>
          <w:color w:val="auto"/>
        </w:rPr>
      </w:pPr>
    </w:p>
    <w:p>
      <w:pPr>
        <w:ind w:right="31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with or into another Person, or (2) sale by the Company of more than one-half of the assets of the Company (on a market value basis) in one or a series of related transactions, or (3) tender or other offer or exchange (whether by the Company or another Person) pursuant to which holders of Common Stock are permitted to tender or exchange their shares for other securities, stock, cash or property of the Company or another Person; then the Holder shall have the right thereafter to (A) exercise this Warrant for the shares of stock and other securities, cash and property receivable upon or deemed to be held by holders of Common Stock following such merger, consolidation or sale, and the Holder shall be entitled upon such event or series of related events to receive such amount of securities, cash and property as the Common Stock for which this Warrant could have been exercised immediately prior to such merger, consolidation or sales would have been entitled, (B) in the case of a merger or consolidation, require the surviving entity to issue to the Holder a warrant entitling the Holder to acquire shares of such entity's common stock, which warrant shall have terms identical MUTATIS MUTANDIS (including with respect to exercise) to the terms of this Warrant and shall be entitled to all of the rights and privileges set forth herein and the agreements pursuant to which this Warrant was issued (including, without limitation, as such rights relate to the acquisition, transferability, registration and listing of such shares of stock or other securities issuable upon exercise thereof), or (C) in the event of an exchange or tender offer or other transaction contemplated by clause (3) of this Section 9(e), tender or exchange this Warrant for such securities, stock, cash and other property receivable upon or deemed to be held by holders of Common Stock that have tendered or exchanged their shares of Common Stock following such tender or exchange, and the Holder shall be entitled upon such exchange or tender to receive such amount of securities, cash and property as the shares of Common Stock for which this Warrant could have been exercised immediately prior to such tender or exchange would have been entitled as would have been issued (net of the applicable Exercise Price). In the case of clause (B), the exercise price applicable for the newly issued warrant shall be based upon the amount of securities, cash and property that each share of Common Stock would receive in such transaction and the Exercise Price immediately prior to the effectiveness or closing date for such transaction. The terms of any such merger, sale, consolidation, tender or exchange shall include such terms so as continue to give the Holder the right to receive the securities, cash and property set forth in this Section upon any conversion or exercise following such event. This provision shall similarly apply to successive such events.</w:t>
      </w:r>
    </w:p>
    <w:p>
      <w:pPr>
        <w:spacing w:after="0" w:line="200" w:lineRule="exact"/>
        <w:rPr>
          <w:rFonts w:ascii="Courier New" w:cs="Courier New" w:eastAsia="Courier New" w:hAnsi="Courier New"/>
          <w:sz w:val="14"/>
          <w:szCs w:val="14"/>
          <w:color w:val="auto"/>
        </w:rPr>
      </w:pPr>
    </w:p>
    <w:p>
      <w:pPr>
        <w:spacing w:after="0" w:line="318" w:lineRule="exact"/>
        <w:rPr>
          <w:rFonts w:ascii="Courier New" w:cs="Courier New" w:eastAsia="Courier New" w:hAnsi="Courier New"/>
          <w:sz w:val="14"/>
          <w:szCs w:val="14"/>
          <w:color w:val="auto"/>
        </w:rPr>
      </w:pPr>
    </w:p>
    <w:p>
      <w:pPr>
        <w:ind w:right="3119" w:firstLine="2387"/>
        <w:spacing w:after="0" w:line="238" w:lineRule="auto"/>
        <w:tabs>
          <w:tab w:leader="none" w:pos="275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Section 9, the following clauses shall also be applicable:</w:t>
      </w:r>
    </w:p>
    <w:p>
      <w:pPr>
        <w:spacing w:after="0" w:line="172"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DATE. In case the Company shall</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take a record of the holders of its Common Stock for the purpose of entitling them (A) to receive a dividend or other distribution payable in Common Stock or in securities convertible or exchangeable into shares of Common Stock, or (B) to subscribe for or purchase Common Stock or securities convertible or exchangeable into shares of Common Stock, then such record date shall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22" w:name="page123"/>
    <w:bookmarkEnd w:id="122"/>
    <w:p>
      <w:pPr>
        <w:ind w:left="3629" w:hanging="434"/>
        <w:spacing w:after="0"/>
        <w:tabs>
          <w:tab w:leader="none" w:pos="3629" w:val="left"/>
        </w:tabs>
        <w:numPr>
          <w:ilvl w:val="3"/>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SHARES. The number of shares</w:t>
      </w:r>
    </w:p>
    <w:p>
      <w:pPr>
        <w:spacing w:after="0" w:line="3" w:lineRule="exact"/>
        <w:rPr>
          <w:rFonts w:ascii="Courier New" w:cs="Courier New" w:eastAsia="Courier New" w:hAnsi="Courier New"/>
          <w:sz w:val="15"/>
          <w:szCs w:val="15"/>
          <w:color w:val="auto"/>
        </w:rPr>
      </w:pPr>
    </w:p>
    <w:p>
      <w:pPr>
        <w:ind w:left="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Common Stock outstanding at any given time shall not include shares owned or held by or for the account of the Company, and the disposition of any such shares shall be considered an issue or sale of Common Stock.</w:t>
      </w:r>
    </w:p>
    <w:p>
      <w:pPr>
        <w:spacing w:after="0" w:line="172"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calculations under this Section 9 shall be</w:t>
      </w:r>
    </w:p>
    <w:p>
      <w:pPr>
        <w:spacing w:after="0" w:line="3"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made to the nearest cent or the nearest 1/100th of a share, as the case may be.</w:t>
      </w:r>
    </w:p>
    <w:p>
      <w:pPr>
        <w:spacing w:after="0" w:line="180"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the Company shall declare a dividend (or</w:t>
      </w:r>
    </w:p>
    <w:p>
      <w:pPr>
        <w:spacing w:after="0" w:line="3" w:lineRule="exact"/>
        <w:rPr>
          <w:rFonts w:ascii="Courier New" w:cs="Courier New" w:eastAsia="Courier New" w:hAnsi="Courier New"/>
          <w:sz w:val="15"/>
          <w:szCs w:val="15"/>
          <w:color w:val="auto"/>
        </w:rPr>
      </w:pPr>
    </w:p>
    <w:p>
      <w:pPr>
        <w:ind w:left="9"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any other distribution) on its Common Stock; or (ii) the Company shall declare a special nonrecurring cash dividend on or a redemption of its Common Stock; or</w:t>
      </w:r>
    </w:p>
    <w:p>
      <w:pPr>
        <w:ind w:left="9" w:right="3119" w:hanging="9"/>
        <w:spacing w:after="0" w:line="258" w:lineRule="auto"/>
        <w:tabs>
          <w:tab w:leader="none" w:pos="54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authorize the granting to all holders of the Common Stock rights or warrants to subscribe for or purchase any shares of capital stock of any class or of any rights; or (iv)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(v) the Company shall authorize the voluntary dissolution, liquidation or winding up of the affairs of the Company, then the Company shall cause to be mailed to each Holder at their last addresses as they shall appear upon the Warrant Register, at least 30 calendar days prior to the applicable record or effective date hereinafter specified, a notice stating (x) the date on which a record is to be taken for the purpose of such dividend, distribution, redemption, grant of rights or warrants, or if a record is not to be taken, the date as of which the holders of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Common Stock of record shall be entitled to exchange their shares of Common Stock for securities, cash or other property deliverable upon such reclassification, consolidation, merger, sale, transfer, share exchange, dissolution, liquidation or winding up; provided, however, that the failure to mail such notice or any defect therein or in the mailing thereof shall not affect the validity of the corporate action required to be specified in such notice.</w:t>
      </w:r>
    </w:p>
    <w:p>
      <w:pPr>
        <w:spacing w:after="0" w:line="345" w:lineRule="exact"/>
        <w:rPr>
          <w:rFonts w:ascii="Courier New" w:cs="Courier New" w:eastAsia="Courier New" w:hAnsi="Courier New"/>
          <w:sz w:val="14"/>
          <w:szCs w:val="14"/>
          <w:color w:val="auto"/>
        </w:rPr>
      </w:pPr>
    </w:p>
    <w:p>
      <w:pPr>
        <w:ind w:left="9" w:right="3759" w:firstLine="1588"/>
        <w:spacing w:after="0" w:line="238" w:lineRule="auto"/>
        <w:tabs>
          <w:tab w:leader="none" w:pos="1961"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EXERCISE PRICE. The Holder shall pay the Exercise Price in one of the following manners:</w:t>
      </w:r>
    </w:p>
    <w:p>
      <w:pPr>
        <w:spacing w:after="0" w:line="174" w:lineRule="exact"/>
        <w:rPr>
          <w:rFonts w:ascii="Courier New" w:cs="Courier New" w:eastAsia="Courier New" w:hAnsi="Courier New"/>
          <w:sz w:val="15"/>
          <w:szCs w:val="15"/>
          <w:color w:val="auto"/>
        </w:rPr>
      </w:pPr>
    </w:p>
    <w:p>
      <w:pPr>
        <w:ind w:left="2749" w:hanging="353"/>
        <w:spacing w:after="0"/>
        <w:tabs>
          <w:tab w:leader="none" w:pos="2749" w:val="left"/>
        </w:tabs>
        <w:numPr>
          <w:ilvl w:val="2"/>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EXERCISE. The Holder may deliver immediately</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available funds; or</w:t>
      </w:r>
    </w:p>
    <w:p>
      <w:pPr>
        <w:spacing w:after="0" w:line="171" w:lineRule="exact"/>
        <w:rPr>
          <w:rFonts w:ascii="Courier New" w:cs="Courier New" w:eastAsia="Courier New" w:hAnsi="Courier New"/>
          <w:sz w:val="14"/>
          <w:szCs w:val="14"/>
          <w:color w:val="auto"/>
        </w:rPr>
      </w:pPr>
    </w:p>
    <w:p>
      <w:pPr>
        <w:ind w:left="2749" w:hanging="353"/>
        <w:spacing w:after="0"/>
        <w:tabs>
          <w:tab w:leader="none" w:pos="2749" w:val="left"/>
        </w:tabs>
        <w:numPr>
          <w:ilvl w:val="2"/>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CASHLESS EXERCISE. At any time after the earlier</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occur of the SEC Effective Date (as defined in the Registration Rights Agreement) and the date the initial registration statement filed pursuant to the Registration Rights Agreement is declared effective by the Commission, when a registration statement covering the resale of the Warrant Shares and naming the Holder as a selling stockholder thereunder is not then effective, the Holder may surrender this Warrant to the Company together with a notice of cashless exercise, in which event the Company shall issue to the Holder the number of Warrant Shares determined as follows:</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28" w:right="1440" w:bottom="1440" w:gutter="0" w:footer="0" w:header="0"/>
        </w:sectPr>
      </w:pPr>
    </w:p>
    <w:bookmarkStart w:id="123" w:name="page124"/>
    <w:bookmarkEnd w:id="123"/>
    <w:p>
      <w:pPr>
        <w:ind w:left="2380"/>
        <w:spacing w:after="0"/>
        <w:rPr>
          <w:sz w:val="20"/>
          <w:szCs w:val="20"/>
          <w:color w:val="auto"/>
        </w:rPr>
      </w:pPr>
      <w:r>
        <w:rPr>
          <w:rFonts w:ascii="Courier New" w:cs="Courier New" w:eastAsia="Courier New" w:hAnsi="Courier New"/>
          <w:sz w:val="15"/>
          <w:szCs w:val="15"/>
          <w:color w:val="auto"/>
        </w:rPr>
        <w:t>X = Y [(A-B)/A]</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where:</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X = the number of Warrant Shares to be issued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to the Holder.</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Y = the number of Warrant Shares with respect to</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which this Warrant is being exercised.</w:t>
      </w:r>
    </w:p>
    <w:p>
      <w:pPr>
        <w:spacing w:after="0" w:line="174" w:lineRule="exact"/>
        <w:rPr>
          <w:sz w:val="20"/>
          <w:szCs w:val="20"/>
          <w:color w:val="auto"/>
        </w:rPr>
      </w:pPr>
    </w:p>
    <w:p>
      <w:pPr>
        <w:ind w:left="1580" w:right="3299" w:firstLine="799"/>
        <w:spacing w:after="0" w:line="239" w:lineRule="auto"/>
        <w:rPr>
          <w:sz w:val="20"/>
          <w:szCs w:val="20"/>
          <w:color w:val="auto"/>
        </w:rPr>
      </w:pPr>
      <w:r>
        <w:rPr>
          <w:rFonts w:ascii="Courier New" w:cs="Courier New" w:eastAsia="Courier New" w:hAnsi="Courier New"/>
          <w:sz w:val="15"/>
          <w:szCs w:val="15"/>
          <w:color w:val="auto"/>
        </w:rPr>
        <w:t>A = the average of the closing sale prices of the Common Stock for the five (5) trading days immediately prior to (but not including) the Date of Exercise.</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B = the Exercise Price.</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been commenced, on the issue date of this Warrant.</w:t>
      </w:r>
    </w:p>
    <w:p>
      <w:pPr>
        <w:spacing w:after="0" w:line="172" w:lineRule="exact"/>
        <w:rPr>
          <w:sz w:val="20"/>
          <w:szCs w:val="20"/>
          <w:color w:val="auto"/>
        </w:rPr>
      </w:pPr>
    </w:p>
    <w:p>
      <w:pPr>
        <w:ind w:left="1940" w:hanging="352"/>
        <w:spacing w:after="0"/>
        <w:tabs>
          <w:tab w:leader="none" w:pos="19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EXERCISE RESTRICTIONS.</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w:t>
      </w:r>
    </w:p>
    <w:p>
      <w:pPr>
        <w:spacing w:after="0" w:line="3" w:lineRule="exact"/>
        <w:rPr>
          <w:rFonts w:ascii="Courier New" w:cs="Courier New" w:eastAsia="Courier New" w:hAnsi="Courier New"/>
          <w:sz w:val="15"/>
          <w:szCs w:val="15"/>
          <w:color w:val="auto"/>
        </w:rPr>
      </w:pPr>
    </w:p>
    <w:p>
      <w:pPr>
        <w:ind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contained herein, the number of shares of Common Stock that may be acquired by the Holder upon exercise pursuant to the terms hereof shall not exceed a number that, when added to the total number of shares of Common Stock deemed beneficially owned by such Holder (other than by virtue of the ownership of securities or rights to acquire securities that have limitations on the Holder's right to convert, exercise or purchase similar to the limitation set forth herein), together with all shares of Common Stock deemed beneficially owned (other than by virtue of the ownership of securities or rights to acquire securities that have limitation set forth herein) by the Holder's "affiliates" (as defined in Rule 144 of the Securities Act) ("Aggregation Parties"), that would be aggregated for purposes of determining whether a group under Section 13(d) of the Securities Exchange Act of 1934, as amended, exists would exceed 9.99% of the total issued and outstanding shares of the Common Stock (the "Restricted Ownership Percentage"). Each Holder shall have the right (w) at any time and from time to time to reduce its Restricted Ownership Percentage immediately upon notice to the Company and (x) (subject to waiver) at any time and from time to time, to increase its Restricted Ownership Percentage immediately in the event of the announcement as pending or planned, of a merger or consolidation of the Company, a sale of all or substantially all of the assets of the Company or the acquisition by any third party (and/or such party's Aggregation Parties) of at least 51% of the Company's outstanding Common Stock.</w:t>
      </w:r>
    </w:p>
    <w:p>
      <w:pPr>
        <w:spacing w:after="0" w:line="344" w:lineRule="exact"/>
        <w:rPr>
          <w:rFonts w:ascii="Courier New" w:cs="Courier New" w:eastAsia="Courier New" w:hAnsi="Courier New"/>
          <w:sz w:val="15"/>
          <w:szCs w:val="15"/>
          <w:color w:val="auto"/>
        </w:rPr>
      </w:pPr>
    </w:p>
    <w:p>
      <w:pPr>
        <w:ind w:right="3119" w:firstLine="2387"/>
        <w:spacing w:after="0"/>
        <w:tabs>
          <w:tab w:leader="none" w:pos="2751"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covenants at all times on each day (each such day being referred to as a "Covenant Day") as follows: during the balance of such Covenant Day and the succeeding sixty-one (61) days (the balance of such Covenant Day and the succeeding 61 days being referred to as the "Covenant Period") such Holder will not acquire shares of Common Stock pursuant to any right (including exercise of this Warrant) existing at the commencement of</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the Covenant Period to the extent the number of shares so acquired by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 and its Aggregation Parties (ignoring all dispositions) would exceed:</w:t>
      </w:r>
    </w:p>
    <w:p>
      <w:pPr>
        <w:spacing w:after="0" w:line="174" w:lineRule="exact"/>
        <w:rPr>
          <w:sz w:val="20"/>
          <w:szCs w:val="20"/>
          <w:color w:val="auto"/>
        </w:rPr>
      </w:pPr>
    </w:p>
    <w:p>
      <w:pPr>
        <w:ind w:left="3180" w:right="3299" w:hanging="793"/>
        <w:spacing w:after="0" w:line="239" w:lineRule="auto"/>
        <w:tabs>
          <w:tab w:leader="none" w:pos="318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Ownership Percentage of the total number of shares of Common Stock outstanding at the commencement of the Covenant Period;</w:t>
      </w: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MINUS</w:t>
      </w:r>
    </w:p>
    <w:p>
      <w:pPr>
        <w:spacing w:after="0" w:line="174" w:lineRule="exact"/>
        <w:rPr>
          <w:sz w:val="20"/>
          <w:szCs w:val="20"/>
          <w:color w:val="auto"/>
        </w:rPr>
      </w:pPr>
    </w:p>
    <w:p>
      <w:pPr>
        <w:ind w:left="3180" w:right="3119" w:hanging="793"/>
        <w:spacing w:after="0" w:line="239" w:lineRule="auto"/>
        <w:tabs>
          <w:tab w:leader="none" w:pos="31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 of Common Stock owned by such Holder and its Aggregation Parties at the commencement of the Covenant Period.</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A new and independent covenant will be deemed to be given by the Holder as of each moment of each Covenant Day. No covenant will terminate, diminish or modify any other covenant. The Holder agrees to comply with each such covenant.</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The Company's obligation to issue shares of Common Stock which would exceed such limited shall be suspended to the extent necessary until such time, if any, as shares of Common Stock may be issued in compliance with such restrictions.</w:t>
      </w:r>
    </w:p>
    <w:p>
      <w:pPr>
        <w:spacing w:after="0" w:line="176" w:lineRule="exact"/>
        <w:rPr>
          <w:sz w:val="20"/>
          <w:szCs w:val="20"/>
          <w:color w:val="auto"/>
        </w:rPr>
      </w:pPr>
    </w:p>
    <w:p>
      <w:pPr>
        <w:ind w:right="3119" w:firstLine="1588"/>
        <w:spacing w:after="0"/>
        <w:tabs>
          <w:tab w:leader="none" w:pos="19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The Company shall not be required to issue or cause to be issued fractional Warrant Shares on the exercise of this Warrant. The number of full Warrant Shares which shall be issuable upon the exercise of this Warrant shall be computed on the basis of the aggregate number of Warrant Shares purchasable on exercise of this Warrant so presented. If any fraction of a Warrant Share would, except for the provisions of this Section, be issuable on the exercise of this Warrant, the Company shall pay an amount in cash equal to the Exercise Price multiplied by such fraction.</w:t>
      </w:r>
    </w:p>
    <w:p>
      <w:pPr>
        <w:spacing w:after="0" w:line="176" w:lineRule="exact"/>
        <w:rPr>
          <w:rFonts w:ascii="Courier New" w:cs="Courier New" w:eastAsia="Courier New" w:hAnsi="Courier New"/>
          <w:sz w:val="15"/>
          <w:szCs w:val="15"/>
          <w:color w:val="auto"/>
        </w:rPr>
      </w:pPr>
    </w:p>
    <w:p>
      <w:pPr>
        <w:ind w:right="3119" w:firstLine="1588"/>
        <w:spacing w:after="0" w:line="259" w:lineRule="auto"/>
        <w:tabs>
          <w:tab w:leader="none" w:pos="195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and all notices or other communications or deliveries hereunder shall be in writing and shall be deemed given and effective on the earliest of (i) the date of transmission, if such notice or communication is delivered via facsimile at the facsimile telephone number specified in this Section prior to 6:30 p.m. (New York City time) on a business day, (ii) the business day after the date of transmission, if such notice or communication is delivered via facsimile at the facsimile telephone number specified in this Section later than 6:30 p.m. (New York City time) on any date and earlier than 11:59 p.m. (New York City time) on such date, (iii) the business day following the date of mailing, if sent by nationally recognized overnight courier service, or (iv) upon actual receipt by the party to whom such notice is required to be given. The addresses for such communications shall be: (i) if to the Company, to 3155 Porter Drive, Palo Alto, California 94304, with a copy to Ropes &amp; Gray, One International Place, Boston, Massachusetts, 02110, Attention: Geoffrey B. Davis, Esq., (facsimile number (617) 951-7050), or (ii) if to the Holder, to the Holder at the address or facsimile number appearing on the Warrant Register or such other address or facsimile number as the Holder may provide to the Company in accordance with this Section.</w:t>
      </w:r>
    </w:p>
    <w:p>
      <w:pPr>
        <w:spacing w:after="0" w:line="200" w:lineRule="exact"/>
        <w:rPr>
          <w:sz w:val="20"/>
          <w:szCs w:val="20"/>
          <w:color w:val="auto"/>
        </w:rPr>
      </w:pPr>
    </w:p>
    <w:p>
      <w:pPr>
        <w:spacing w:after="0" w:line="30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125" w:name="page126"/>
    <w:bookmarkEnd w:id="125"/>
    <w:p>
      <w:pPr>
        <w:ind w:right="3119" w:firstLine="1588"/>
        <w:spacing w:after="0"/>
        <w:tabs>
          <w:tab w:leader="none" w:pos="195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AGENT. The Company shall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76"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Warrant shall be binding on and inure to the</w:t>
      </w:r>
    </w:p>
    <w:p>
      <w:pPr>
        <w:spacing w:after="0" w:line="12" w:lineRule="exact"/>
        <w:rPr>
          <w:rFonts w:ascii="Courier New" w:cs="Courier New" w:eastAsia="Courier New" w:hAnsi="Courier New"/>
          <w:sz w:val="14"/>
          <w:szCs w:val="14"/>
          <w:color w:val="auto"/>
        </w:rPr>
      </w:pP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benefit of the parties hereto and their respective successors and assigns. Subject to the Subscription Agreement and applicable securities laws, this Warrant shall be freely transferable subject to applicable Securities Laws. This Warrant may be amended only in writing signed by the Company and the Holder and their successors and assigns.</w:t>
      </w:r>
    </w:p>
    <w:p>
      <w:pPr>
        <w:spacing w:after="0" w:line="171" w:lineRule="exact"/>
        <w:rPr>
          <w:rFonts w:ascii="Courier New" w:cs="Courier New" w:eastAsia="Courier New" w:hAnsi="Courier New"/>
          <w:sz w:val="14"/>
          <w:szCs w:val="14"/>
          <w:color w:val="auto"/>
        </w:rPr>
      </w:pPr>
    </w:p>
    <w:p>
      <w:pPr>
        <w:ind w:left="2740" w:hanging="353"/>
        <w:spacing w:after="0"/>
        <w:tabs>
          <w:tab w:leader="none" w:pos="2740"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15(a), above, nothing in this</w:t>
      </w:r>
    </w:p>
    <w:p>
      <w:pPr>
        <w:spacing w:after="0" w:line="3" w:lineRule="exact"/>
        <w:rPr>
          <w:rFonts w:ascii="Courier New" w:cs="Courier New" w:eastAsia="Courier New" w:hAnsi="Courier New"/>
          <w:sz w:val="15"/>
          <w:szCs w:val="15"/>
          <w:color w:val="auto"/>
        </w:rPr>
      </w:pPr>
    </w:p>
    <w:p>
      <w:pPr>
        <w:ind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shall be construed to give to any person or corporation other than the Company and the Holder any legal or equitable right, remedy or cause under this Warrant. This Warrant shall inure to the sole and exclusive benefit of the Company and the Holder.</w:t>
      </w:r>
    </w:p>
    <w:p>
      <w:pPr>
        <w:spacing w:after="0" w:line="176"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corporate laws of the State of Delaware shall</w:t>
      </w:r>
    </w:p>
    <w:p>
      <w:pPr>
        <w:spacing w:after="0" w:line="12" w:lineRule="exact"/>
        <w:rPr>
          <w:rFonts w:ascii="Courier New" w:cs="Courier New" w:eastAsia="Courier New" w:hAnsi="Courier New"/>
          <w:sz w:val="14"/>
          <w:szCs w:val="14"/>
          <w:color w:val="auto"/>
        </w:rPr>
      </w:pP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govern all issues concerning the relative rights of the Company and its stockholders. All other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the Holder hereby irrevocably submit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or that such suit, action or proceeding is improper. Each of the Company and the Holder hereby irrevocably waives personal service of process and consents to process being served in any such suit, action or proceeding by certified mail, return receipt requested, and agrees that such service shall constitute good and sufficient service of process and notice thereof. Nothing contained herein shall be deemed to limit in any way any right to serve process in any manner permitted by law.</w:t>
      </w:r>
    </w:p>
    <w:p>
      <w:pPr>
        <w:spacing w:after="0" w:line="184" w:lineRule="exact"/>
        <w:rPr>
          <w:rFonts w:ascii="Courier New" w:cs="Courier New" w:eastAsia="Courier New" w:hAnsi="Courier New"/>
          <w:sz w:val="14"/>
          <w:szCs w:val="14"/>
          <w:color w:val="auto"/>
        </w:rPr>
      </w:pPr>
    </w:p>
    <w:p>
      <w:pPr>
        <w:ind w:right="3119" w:firstLine="2387"/>
        <w:spacing w:after="0" w:line="239" w:lineRule="auto"/>
        <w:tabs>
          <w:tab w:leader="none" w:pos="2751"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herein are for convenience only, do not constitute a part of this Warrant and shall not be deemed to limit or affect any of the provisions hereof.</w:t>
      </w:r>
    </w:p>
    <w:p>
      <w:pPr>
        <w:spacing w:after="0" w:line="175"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one or more of the provisions of this</w:t>
      </w:r>
    </w:p>
    <w:p>
      <w:pPr>
        <w:spacing w:after="0" w:line="12" w:lineRule="exact"/>
        <w:rPr>
          <w:rFonts w:ascii="Courier New" w:cs="Courier New" w:eastAsia="Courier New" w:hAnsi="Courier New"/>
          <w:sz w:val="14"/>
          <w:szCs w:val="14"/>
          <w:color w:val="auto"/>
        </w:rPr>
      </w:pPr>
    </w:p>
    <w:p>
      <w:pPr>
        <w:ind w:right="32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Warrant shall be invalid or unenforceable in any respect, the validity and enforceability of the remaining terms and provisions of this Warrant shall not in any way be affected or impaired thereby and the parties will attempt in good faith to agree upon a valid and enforceable provision which shall be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26" w:name="page127"/>
    <w:bookmarkEnd w:id="126"/>
    <w:p>
      <w:pPr>
        <w:ind w:right="3659"/>
        <w:spacing w:after="0" w:line="238" w:lineRule="auto"/>
        <w:rPr>
          <w:sz w:val="20"/>
          <w:szCs w:val="20"/>
          <w:color w:val="auto"/>
        </w:rPr>
      </w:pPr>
      <w:r>
        <w:rPr>
          <w:rFonts w:ascii="Courier New" w:cs="Courier New" w:eastAsia="Courier New" w:hAnsi="Courier New"/>
          <w:sz w:val="15"/>
          <w:szCs w:val="15"/>
          <w:color w:val="auto"/>
        </w:rPr>
        <w:t>a commercially reasonable substitute therefor, and upon so agreeing, shall incorporate such substitute provision in this Warrant.</w:t>
      </w:r>
    </w:p>
    <w:p>
      <w:pPr>
        <w:spacing w:after="0" w:line="175" w:lineRule="exact"/>
        <w:rPr>
          <w:sz w:val="20"/>
          <w:szCs w:val="20"/>
          <w:color w:val="auto"/>
        </w:rPr>
      </w:pPr>
    </w:p>
    <w:p>
      <w:pPr>
        <w:ind w:right="3219" w:firstLine="1597"/>
        <w:spacing w:after="0" w:line="271" w:lineRule="auto"/>
        <w:rPr>
          <w:sz w:val="20"/>
          <w:szCs w:val="20"/>
          <w:color w:val="auto"/>
        </w:rPr>
      </w:pPr>
      <w:r>
        <w:rPr>
          <w:rFonts w:ascii="Courier New" w:cs="Courier New" w:eastAsia="Courier New" w:hAnsi="Courier New"/>
          <w:sz w:val="14"/>
          <w:szCs w:val="14"/>
          <w:color w:val="auto"/>
        </w:rPr>
        <w:t>IN WITNESS WHEREOF, the Company has caused this Warrant to be duly executed by its authorized officer as of the date first indicated above.</w:t>
      </w:r>
    </w:p>
    <w:p>
      <w:pPr>
        <w:spacing w:after="0" w:line="15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Martin M. McGlynn</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 Martin M. McGlynn</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President, Chief Executive Officer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27" w:name="page128"/>
    <w:bookmarkEnd w:id="127"/>
    <w:p>
      <w:pPr>
        <w:ind w:left="2129"/>
        <w:spacing w:after="0"/>
        <w:rPr>
          <w:sz w:val="20"/>
          <w:szCs w:val="20"/>
          <w:color w:val="auto"/>
        </w:rPr>
      </w:pPr>
      <w:r>
        <w:rPr>
          <w:rFonts w:ascii="Courier New" w:cs="Courier New" w:eastAsia="Courier New" w:hAnsi="Courier New"/>
          <w:sz w:val="15"/>
          <w:szCs w:val="15"/>
          <w:color w:val="auto"/>
        </w:rPr>
        <w:t>FORM OF ELECTION TO PURCHASE</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(To be executed by the Holder to exercise the right to purchase shares of Common Stock under the foregoing Warrant)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StemCells, Inc:</w:t>
      </w:r>
    </w:p>
    <w:p>
      <w:pPr>
        <w:spacing w:after="0" w:line="174" w:lineRule="exact"/>
        <w:rPr>
          <w:sz w:val="20"/>
          <w:szCs w:val="20"/>
          <w:color w:val="auto"/>
        </w:rPr>
      </w:pPr>
    </w:p>
    <w:p>
      <w:pPr>
        <w:ind w:left="9" w:right="3579" w:firstLine="1597"/>
        <w:spacing w:after="0" w:line="258" w:lineRule="auto"/>
        <w:rPr>
          <w:sz w:val="20"/>
          <w:szCs w:val="20"/>
          <w:color w:val="auto"/>
        </w:rPr>
      </w:pPr>
      <w:r>
        <w:rPr>
          <w:rFonts w:ascii="Courier New" w:cs="Courier New" w:eastAsia="Courier New" w:hAnsi="Courier New"/>
          <w:sz w:val="14"/>
          <w:szCs w:val="14"/>
          <w:color w:val="auto"/>
        </w:rPr>
        <w:t>In accordance with the Warrant enclosed with this Form of Election to Purchase, the undersigned hereby irrevocably elects to purchase</w:t>
      </w:r>
    </w:p>
    <w:p>
      <w:pPr>
        <w:ind w:left="9"/>
        <w:spacing w:after="0" w:line="236" w:lineRule="auto"/>
        <w:rPr>
          <w:sz w:val="20"/>
          <w:szCs w:val="20"/>
          <w:color w:val="auto"/>
        </w:rPr>
      </w:pPr>
      <w:r>
        <w:rPr>
          <w:rFonts w:ascii="Courier New" w:cs="Courier New" w:eastAsia="Courier New" w:hAnsi="Courier New"/>
          <w:sz w:val="15"/>
          <w:szCs w:val="15"/>
          <w:color w:val="auto"/>
        </w:rPr>
        <w:t>_____________ shares of common stock, $.01 par value per share, of STEMCELLS,</w:t>
      </w:r>
    </w:p>
    <w:p>
      <w:pPr>
        <w:spacing w:after="0" w:line="4" w:lineRule="exact"/>
        <w:rPr>
          <w:sz w:val="20"/>
          <w:szCs w:val="20"/>
          <w:color w:val="auto"/>
        </w:rPr>
      </w:pPr>
    </w:p>
    <w:p>
      <w:pPr>
        <w:ind w:left="9" w:right="3399"/>
        <w:spacing w:after="0" w:line="258" w:lineRule="auto"/>
        <w:rPr>
          <w:sz w:val="20"/>
          <w:szCs w:val="20"/>
          <w:color w:val="auto"/>
        </w:rPr>
      </w:pPr>
      <w:r>
        <w:rPr>
          <w:rFonts w:ascii="Courier New" w:cs="Courier New" w:eastAsia="Courier New" w:hAnsi="Courier New"/>
          <w:sz w:val="14"/>
          <w:szCs w:val="14"/>
          <w:color w:val="auto"/>
        </w:rPr>
        <w:t>INC. (the "Common Stock") and , if such Holder is not utilizing the cashless exercise provisions set forth in this Warrant, encloses herewith $________ in</w:t>
      </w:r>
    </w:p>
    <w:p>
      <w:pPr>
        <w:ind w:left="9" w:right="3119"/>
        <w:spacing w:after="0" w:line="239" w:lineRule="auto"/>
        <w:rPr>
          <w:sz w:val="20"/>
          <w:szCs w:val="20"/>
          <w:color w:val="auto"/>
        </w:rPr>
      </w:pPr>
      <w:r>
        <w:rPr>
          <w:rFonts w:ascii="Courier New" w:cs="Courier New" w:eastAsia="Courier New" w:hAnsi="Courier New"/>
          <w:sz w:val="15"/>
          <w:szCs w:val="15"/>
          <w:color w:val="auto"/>
        </w:rPr>
        <w:t>cash, certified or official bank check or checks, which sum represents the aggregate Exercise Price (as defined in the Warrant) for the number of shares of Common Stock to which this Form of Election to Purchase relates, together with any applicable taxes payable by the undersigned pursuant to the Warrant.</w:t>
      </w:r>
    </w:p>
    <w:p>
      <w:pPr>
        <w:spacing w:after="0" w:line="176" w:lineRule="exact"/>
        <w:rPr>
          <w:sz w:val="20"/>
          <w:szCs w:val="20"/>
          <w:color w:val="auto"/>
        </w:rPr>
      </w:pPr>
    </w:p>
    <w:p>
      <w:pPr>
        <w:ind w:left="9" w:right="3299" w:firstLine="1597"/>
        <w:spacing w:after="0" w:line="238" w:lineRule="auto"/>
        <w:rPr>
          <w:sz w:val="20"/>
          <w:szCs w:val="20"/>
          <w:color w:val="auto"/>
        </w:rPr>
      </w:pPr>
      <w:r>
        <w:rPr>
          <w:rFonts w:ascii="Courier New" w:cs="Courier New" w:eastAsia="Courier New" w:hAnsi="Courier New"/>
          <w:sz w:val="15"/>
          <w:szCs w:val="15"/>
          <w:color w:val="auto"/>
        </w:rPr>
        <w:t>The undersigned requests that certificates for the shares of Common Stock issuable upon this exercise be issued in the name of</w:t>
      </w:r>
    </w:p>
    <w:p>
      <w:pPr>
        <w:spacing w:after="0" w:line="172"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PLEASE INSERT SOCIAL SECURITY OR</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TAX IDENTIFICATION NUMBER</w:t>
      </w:r>
    </w:p>
    <w:p>
      <w:pPr>
        <w:spacing w:after="0" w:line="17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69" w:hanging="169"/>
        <w:spacing w:after="0"/>
        <w:tabs>
          <w:tab w:leader="none" w:pos="169"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1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 name and address)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If the number of shares of Common Stock issuable upon this exercise shall not be all of the shares of Common Stock which the undersigned is entitled to purchase in accordance with the enclosed Warrant, the undersigned requests that a New Warrant (as defined in the Warrant) evidencing the right to purchase the shares of Common Stock not issuable pursuant to the exercise evidenced hereby be issued in the name of and delivered to:</w:t>
      </w:r>
    </w:p>
    <w:p>
      <w:pPr>
        <w:spacing w:after="0" w:line="346" w:lineRule="exact"/>
        <w:rPr>
          <w:sz w:val="20"/>
          <w:szCs w:val="20"/>
          <w:color w:val="auto"/>
        </w:rPr>
      </w:pPr>
    </w:p>
    <w:p>
      <w:pPr>
        <w:ind w:left="169" w:hanging="169"/>
        <w:spacing w:after="0"/>
        <w:tabs>
          <w:tab w:leader="none" w:pos="16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2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 name and address)</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28" w:right="1440" w:bottom="1440" w:gutter="0" w:footer="0" w:header="0"/>
        </w:sectPr>
      </w:pPr>
    </w:p>
    <w:bookmarkStart w:id="128" w:name="page129"/>
    <w:bookmarkEnd w:id="128"/>
    <w:p>
      <w:pPr>
        <w:ind w:left="169" w:hanging="169"/>
        <w:spacing w:after="0"/>
        <w:tabs>
          <w:tab w:leader="none" w:pos="16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631" w:right="1440" w:bottom="1440" w:gutter="0" w:footer="0" w:header="0"/>
        </w:sectPr>
      </w:pP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Holder:</w:t>
      </w:r>
    </w:p>
    <w:p>
      <w:pPr>
        <w:spacing w:after="0" w:line="370" w:lineRule="exact"/>
        <w:rPr>
          <w:sz w:val="20"/>
          <w:szCs w:val="20"/>
          <w:color w:val="auto"/>
        </w:rPr>
      </w:pPr>
    </w:p>
    <w:p>
      <w:pPr>
        <w:sectPr>
          <w:pgSz w:w="11900" w:h="16838" w:orient="portrait"/>
          <w:cols w:equalWidth="0" w:num="3">
            <w:col w:w="529" w:space="100"/>
            <w:col w:w="1760" w:space="620"/>
            <w:col w:w="7219"/>
          </w:cols>
          <w:pgMar w:left="231" w:top="631" w:right="1440" w:bottom="1440" w:gutter="0" w:footer="0" w:header="0"/>
          <w:type w:val="continuous"/>
        </w:sectPr>
      </w:pPr>
    </w:p>
    <w:p>
      <w:pPr>
        <w:spacing w:after="0" w:line="15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(Print)</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3289"/>
        <w:spacing w:after="0"/>
        <w:rPr>
          <w:sz w:val="20"/>
          <w:szCs w:val="20"/>
          <w:color w:val="auto"/>
        </w:rPr>
      </w:pPr>
      <w:r>
        <w:rPr>
          <w:rFonts w:ascii="Courier New" w:cs="Courier New" w:eastAsia="Courier New" w:hAnsi="Courier New"/>
          <w:sz w:val="14"/>
          <w:szCs w:val="14"/>
          <w:color w:val="auto"/>
        </w:rPr>
        <w:t>(Signature must conform in all respects to</w:t>
      </w:r>
    </w:p>
    <w:p>
      <w:pPr>
        <w:spacing w:after="0" w:line="12" w:lineRule="exact"/>
        <w:rPr>
          <w:sz w:val="20"/>
          <w:szCs w:val="20"/>
          <w:color w:val="auto"/>
        </w:rPr>
      </w:pPr>
    </w:p>
    <w:p>
      <w:pPr>
        <w:ind w:left="3289"/>
        <w:spacing w:after="0"/>
        <w:rPr>
          <w:sz w:val="20"/>
          <w:szCs w:val="20"/>
          <w:color w:val="auto"/>
        </w:rPr>
      </w:pPr>
      <w:r>
        <w:rPr>
          <w:rFonts w:ascii="Courier New" w:cs="Courier New" w:eastAsia="Courier New" w:hAnsi="Courier New"/>
          <w:sz w:val="14"/>
          <w:szCs w:val="14"/>
          <w:color w:val="auto"/>
        </w:rPr>
        <w:t>name of holder as specified on the face of</w:t>
      </w:r>
    </w:p>
    <w:p>
      <w:pPr>
        <w:spacing w:after="0" w:line="9"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the Warrant)</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1" w:right="1440" w:bottom="1440" w:gutter="0" w:footer="0" w:header="0"/>
          <w:type w:val="continuous"/>
        </w:sectPr>
      </w:pPr>
    </w:p>
    <w:bookmarkStart w:id="129" w:name="page130"/>
    <w:bookmarkEnd w:id="129"/>
    <w:p>
      <w:pPr>
        <w:jc w:val="center"/>
        <w:ind w:right="3139"/>
        <w:spacing w:after="0"/>
        <w:rPr>
          <w:sz w:val="20"/>
          <w:szCs w:val="20"/>
          <w:color w:val="auto"/>
        </w:rPr>
      </w:pPr>
      <w:r>
        <w:rPr>
          <w:rFonts w:ascii="Courier New" w:cs="Courier New" w:eastAsia="Courier New" w:hAnsi="Courier New"/>
          <w:sz w:val="15"/>
          <w:szCs w:val="15"/>
          <w:color w:val="auto"/>
        </w:rPr>
        <w:t>FORM OF ASSIGNMENT</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[To be completed and signed only upon transfer of Warrant]</w:t>
      </w:r>
    </w:p>
    <w:p>
      <w:pPr>
        <w:spacing w:after="0" w:line="174" w:lineRule="exact"/>
        <w:rPr>
          <w:sz w:val="20"/>
          <w:szCs w:val="20"/>
          <w:color w:val="auto"/>
        </w:rPr>
      </w:pPr>
    </w:p>
    <w:p>
      <w:pPr>
        <w:ind w:right="3219" w:firstLine="1597"/>
        <w:spacing w:after="0" w:line="258" w:lineRule="auto"/>
        <w:rPr>
          <w:sz w:val="20"/>
          <w:szCs w:val="20"/>
          <w:color w:val="auto"/>
        </w:rPr>
      </w:pPr>
      <w:r>
        <w:rPr>
          <w:rFonts w:ascii="Courier New" w:cs="Courier New" w:eastAsia="Courier New" w:hAnsi="Courier New"/>
          <w:sz w:val="14"/>
          <w:szCs w:val="14"/>
          <w:color w:val="auto"/>
        </w:rPr>
        <w:t>FOR VALUE RECEIVED, the undersigned hereby sells, assigns and transfers unto ________________________________ the right represented by the</w:t>
      </w:r>
    </w:p>
    <w:p>
      <w:pPr>
        <w:spacing w:after="0" w:line="236" w:lineRule="auto"/>
        <w:rPr>
          <w:sz w:val="20"/>
          <w:szCs w:val="20"/>
          <w:color w:val="auto"/>
        </w:rPr>
      </w:pPr>
      <w:r>
        <w:rPr>
          <w:rFonts w:ascii="Courier New" w:cs="Courier New" w:eastAsia="Courier New" w:hAnsi="Courier New"/>
          <w:sz w:val="15"/>
          <w:szCs w:val="15"/>
          <w:color w:val="auto"/>
        </w:rPr>
        <w:t>within Warrant to purchase ____________ shares of Common Stock of StemCells,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to which the within Warrant relates and appoints ________________ attorney</w:t>
      </w:r>
    </w:p>
    <w:p>
      <w:pPr>
        <w:spacing w:after="0" w:line="12"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to transfer said right on the books of StemCells, Inc. with full power of substitution in the premises.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(Signature must conform in all respects to name</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of holder as specified on the face of the</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Warrant)</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Address of Transferee</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presence of:</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28" w:right="1440" w:bottom="1440" w:gutter="0" w:footer="0" w:header="0"/>
        </w:sectPr>
      </w:pPr>
    </w:p>
    <w:bookmarkStart w:id="130" w:name="page131"/>
    <w:bookmarkEnd w:id="130"/>
    <w:p>
      <w:pPr>
        <w:ind w:left="6020"/>
        <w:spacing w:after="0"/>
        <w:rPr>
          <w:sz w:val="20"/>
          <w:szCs w:val="20"/>
          <w:color w:val="auto"/>
        </w:rPr>
      </w:pPr>
      <w:r>
        <w:rPr>
          <w:rFonts w:ascii="Courier New" w:cs="Courier New" w:eastAsia="Courier New" w:hAnsi="Courier New"/>
          <w:sz w:val="14"/>
          <w:szCs w:val="14"/>
          <w:color w:val="auto"/>
        </w:rPr>
        <w:t>EXHIBIT 4.15</w:t>
      </w:r>
    </w:p>
    <w:p>
      <w:pPr>
        <w:spacing w:after="0" w:line="18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NEITHER THESE SECURITIES NOR THE SECURITIES INTO WHICH THESE SECURITIES ARE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THE REGISTRATION REQUIREMENTS THEREUNDER AND IN COMPLIANCE WITH APPLICABLE STATE SECURITIES OR BLUE SKY LAWS.</w:t>
      </w:r>
    </w:p>
    <w:p>
      <w:pPr>
        <w:spacing w:after="0" w:line="177"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Right to Purchase the Specified Number of Shares of Common Stock of StemCells, Inc.</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COMMON STOCK PURCHASE WARRANT, CLASS 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A-3</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STEMCELLS, INC., a Delaware corporation (the "Company"), hereby certifies that, for value received, Millennium Partners, L.P. or its registered assigns (the "Holder"), is entitled, subject to the terms set forth below, to purchase from the Company at any time or from time to time during the Exercise Period (such capitalized term and all other capitalized terms used herein having the respective meanings provided herein), the Specified Number of fully paid and nonassessable shares of Common Stock at a purchase price per share equal to the Purchase Price. The number of such shares of Common Stock is subject to adjustment as provided in this Warrant.</w:t>
      </w:r>
    </w:p>
    <w:p>
      <w:pPr>
        <w:spacing w:after="0" w:line="177" w:lineRule="exact"/>
        <w:rPr>
          <w:sz w:val="20"/>
          <w:szCs w:val="20"/>
          <w:color w:val="auto"/>
        </w:rPr>
      </w:pPr>
    </w:p>
    <w:p>
      <w:pPr>
        <w:ind w:right="3839" w:firstLine="1597"/>
        <w:spacing w:after="0" w:line="238" w:lineRule="auto"/>
        <w:rPr>
          <w:sz w:val="20"/>
          <w:szCs w:val="20"/>
          <w:color w:val="auto"/>
        </w:rPr>
      </w:pPr>
      <w:r>
        <w:rPr>
          <w:rFonts w:ascii="Courier New" w:cs="Courier New" w:eastAsia="Courier New" w:hAnsi="Courier New"/>
          <w:sz w:val="15"/>
          <w:szCs w:val="15"/>
          <w:color w:val="auto"/>
        </w:rPr>
        <w:t>As used herein the following terms, unless the context otherwise requires, have the following respective meanings:</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"Adjustment Date" means any of the First Adjustment Date and each date which occurs every 90 days after the First Adjustment Date through and including the date which is 810 days after the Issuance Date.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"Adjustment Factor" means 1.015.</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"Adjustment Shares" means the number of shares of Common Stock, determined on each Adjustment Date in accordance with Section 1.3(a), to be added to the Specified Number on each Adjustment Date in accordance with Section 1.3(b).</w:t>
      </w:r>
    </w:p>
    <w:p>
      <w:pPr>
        <w:spacing w:after="0" w:line="176" w:lineRule="exact"/>
        <w:rPr>
          <w:sz w:val="20"/>
          <w:szCs w:val="20"/>
          <w:color w:val="auto"/>
        </w:rPr>
      </w:pPr>
    </w:p>
    <w:p>
      <w:pPr>
        <w:ind w:right="3479" w:firstLine="1597"/>
        <w:spacing w:after="0" w:line="239" w:lineRule="auto"/>
        <w:rPr>
          <w:sz w:val="20"/>
          <w:szCs w:val="20"/>
          <w:color w:val="auto"/>
        </w:rPr>
      </w:pPr>
      <w:r>
        <w:rPr>
          <w:rFonts w:ascii="Courier New" w:cs="Courier New" w:eastAsia="Courier New" w:hAnsi="Courier New"/>
          <w:sz w:val="15"/>
          <w:szCs w:val="15"/>
          <w:color w:val="auto"/>
        </w:rPr>
        <w:t>"Auditors" means Ernst &amp; Young LLP or such other firm of independent public accountants of recognized national standing as shall have been engaged by the Company to audit its financial statements.</w:t>
      </w:r>
    </w:p>
    <w:p>
      <w:pPr>
        <w:sectPr>
          <w:pgSz w:w="11900" w:h="16838" w:orient="portrait"/>
          <w:cols w:equalWidth="0" w:num="1">
            <w:col w:w="10219"/>
          </w:cols>
          <w:pgMar w:left="240" w:top="483" w:right="1440" w:bottom="1440" w:gutter="0" w:footer="0" w:header="0"/>
        </w:sectPr>
      </w:pPr>
    </w:p>
    <w:bookmarkStart w:id="131" w:name="page132"/>
    <w:bookmarkEnd w:id="131"/>
    <w:p>
      <w:pPr>
        <w:ind w:right="3119" w:firstLine="1597"/>
        <w:spacing w:after="0" w:line="238" w:lineRule="auto"/>
        <w:rPr>
          <w:sz w:val="20"/>
          <w:szCs w:val="20"/>
          <w:color w:val="auto"/>
        </w:rPr>
      </w:pPr>
      <w:r>
        <w:rPr>
          <w:rFonts w:ascii="Courier New" w:cs="Courier New" w:eastAsia="Courier New" w:hAnsi="Courier New"/>
          <w:sz w:val="15"/>
          <w:szCs w:val="15"/>
          <w:color w:val="auto"/>
        </w:rPr>
        <w:t>"Average Market Price" means the arithmetic average of the ten (10) lowest Market Prices during the applicable Measurement Period.</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"Cash and Cash Equivalent Balances" of any person on any date shall be determined from such person's books maintained in accordance with Generally Accepted Accounting Principles, and means, without duplication, the sum of (1) the cash accrued by such person and its subsidiaries on a consolidated basis on such date and available for use by such person and its subsidiaries on such date and (2) all assets which would, on a consolidated balance sheet of such person and its subsidiaries prepared as of such date in accordance with Generally Accepted Accounting Principles, be classified as cash or cash equivalents, less the amount thereof which secures any outstanding indebtedness of such person or its subsidiaries.</w:t>
      </w:r>
    </w:p>
    <w:p>
      <w:pPr>
        <w:spacing w:after="0" w:line="178"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"Callable Warrant" means the Callable Warrant, issued by the Company pursuant to the Subscription Agreement.</w:t>
      </w:r>
    </w:p>
    <w:p>
      <w:pPr>
        <w:spacing w:after="0" w:line="175" w:lineRule="exact"/>
        <w:rPr>
          <w:sz w:val="20"/>
          <w:szCs w:val="20"/>
          <w:color w:val="auto"/>
        </w:rPr>
      </w:pPr>
    </w:p>
    <w:p>
      <w:pPr>
        <w:ind w:right="3219" w:firstLine="1597"/>
        <w:spacing w:after="0" w:line="261" w:lineRule="auto"/>
        <w:rPr>
          <w:sz w:val="20"/>
          <w:szCs w:val="20"/>
          <w:color w:val="auto"/>
        </w:rPr>
      </w:pPr>
      <w:r>
        <w:rPr>
          <w:rFonts w:ascii="Courier New" w:cs="Courier New" w:eastAsia="Courier New" w:hAnsi="Courier New"/>
          <w:sz w:val="14"/>
          <w:szCs w:val="14"/>
          <w:color w:val="auto"/>
        </w:rPr>
        <w:t>"Class A Warrant Shares" means those shares of Common Stock issued upon exercise of this Warrant (subject to equitable adjustment from time to time on terms reasonably acceptable to the Holder for stock splits, stock dividends, combinations, recapitalizations, reclassifications, distributions, Tender Offers and similar events occurring after the Issuance Date).</w:t>
      </w:r>
    </w:p>
    <w:p>
      <w:pPr>
        <w:spacing w:after="0" w:line="15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"Commission" means the Securities and Exchange Commission.</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"Common Shares Held" as of any date means the sum of (1) the number of Initial Shares which are then held by the Holder plus (2) the number of Class A Warrant Shares which are then held by the Holder plus (3) the number of shares of Common Stock which are issuable upon exercise of this Warrant immediately prior to the determination of the number of Adjustment Shares pursuant to Section 1.3(a).</w:t>
      </w:r>
    </w:p>
    <w:p>
      <w:pPr>
        <w:spacing w:after="0" w:line="175" w:lineRule="exact"/>
        <w:rPr>
          <w:sz w:val="20"/>
          <w:szCs w:val="20"/>
          <w:color w:val="auto"/>
        </w:rPr>
      </w:pPr>
    </w:p>
    <w:p>
      <w:pPr>
        <w:ind w:right="3119" w:firstLine="1597"/>
        <w:spacing w:after="0" w:line="262" w:lineRule="auto"/>
        <w:rPr>
          <w:sz w:val="20"/>
          <w:szCs w:val="20"/>
          <w:color w:val="auto"/>
        </w:rPr>
      </w:pPr>
      <w:r>
        <w:rPr>
          <w:rFonts w:ascii="Courier New" w:cs="Courier New" w:eastAsia="Courier New" w:hAnsi="Courier New"/>
          <w:sz w:val="14"/>
          <w:szCs w:val="14"/>
          <w:color w:val="auto"/>
        </w:rPr>
        <w:t>"Common Stock" means the Company's Common Stock, $.01 par value per share, as authorized on the date hereof, and any other securities into which or for which the Common Stock may be converted or exchanged pursuant to a plan of recapitalization, reorganization, merger, sale of assets or otherwise.</w:t>
      </w:r>
    </w:p>
    <w:p>
      <w:pPr>
        <w:spacing w:after="0" w:line="161"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"Company" shall include StemCells, Inc., a Delaware corporation, and any corporation that shall succeed to or assume the obligations of StemCells, Inc. hereunder in accordance with the terms hereof.</w:t>
      </w:r>
    </w:p>
    <w:p>
      <w:pPr>
        <w:spacing w:after="0" w:line="175"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"Control Notice" means a notice given by the Company to the Holder, in accordance with Section 1.5(b), (i) stating that a Share Limitation Event has occurred by reason of events which are not solely within the control of the Company and (ii) enclosing an executed copy of an Auditors' Determination.</w:t>
      </w:r>
    </w:p>
    <w:p>
      <w:pPr>
        <w:spacing w:after="0" w:line="174" w:lineRule="exact"/>
        <w:rPr>
          <w:sz w:val="20"/>
          <w:szCs w:val="20"/>
          <w:color w:val="auto"/>
        </w:rPr>
      </w:pPr>
    </w:p>
    <w:p>
      <w:pPr>
        <w:ind w:right="3219" w:firstLine="1597"/>
        <w:spacing w:after="0" w:line="271" w:lineRule="auto"/>
        <w:rPr>
          <w:sz w:val="20"/>
          <w:szCs w:val="20"/>
          <w:color w:val="auto"/>
        </w:rPr>
      </w:pPr>
      <w:r>
        <w:rPr>
          <w:rFonts w:ascii="Courier New" w:cs="Courier New" w:eastAsia="Courier New" w:hAnsi="Courier New"/>
          <w:sz w:val="14"/>
          <w:szCs w:val="14"/>
          <w:color w:val="auto"/>
        </w:rPr>
        <w:t>"Exercise Period" means the period commencing on the First Adjustment Date and ending thirty (30) days following the Last Adjustment Date.</w:t>
      </w:r>
    </w:p>
    <w:p>
      <w:pPr>
        <w:spacing w:after="0" w:line="15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"First Adjustment Date" means the date which is 180 days after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Issuance Date.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132" w:name="page133"/>
    <w:bookmarkEnd w:id="132"/>
    <w:p>
      <w:pPr>
        <w:ind w:right="3119" w:firstLine="1597"/>
        <w:spacing w:after="0" w:line="264" w:lineRule="auto"/>
        <w:rPr>
          <w:sz w:val="20"/>
          <w:szCs w:val="20"/>
          <w:color w:val="auto"/>
        </w:rPr>
      </w:pPr>
      <w:r>
        <w:rPr>
          <w:rFonts w:ascii="Courier New" w:cs="Courier New" w:eastAsia="Courier New" w:hAnsi="Courier New"/>
          <w:sz w:val="14"/>
          <w:szCs w:val="14"/>
          <w:color w:val="auto"/>
        </w:rPr>
        <w:t>"Generally Accepted Accounting Principles" for any person means the generally accepted accounting principles and practices applied by such person from time to time in the preparation of its audited financial statements.</w:t>
      </w:r>
    </w:p>
    <w:p>
      <w:pPr>
        <w:spacing w:after="0" w:line="159"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"Holder Repurchase Price" means, for each share of Common Stock which may not be issued upon exercise of this Warrant by reason of the Shareholder Approval Rule in accordance with Section 1.4 (c), 120% of the greater of: (x) the arithmetic average of the Market Price on each of the five consecutive Trading Days immediately prior to and including the expiration of the 75-day period referred to in Section 1.4(c) or the Repurchase Date referred to in Section 1.4(b), as the case may be, (y) the arithmetic average of the Market Price on each of the five consecutive Trading Days immediately prior to the repurchase date pursuant to Section 1.4(c) or Section 1.4(b) and (z) if determined prior to the First Adjustment Date, the price per share paid by the Holder for the shares of Common Stock purchased on the Issuance Date pursuant to the Subscription Agreement or, if determined on or after the First Adjustment Date, the most recent Adjustment Price (subject to equitable adjustment from time to time on terms reasonably acceptable to the Holder for stock splits, stock dividends, combinations, recapitalizations, reclassifications, distributions, Tender Offers and similar events occurring after the Issuance Date).</w:t>
      </w:r>
    </w:p>
    <w:p>
      <w:pPr>
        <w:spacing w:after="0" w:line="183"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"Initial Shares" means those shares of Common Stock purchased by the Holder on or about the Issuance Date pursuant to the Subscription Agreement (subject to equitable adjustment from time to time on terms reasonably acceptable to the Holder for stock splits, stock dividends, combinations, recapitalizations, reclassifications, distributions, Tender Offers and similar events occurring after the Issuance Date), excluding shares issuable pursuant to the Callable Warrant.</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"Issuance Date" means the first date of original issuance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Warrant.</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"Market Price" of the Common Stock on any date means the closing bid price for one share of Common Stock on such date on the first applicable among the following: (a) the national securities exchange on which the shares of Common Stock are listed which constitutes the principal securities market for the Common Stock, (b) the Nasdaq, if the Nasdaq constitutes the principal market for the Common Stock on such date, or (c) the Nasdaq SmallCap, if the Nasdaq SmallCap constitutes the principal securities market for the Common Stock on such date, in any such case as reported by Bloomberg, LP.; provided, however, that if during any Measurement Period or other period during which the Market Price is being determined:</w:t>
      </w:r>
    </w:p>
    <w:p>
      <w:pPr>
        <w:spacing w:after="0" w:line="178" w:lineRule="exact"/>
        <w:rPr>
          <w:sz w:val="20"/>
          <w:szCs w:val="20"/>
          <w:color w:val="auto"/>
        </w:rPr>
      </w:pPr>
    </w:p>
    <w:p>
      <w:pPr>
        <w:ind w:left="1580" w:right="3119" w:firstLine="807"/>
        <w:spacing w:after="0" w:line="259" w:lineRule="auto"/>
        <w:tabs>
          <w:tab w:leader="none" w:pos="2734"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declare or pay a dividend or make a distribution to all holders of the outstanding Common Stock in shares of Common Stock or fix any record date for any such action, then the Market Price for each day in such Measurement Period or such other period which day is prior to the earlier of (1) the date fixed for the determination of stockholders entitled to receive such dividend or other distribution and (2) the date on which ex-dividend trading in the Common Stock with respect to such dividend or distribution begins shall be reduced by multiplying the Market Price (determined without regard to this proviso) for each such day in such Measurement Period or such other period by a fraction, the numerator of which shall be the number of shares of Common</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33" w:name="page134"/>
    <w:bookmarkEnd w:id="133"/>
    <w:p>
      <w:pPr>
        <w:ind w:left="380"/>
        <w:spacing w:after="0"/>
        <w:rPr>
          <w:sz w:val="20"/>
          <w:szCs w:val="20"/>
          <w:color w:val="auto"/>
        </w:rPr>
      </w:pPr>
      <w:r>
        <w:rPr>
          <w:rFonts w:ascii="Courier New" w:cs="Courier New" w:eastAsia="Courier New" w:hAnsi="Courier New"/>
          <w:sz w:val="15"/>
          <w:szCs w:val="15"/>
          <w:color w:val="auto"/>
        </w:rPr>
        <w:t>Stock outstanding at the close of business on the earlier of</w:t>
      </w:r>
    </w:p>
    <w:p>
      <w:pPr>
        <w:spacing w:after="0" w:line="3" w:lineRule="exact"/>
        <w:rPr>
          <w:sz w:val="20"/>
          <w:szCs w:val="20"/>
          <w:color w:val="auto"/>
        </w:rPr>
      </w:pPr>
    </w:p>
    <w:p>
      <w:pPr>
        <w:ind w:left="380" w:right="3119" w:firstLine="8"/>
        <w:spacing w:after="0"/>
        <w:tabs>
          <w:tab w:leader="none" w:pos="735"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fixed for such determination and (2) the date on which ex-dividend trading in the Common Stock with respect to such dividend or distribution begins and the denominator of which shall be the sum of such number of shares and the total number of shares constituting such dividend or other distribution;</w:t>
      </w:r>
    </w:p>
    <w:p>
      <w:pPr>
        <w:spacing w:after="0" w:line="175" w:lineRule="exact"/>
        <w:rPr>
          <w:rFonts w:ascii="Courier New" w:cs="Courier New" w:eastAsia="Courier New" w:hAnsi="Courier New"/>
          <w:sz w:val="15"/>
          <w:szCs w:val="15"/>
          <w:color w:val="auto"/>
        </w:rPr>
      </w:pPr>
    </w:p>
    <w:p>
      <w:pPr>
        <w:ind w:left="380" w:right="3219" w:firstLine="807"/>
        <w:spacing w:after="0" w:line="258" w:lineRule="auto"/>
        <w:tabs>
          <w:tab w:leader="none" w:pos="1622"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issue rights or warrants to all holders of its outstanding shares of Common Stock, or fix a record date for such issuance, which rights or warrants entitle such holders (for a period expiring within forty-five</w:t>
      </w:r>
    </w:p>
    <w:p>
      <w:pPr>
        <w:ind w:left="840" w:hanging="452"/>
        <w:spacing w:after="0"/>
        <w:tabs>
          <w:tab w:leader="none" w:pos="84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date fixed for the determination of</w:t>
      </w:r>
    </w:p>
    <w:p>
      <w:pPr>
        <w:spacing w:after="0" w:line="3" w:lineRule="exact"/>
        <w:rPr>
          <w:rFonts w:ascii="Courier New" w:cs="Courier New" w:eastAsia="Courier New" w:hAnsi="Courier New"/>
          <w:sz w:val="15"/>
          <w:szCs w:val="15"/>
          <w:color w:val="auto"/>
        </w:rPr>
      </w:pPr>
    </w:p>
    <w:p>
      <w:pPr>
        <w:ind w:left="380"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stockholders entitled to receive such rights or warrants) to subscribe for or purchase shares of Common Stock at a price per share less than the Market Price (determined without regard to this proviso) for any day in such Measurement Period or such other period which day is prior to the end of such</w:t>
      </w:r>
    </w:p>
    <w:p>
      <w:pPr>
        <w:ind w:left="38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45-day period, then the Market Price for each such day shall be reduced so that the same shall equal the price determined by multiplying the Market Price (determined without regard to this proviso) by a fraction, the numerator of which shall be the number of shares of Common Stock outstanding at the close of business on the record date fixed for the determination of stockholders entitled to receive such rights or warrants plus the number of shares which the aggregate offering price of the total number of shares so offered would purchase at such Market Price, and the denominator of which shall be the number of shares of Common Stock outstanding on the close of business on such record date plus the total number of additional shares of Common Stock so offered for subscription or purchase. In determining whether any rights or warrants entitle the holders to subscribe for or purchase shares of Common Stock at less than the Market Price (determined without regard to this proviso), and in determining the aggregate offering price of such shares of Common Stock, there shall be taken into account any consideration received for such rights or warrants, the value of such consideration, if other than cash, to be determined in good faith by a resolution of the Board of Directors of the Company;</w:t>
      </w:r>
    </w:p>
    <w:p>
      <w:pPr>
        <w:spacing w:after="0" w:line="187" w:lineRule="exact"/>
        <w:rPr>
          <w:rFonts w:ascii="Courier New" w:cs="Courier New" w:eastAsia="Courier New" w:hAnsi="Courier New"/>
          <w:sz w:val="15"/>
          <w:szCs w:val="15"/>
          <w:color w:val="auto"/>
        </w:rPr>
      </w:pPr>
    </w:p>
    <w:p>
      <w:pPr>
        <w:ind w:left="380" w:right="3119" w:firstLine="807"/>
        <w:spacing w:after="0" w:line="259" w:lineRule="auto"/>
        <w:tabs>
          <w:tab w:leader="none" w:pos="1711"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shares of Common Stock shall be subdivided into a greater number of shares of Common Stock or a record date for any such subdivision shall be fixed, then the Market Price of the Common Stock for each day in such Measurement Period or such other period which day is prior to the earlier of (1) the day upon which such subdivision becomes effective and (2) the date on which ex-dividend trading in the Common Stock with respect to such subdivision begins shall be proportionately reduced, and conversely, in case the outstanding shares of Common Stock shall be combined into a smaller number of shares of Common Stock, the Market Price for each day in such Measurement Period or such other period which day is prior to the earlier of (1) the date on which such combination becomes effective and (2) the date on which trading in the Common Stock on a basis which gives effect to such combination begins, shall be proportionately increased;</w:t>
      </w:r>
    </w:p>
    <w:p>
      <w:pPr>
        <w:spacing w:after="0" w:line="33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28" w:right="1440" w:bottom="1440" w:gutter="0" w:footer="0" w:header="0"/>
        </w:sectPr>
      </w:pPr>
    </w:p>
    <w:bookmarkStart w:id="134" w:name="page135"/>
    <w:bookmarkEnd w:id="134"/>
    <w:p>
      <w:pPr>
        <w:ind w:left="380" w:right="3119" w:firstLine="807"/>
        <w:spacing w:after="0"/>
        <w:tabs>
          <w:tab w:leader="none" w:pos="162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by dividend or otherwise, distribute to all holders of its Common Stock shares of any class of capital stock of the Company (other than any dividends or distributions to which clause (i) of this proviso applies) or evidences of its indebtedness, cash or other assets (including securities, but excluding any rights or warrants referred to in clause (ii) of this proviso and dividends and distributions paid exclusively in cash and excluding any capital stock, evidences of indebtedness, cash or assets distributed upon a merger or consolidation) (the foregoing hereinafter in this clause (iv) of this proviso called the "Securities"), or fix a record date for any such distribution, then, in each such case, the Market Price for each day in such Measurement Period or such other period which day is prior to the earlier of (1) the record date for such distribution and (2) the date on which ex-dividend trading in the Common Stock with respect to such distribution begins shall be reduced so that the same shall be equal to the price determined by multiplying the Market Price (determined without regard to this proviso) by a fraction, the numerator of which shall be the Market Price (determined without regard to this proviso) for such date less the fair market value (as determined in good faith by resolution of the Board of Directors of the Company) on such date of the portion of the Securities so distributed or to be distributed applicable to one share of Common Stock and the denominator of which shall be the Market Price (determined without regard to this proviso) for such date. If the Board of Directors of the Company determines the fair market value of any distribution for purposes of this clause (iv) by reference to the actual or when issued trading market for any Securities comprising all or part of such distribution, it must in doing so consider the prices in such market on the same day for which an adjustment in the Market Price is being determined.</w:t>
      </w:r>
    </w:p>
    <w:p>
      <w:pPr>
        <w:spacing w:after="0" w:line="19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For purposes of this clause (iv) and clauses (i) and</w:t>
      </w:r>
    </w:p>
    <w:p>
      <w:pPr>
        <w:spacing w:after="0" w:line="3" w:lineRule="exact"/>
        <w:rPr>
          <w:sz w:val="20"/>
          <w:szCs w:val="20"/>
          <w:color w:val="auto"/>
        </w:rPr>
      </w:pPr>
    </w:p>
    <w:p>
      <w:pPr>
        <w:ind w:left="380" w:right="3119" w:firstLine="8"/>
        <w:spacing w:after="0" w:line="258" w:lineRule="auto"/>
        <w:tabs>
          <w:tab w:leader="none" w:pos="82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proviso, any dividend or distribution to which this clause (iv) is applicable that also includes shares of Common Stock, or rights or warrants to subscribe for or purchase shares of Common Stock to which clause (i) or (ii) of this proviso applies (or both), shall be deemed instead to be</w:t>
      </w:r>
    </w:p>
    <w:p>
      <w:pPr>
        <w:ind w:left="380" w:right="31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a dividend or distribution of the evidences of indebtedness, assets, shares of capital stock, rights or warrants other than such shares of Common Stock or rights or warrants to which clause (i) or (ii) of this proviso applies (and any Market Price reduction required by this clause (iv) with respect to such dividend or distribution shall then be made) immediately followed by (2) a dividend or distribution of such shares of Common Stock or such rights or warrants (and any further Market Price reduction required by clauses (i) and</w:t>
      </w:r>
    </w:p>
    <w:p>
      <w:pPr>
        <w:spacing w:after="0" w:line="1" w:lineRule="exact"/>
        <w:rPr>
          <w:rFonts w:ascii="Courier New" w:cs="Courier New" w:eastAsia="Courier New" w:hAnsi="Courier New"/>
          <w:sz w:val="14"/>
          <w:szCs w:val="14"/>
          <w:color w:val="auto"/>
        </w:rPr>
      </w:pPr>
    </w:p>
    <w:p>
      <w:pPr>
        <w:ind w:left="380" w:right="3299" w:firstLine="8"/>
        <w:spacing w:after="0"/>
        <w:tabs>
          <w:tab w:leader="none" w:pos="82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proviso with respect to such dividend or distribution shall then be made), except that any shares of Common Stock included in such dividend or distribution shall not be deemed "outstanding at the close of business on the date fixed for such determination" within the meaning of clause (i) of this proviso;</w:t>
      </w:r>
    </w:p>
    <w:p>
      <w:pPr>
        <w:spacing w:after="0" w:line="175" w:lineRule="exact"/>
        <w:rPr>
          <w:rFonts w:ascii="Courier New" w:cs="Courier New" w:eastAsia="Courier New" w:hAnsi="Courier New"/>
          <w:sz w:val="15"/>
          <w:szCs w:val="15"/>
          <w:color w:val="auto"/>
        </w:rPr>
      </w:pPr>
    </w:p>
    <w:p>
      <w:pPr>
        <w:ind w:left="380" w:right="3219" w:firstLine="807"/>
        <w:spacing w:after="0"/>
        <w:tabs>
          <w:tab w:leader="none" w:pos="1534"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subsidiary of the Company shall (x) by dividend or otherwise, distribute to all holders of its Common Stock cash in (or fix any record date for any such distribution), or (y) repurchase or reacquire shares of its Common Stock for, in either case, an aggregate amount that,</w:t>
      </w:r>
    </w:p>
    <w:p>
      <w:pPr>
        <w:spacing w:after="0" w:line="34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31" w:right="1440" w:bottom="1440" w:gutter="0" w:footer="0" w:header="0"/>
        </w:sectPr>
      </w:pPr>
    </w:p>
    <w:bookmarkStart w:id="135" w:name="page136"/>
    <w:bookmarkEnd w:id="135"/>
    <w:p>
      <w:pPr>
        <w:ind w:left="380" w:right="3119"/>
        <w:spacing w:after="0" w:line="258" w:lineRule="auto"/>
        <w:rPr>
          <w:sz w:val="20"/>
          <w:szCs w:val="20"/>
          <w:color w:val="auto"/>
        </w:rPr>
      </w:pPr>
      <w:r>
        <w:rPr>
          <w:rFonts w:ascii="Courier New" w:cs="Courier New" w:eastAsia="Courier New" w:hAnsi="Courier New"/>
          <w:sz w:val="14"/>
          <w:szCs w:val="14"/>
          <w:color w:val="auto"/>
        </w:rPr>
        <w:t>combined with (1) the aggregate amount of any other such distributions to all holders of its Common Stock made exclusively in cash after the Issuance Date and within the 12 months preceding the date of payment of such distribution, and in respect of which no adjustment pursuant to this clause (v) has been made, (2) the aggregate amount of any cash plus the fair market value (as determined in good faith by a resolution of the Board of Directors of the Company) of consideration paid in respect of any repurchase or other reacquisition by the Company or any subsidiary of the Company of any shares of Common Stock made after the Issuance Date and within the 12 months preceding the date of payment of such distribution or making of such repurchase or reacquisition, as the case may be, and in respect of which no adjustment pursuant to this clause (v) has been made, and (3) the aggregate of any cash plus the fair market value (as determined in good faith by a resolution of the Board of Directors of the Company) of consideration payable in respect of any Tender Offer by the Company or any of its subsidiaries for all or any portion of the Common Stock concluded within the 12 months preceding the date of payment of such distribution or completion of such repurchase or reacquisition, as the case may be, and in respect of which no adjustment pursuant to clause (vi) of this proviso has been made (such aggregate amount combined with the amounts in clauses (1), (2) and (3) above being the "Combined Amount"), exceeds 10% of the product of the Market Price (determined without regard to this proviso) for any day in such Measurement Period or such other period which day is prior to the earlier of (A) the record date with respect to such distribution and (B) the date on which ex-dividend trading in the Common Stock with respect to such distribution begins or the date of such repurchase or reacquisition, as the case may be, times the number of shares of Common Stock outstanding on such date, then, and in each such case, the Market Price for each such day shall be reduced so that the same shall equal the price determined by multiplying the Market Price (determined without regard to this proviso) for such day by a fraction (i) the numerator of which shall be equal to the Market Price (determined without regard to this proviso) for such day less an amount equal to the quotient of</w:t>
      </w:r>
    </w:p>
    <w:p>
      <w:pPr>
        <w:spacing w:after="0" w:line="177" w:lineRule="exact"/>
        <w:rPr>
          <w:sz w:val="20"/>
          <w:szCs w:val="20"/>
          <w:color w:val="auto"/>
        </w:rPr>
      </w:pPr>
    </w:p>
    <w:p>
      <w:pPr>
        <w:ind w:left="380" w:right="3119" w:firstLine="8"/>
        <w:spacing w:after="0"/>
        <w:tabs>
          <w:tab w:leader="none" w:pos="73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such Combined Amount over such 10% and (y) the number of shares of Common Stock outstanding on such day and (ii) the denominator of which shall be equal to the Market Price (determined without regard to this proviso) for such day; or</w:t>
      </w:r>
    </w:p>
    <w:p>
      <w:pPr>
        <w:spacing w:after="0" w:line="174" w:lineRule="exact"/>
        <w:rPr>
          <w:rFonts w:ascii="Courier New" w:cs="Courier New" w:eastAsia="Courier New" w:hAnsi="Courier New"/>
          <w:sz w:val="15"/>
          <w:szCs w:val="15"/>
          <w:color w:val="auto"/>
        </w:rPr>
      </w:pPr>
    </w:p>
    <w:p>
      <w:pPr>
        <w:ind w:left="380" w:right="3119" w:firstLine="807"/>
        <w:spacing w:after="0"/>
        <w:tabs>
          <w:tab w:leader="none" w:pos="1622"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Tender Offer made by the Company or any of its subsidiaries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in good faith by resolution of the Board of Directors of the Company) that combined together with (1) the aggregate of the cash plus the fair market value (as determined in good faith by a resolution of the Board of Directors of the Company), as of the expiration of such Tender Offer, of consideration payable in respect of any other Tender Offers, by the Company or any of its subsidiaries for all or any portion of</w:t>
      </w:r>
    </w:p>
    <w:p>
      <w:pPr>
        <w:spacing w:after="0" w:line="35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631" w:right="1440" w:bottom="1440" w:gutter="0" w:footer="0" w:header="0"/>
        </w:sectPr>
      </w:pPr>
    </w:p>
    <w:bookmarkStart w:id="136" w:name="page137"/>
    <w:bookmarkEnd w:id="136"/>
    <w:p>
      <w:pPr>
        <w:ind w:left="1580" w:right="3119"/>
        <w:spacing w:after="0" w:line="258" w:lineRule="auto"/>
        <w:rPr>
          <w:sz w:val="20"/>
          <w:szCs w:val="20"/>
          <w:color w:val="auto"/>
        </w:rPr>
      </w:pPr>
      <w:r>
        <w:rPr>
          <w:rFonts w:ascii="Courier New" w:cs="Courier New" w:eastAsia="Courier New" w:hAnsi="Courier New"/>
          <w:sz w:val="14"/>
          <w:szCs w:val="14"/>
          <w:color w:val="auto"/>
        </w:rPr>
        <w:t>the Common Stock expiring within the 12 months preceding the expiration of such Tender Offer and in respect of which no adjustment pursuant to this clause (vi) has been made, (2) the aggregate amount of any cash plus the fair market value (as determined in good faith by a resolution of the Board of Directors of the Company) of consideration paid in respect of any repurchase or other reacquisition by the Company or any subsidiary of the Company of any shares of Common Stock made after the Issuance Date and within the 12 months preceding the expiration of such Tender Offer and in respect of which no adjustment pursuant to clause (v) of this proviso has been made, and (3) the aggregate amount of any distributions to all holders of Common Stock made exclusively in cash within 12 months preceding the expiration of such Tender Offer and in respect of which no adjustment pursuant to clause (v) of this proviso has been made, exceeds 10% of the product of the Market Price (determined without regard to this proviso) for any day in such period times the number of shares of Common Stock outstanding on such day, then, and in each such case, the Market Price for such day shall be reduced so that the same shall equal the price determined by multiplying the Market Price (determined without regard to this proviso) for such day by a fraction, the numerator of which shall be the number of shares of Common Stock outstanding on such day multiplied by the Market Price (determined without regard to this proviso) for such day and the denominator of which shall be the sum of (x) the fair market value (determined as aforesaid) of the aggregate consideration payable to stockholders based on the acceptance (up to any maximum specified in the terms of the Tender Offer) of all shares validly tendered and not withdrawn as of the last time tenders could have been made pursuant to such Tender Offer (the "Expiration Time") (the shares deemed so accepted, up to any such maximum, being referred to as the "Purchased Shares") and</w:t>
      </w:r>
    </w:p>
    <w:p>
      <w:pPr>
        <w:spacing w:after="0" w:line="176" w:lineRule="exact"/>
        <w:rPr>
          <w:sz w:val="20"/>
          <w:szCs w:val="20"/>
          <w:color w:val="auto"/>
        </w:rPr>
      </w:pPr>
    </w:p>
    <w:p>
      <w:pPr>
        <w:ind w:left="1580" w:right="3119" w:firstLine="8"/>
        <w:spacing w:after="0"/>
        <w:tabs>
          <w:tab w:leader="none" w:pos="193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the number of shares of Common Stock outstanding (less any Purchased Shares) on such day times the Market Price (determined without regard to this proviso) of the Common Stock on the Trading Day next succeeding the Expiration Time. If the application of this clause (vi) to any Tender Offer would result in an increase in the Market Price (determined without regard to this proviso) for any trade, no adjustment shall be made for such Tender Offer under this clause (vi) for such day.</w:t>
      </w:r>
    </w:p>
    <w:p>
      <w:pPr>
        <w:spacing w:after="0" w:line="177"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"Measurement Period" means, with respect to any Adjustment Date, the period of 30 consecutive Trading Days ending on the Trading Day prior to such Adjustment Date.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"Nasdaq" means the Nasdaq National Market.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"Nasdaq SmallCap" means the Nasdaq SmallCap Market.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"1934 Act" means the Securities Exchange Act of 1934,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"1933 Act" means the Securities Act of 1933, as amended.</w:t>
      </w:r>
    </w:p>
    <w:p>
      <w:pPr>
        <w:spacing w:after="0" w:line="174" w:lineRule="exact"/>
        <w:rPr>
          <w:sz w:val="20"/>
          <w:szCs w:val="20"/>
          <w:color w:val="auto"/>
        </w:rPr>
      </w:pPr>
    </w:p>
    <w:p>
      <w:pPr>
        <w:ind w:right="3479" w:firstLine="1597"/>
        <w:spacing w:after="0" w:line="239" w:lineRule="auto"/>
        <w:rPr>
          <w:sz w:val="20"/>
          <w:szCs w:val="20"/>
          <w:color w:val="auto"/>
        </w:rPr>
      </w:pPr>
      <w:r>
        <w:rPr>
          <w:rFonts w:ascii="Courier New" w:cs="Courier New" w:eastAsia="Courier New" w:hAnsi="Courier New"/>
          <w:sz w:val="15"/>
          <w:szCs w:val="15"/>
          <w:color w:val="auto"/>
        </w:rPr>
        <w:t>"Other Securities" refers to any stock (other than Common Stock) and other securities of the Company or any other person (corporate or otherwise) which the Holder at any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37" w:name="page138"/>
    <w:bookmarkEnd w:id="137"/>
    <w:p>
      <w:pPr>
        <w:ind w:right="3119"/>
        <w:spacing w:after="0" w:line="239" w:lineRule="auto"/>
        <w:rPr>
          <w:sz w:val="20"/>
          <w:szCs w:val="20"/>
          <w:color w:val="auto"/>
        </w:rPr>
      </w:pPr>
      <w:r>
        <w:rPr>
          <w:rFonts w:ascii="Courier New" w:cs="Courier New" w:eastAsia="Courier New" w:hAnsi="Courier New"/>
          <w:sz w:val="15"/>
          <w:szCs w:val="15"/>
          <w:color w:val="auto"/>
        </w:rPr>
        <w:t>time shall be entitled to receive, or shall have received, on the exercise of this Warrant, in lieu of or in addition to Common Stock, or which at any time shall be issuable or shall have been issued in exchange for or in replacement of Common Stock or Other Securities pursuant to Section 4.</w:t>
      </w:r>
    </w:p>
    <w:p>
      <w:pPr>
        <w:spacing w:after="0" w:line="176" w:lineRule="exact"/>
        <w:rPr>
          <w:sz w:val="20"/>
          <w:szCs w:val="20"/>
          <w:color w:val="auto"/>
        </w:rPr>
      </w:pPr>
    </w:p>
    <w:p>
      <w:pPr>
        <w:ind w:right="3399" w:firstLine="1597"/>
        <w:spacing w:after="0" w:line="238" w:lineRule="auto"/>
        <w:rPr>
          <w:sz w:val="20"/>
          <w:szCs w:val="20"/>
          <w:color w:val="auto"/>
        </w:rPr>
      </w:pPr>
      <w:r>
        <w:rPr>
          <w:rFonts w:ascii="Courier New" w:cs="Courier New" w:eastAsia="Courier New" w:hAnsi="Courier New"/>
          <w:sz w:val="15"/>
          <w:szCs w:val="15"/>
          <w:color w:val="auto"/>
        </w:rPr>
        <w:t>"Purchase Price" means the greater of (x) $.01 per share or (y) the par value per share of the Common Stock.</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"Purchased Securities" as of any date means (1) the Initial Shares which are then held by the Holder, (2) the Class A Warrant Shares which are then held by the Holder and (3) this Warrant.</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"Registration Rights Agreement" means the Registration Rights Agreement, dated as of the date hereof, by and between the Company and the original Holder of this Warrant, as amended from time to time in accordance with its terms.</w:t>
      </w:r>
    </w:p>
    <w:p>
      <w:pPr>
        <w:spacing w:after="0" w:line="176" w:lineRule="exact"/>
        <w:rPr>
          <w:sz w:val="20"/>
          <w:szCs w:val="20"/>
          <w:color w:val="auto"/>
        </w:rPr>
      </w:pPr>
    </w:p>
    <w:p>
      <w:pPr>
        <w:ind w:right="3399" w:firstLine="1597"/>
        <w:spacing w:after="0" w:line="238" w:lineRule="auto"/>
        <w:rPr>
          <w:sz w:val="20"/>
          <w:szCs w:val="20"/>
          <w:color w:val="auto"/>
        </w:rPr>
      </w:pPr>
      <w:r>
        <w:rPr>
          <w:rFonts w:ascii="Courier New" w:cs="Courier New" w:eastAsia="Courier New" w:hAnsi="Courier New"/>
          <w:sz w:val="15"/>
          <w:szCs w:val="15"/>
          <w:color w:val="auto"/>
        </w:rPr>
        <w:t>"Registration Statement" shall have the meaning provided in the Registration Rights Agreement.</w:t>
      </w:r>
    </w:p>
    <w:p>
      <w:pPr>
        <w:spacing w:after="0" w:line="175"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"Repurchase Date" means the date of repurchase by the Company of the Securities pursuant to Section 1.4.</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"Repurchase Notice" means a notice given by the Company to the Holder pursuant to Section 1.4(b) exercising the Company's right to repurchase all of the Securities pursuant to Section 1.4(b) which states (1) the number of shares of Common Stock (including shares issuable upon exercise of this Warrant) which are to be repurchased, (2) the Repurchase Price and the formula for determining the same, determined in accordance herewith and (3) the Repurchase Date.</w:t>
      </w:r>
    </w:p>
    <w:p>
      <w:pPr>
        <w:spacing w:after="0" w:line="176"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"Repurchase Price" means, for each share of Common Stock repurchased pursuant to Section 1.4, the product of (x) the arithmetic average of the Market Price on each of the five consecutive Trading Days ending on and including the Adjustment Date following which the Repurchase Notice is given times (y) the Adjustment Factor.</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"Share Limit" means 4,291,642 shares of Common Stock (subject to equitable adjustment from time to time on terms reasonably acceptable to the Holder for stock splits, stock dividends, combinations, recapitalizations, reclassifications, distributions, Tender Offers and similar events occurring after the Issuance Date).</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"Share Limitation Event" means a time at which the Company is unable to issue all shares of Common Stock otherwise required to be issued upon exercise of this Warrant by reason of the restrictions set forth in the Shareholder Approval Rule and the Company has not obtained a waiver thereof.</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"Shareholder Approval" shall mean the approval by a majority of the votes cast by the holders of shares of Common Stock (in person or by proxy) at a meeting of the stockholders of the Company (duly convened at which a quorum was present), or a unanimous written consent of holders of shares of Common Stock given without a meeting, of the issuance by the Company of 20% or more of the Common Stock of the Company outstanding on the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38" w:name="page139"/>
    <w:bookmarkEnd w:id="138"/>
    <w:p>
      <w:pPr>
        <w:ind w:left="9" w:right="3119"/>
        <w:spacing w:after="0" w:line="271" w:lineRule="auto"/>
        <w:rPr>
          <w:sz w:val="20"/>
          <w:szCs w:val="20"/>
          <w:color w:val="auto"/>
        </w:rPr>
      </w:pPr>
      <w:r>
        <w:rPr>
          <w:rFonts w:ascii="Courier New" w:cs="Courier New" w:eastAsia="Courier New" w:hAnsi="Courier New"/>
          <w:sz w:val="14"/>
          <w:szCs w:val="14"/>
          <w:color w:val="auto"/>
        </w:rPr>
        <w:t>Issuance Date for less than the greater of the book or market value of such Common Stock, as and to the extent required under the Shareholder Approval Rule.</w:t>
      </w:r>
    </w:p>
    <w:p>
      <w:pPr>
        <w:spacing w:after="0" w:line="154"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"Shareholder Approval Rule" means Rule 4350(i)(1)(D) of Nasdaq as in effect from time to time or any successor, replacement or similar rule or regulation of Nasdaq or any other principal securities market on which the Common Stock is listed for trading.</w:t>
      </w:r>
    </w:p>
    <w:p>
      <w:pPr>
        <w:spacing w:after="0" w:line="176" w:lineRule="exact"/>
        <w:rPr>
          <w:sz w:val="20"/>
          <w:szCs w:val="20"/>
          <w:color w:val="auto"/>
        </w:rPr>
      </w:pPr>
    </w:p>
    <w:p>
      <w:pPr>
        <w:ind w:left="9" w:right="3219" w:firstLine="1597"/>
        <w:spacing w:after="0" w:line="239" w:lineRule="auto"/>
        <w:rPr>
          <w:sz w:val="20"/>
          <w:szCs w:val="20"/>
          <w:color w:val="auto"/>
        </w:rPr>
      </w:pPr>
      <w:r>
        <w:rPr>
          <w:rFonts w:ascii="Courier New" w:cs="Courier New" w:eastAsia="Courier New" w:hAnsi="Courier New"/>
          <w:sz w:val="15"/>
          <w:szCs w:val="15"/>
          <w:color w:val="auto"/>
        </w:rPr>
        <w:t>"Specified Number" means the number of shares of Common Stock for which this Warrant is exercisable from time to time as determined in accordance with Section 1.3.</w:t>
      </w:r>
    </w:p>
    <w:p>
      <w:pPr>
        <w:spacing w:after="0" w:line="175"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"Subscription Agreement" means the Subscription Agreement, dated as of June 21, 2001, by and between the Company and the original Holder of this Warrant, as amended from time to time in accordance with its terms.</w:t>
      </w:r>
    </w:p>
    <w:p>
      <w:pPr>
        <w:spacing w:after="0" w:line="17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"Tender Offer" means a tender offer or exchange offer.</w:t>
      </w:r>
    </w:p>
    <w:p>
      <w:pPr>
        <w:spacing w:after="0" w:line="174" w:lineRule="exact"/>
        <w:rPr>
          <w:sz w:val="20"/>
          <w:szCs w:val="20"/>
          <w:color w:val="auto"/>
        </w:rPr>
      </w:pPr>
    </w:p>
    <w:p>
      <w:pPr>
        <w:jc w:val="both"/>
        <w:ind w:left="9" w:right="3219" w:firstLine="1597"/>
        <w:spacing w:after="0" w:line="264" w:lineRule="auto"/>
        <w:rPr>
          <w:sz w:val="20"/>
          <w:szCs w:val="20"/>
          <w:color w:val="auto"/>
        </w:rPr>
      </w:pPr>
      <w:r>
        <w:rPr>
          <w:rFonts w:ascii="Courier New" w:cs="Courier New" w:eastAsia="Courier New" w:hAnsi="Courier New"/>
          <w:sz w:val="14"/>
          <w:szCs w:val="14"/>
          <w:color w:val="auto"/>
        </w:rPr>
        <w:t>"Total Common Shares" as of any date means the sum of (1) the number of Initial Shares plus (2) the number of Class A Warrant Shares plus (3) the number of shares of Common Stock issued pursuant to the Callable Warrant.</w:t>
      </w:r>
    </w:p>
    <w:p>
      <w:pPr>
        <w:spacing w:after="0" w:line="159" w:lineRule="exact"/>
        <w:rPr>
          <w:sz w:val="20"/>
          <w:szCs w:val="20"/>
          <w:color w:val="auto"/>
        </w:rPr>
      </w:pPr>
    </w:p>
    <w:p>
      <w:pPr>
        <w:ind w:left="9" w:right="3399" w:firstLine="1597"/>
        <w:spacing w:after="0" w:line="271" w:lineRule="auto"/>
        <w:rPr>
          <w:sz w:val="20"/>
          <w:szCs w:val="20"/>
          <w:color w:val="auto"/>
        </w:rPr>
      </w:pPr>
      <w:r>
        <w:rPr>
          <w:rFonts w:ascii="Courier New" w:cs="Courier New" w:eastAsia="Courier New" w:hAnsi="Courier New"/>
          <w:sz w:val="14"/>
          <w:szCs w:val="14"/>
          <w:color w:val="auto"/>
        </w:rPr>
        <w:t>"Trading Day" means a day on which the principal securities market for the Common Stock is open for general trading of securities.</w:t>
      </w:r>
    </w:p>
    <w:p>
      <w:pPr>
        <w:spacing w:after="0" w:line="15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1. EXERCISE OF WARRANT.</w:t>
      </w:r>
    </w:p>
    <w:p>
      <w:pPr>
        <w:spacing w:after="0" w:line="174"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1.1 EXERCISE. Subject to the limitations on exercises in Sections 1.2 and 1.4(a), this Warrant may be exercised by the Holder hereof at any time or from time to time during the Exercise Period by delivery of the subscription form annexed hereto (duly executed by the Holder) to the Company and by making payment, in cash or by certified or official bank check payable to the order of the Company, in the amount obtained by multiplying (i) the number of shares of Common Stock designated by the Holder in the subscription form by</w:t>
      </w:r>
    </w:p>
    <w:p>
      <w:pPr>
        <w:spacing w:after="0" w:line="1" w:lineRule="exact"/>
        <w:rPr>
          <w:sz w:val="20"/>
          <w:szCs w:val="20"/>
          <w:color w:val="auto"/>
        </w:rPr>
      </w:pPr>
    </w:p>
    <w:p>
      <w:pPr>
        <w:ind w:left="9" w:right="3119" w:hanging="9"/>
        <w:spacing w:after="0"/>
        <w:tabs>
          <w:tab w:leader="none" w:pos="453"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If at the request of the Company the subscription form is delivered to the Company's transfer agent for the Common Stock, the Holder shall provide a copy of the subscription form to the Company at the time of exercise and the Company will confirm the exercise instructions given therein by notice to the Company's transfer agent within one Trading Day after receiving such subscription form. Upon each exercise of this Warrant, whether by cash or cashless exercise, the Holder shall not be required to surrender this Warrant to the Company unless the Holder has no further rights to purchase shares of Common Stock hereunder. The Holder and the Company shall maintain records showing the number of shares purchased in connection with each exercise of this Warrant and the dates of such exercises or shall use such other method, satisfactory to the Holder and the Company, so as to not require physical surrender of this Warrant upon each such exercise.</w:t>
      </w:r>
    </w:p>
    <w:p>
      <w:pPr>
        <w:spacing w:after="0" w:line="180" w:lineRule="exact"/>
        <w:rPr>
          <w:rFonts w:ascii="Courier New" w:cs="Courier New" w:eastAsia="Courier New" w:hAnsi="Courier New"/>
          <w:sz w:val="15"/>
          <w:szCs w:val="15"/>
          <w:color w:val="auto"/>
        </w:rPr>
      </w:pPr>
    </w:p>
    <w:p>
      <w:pPr>
        <w:ind w:left="9" w:right="3119" w:firstLine="1588"/>
        <w:spacing w:after="0" w:line="260" w:lineRule="auto"/>
        <w:tabs>
          <w:tab w:leader="none" w:pos="1961"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CASHLESS EXERCISE. Subject to the limitations on exercises in Sections 1.2 and 1.4(a), during the Exercise Period and at any time after the earlier to occur of the SEC Effective Date (as defined in the Registration Rights Agreement) and the date the initial registration statement filed pursuant to the Registration Rights Agreement is declared effective by the Commission, when a registration statement covering the resale of the Common Stock issuable</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39" w:name="page140"/>
    <w:bookmarkEnd w:id="139"/>
    <w:p>
      <w:pPr>
        <w:ind w:right="3219"/>
        <w:spacing w:after="0" w:line="239" w:lineRule="auto"/>
        <w:rPr>
          <w:sz w:val="20"/>
          <w:szCs w:val="20"/>
          <w:color w:val="auto"/>
        </w:rPr>
      </w:pPr>
      <w:r>
        <w:rPr>
          <w:rFonts w:ascii="Courier New" w:cs="Courier New" w:eastAsia="Courier New" w:hAnsi="Courier New"/>
          <w:sz w:val="15"/>
          <w:szCs w:val="15"/>
          <w:color w:val="auto"/>
        </w:rPr>
        <w:t>hereunder and naming the Holder as a selling stockholder thereunder is not then effective, the Holder may surrender this Warrant to the Company together with a notice of cashless exercise, in which event the Company shall issue to the Holder the number of shares of Common Stock determined as follows:</w:t>
      </w: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X = Y [(A-B)/A]</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where:</w:t>
      </w:r>
    </w:p>
    <w:p>
      <w:pPr>
        <w:spacing w:after="0" w:line="174" w:lineRule="exact"/>
        <w:rPr>
          <w:sz w:val="20"/>
          <w:szCs w:val="20"/>
          <w:color w:val="auto"/>
        </w:rPr>
      </w:pPr>
    </w:p>
    <w:p>
      <w:pPr>
        <w:ind w:left="1580" w:right="3119" w:firstLine="799"/>
        <w:spacing w:after="0" w:line="238" w:lineRule="auto"/>
        <w:rPr>
          <w:sz w:val="20"/>
          <w:szCs w:val="20"/>
          <w:color w:val="auto"/>
        </w:rPr>
      </w:pPr>
      <w:r>
        <w:rPr>
          <w:rFonts w:ascii="Courier New" w:cs="Courier New" w:eastAsia="Courier New" w:hAnsi="Courier New"/>
          <w:sz w:val="15"/>
          <w:szCs w:val="15"/>
          <w:color w:val="auto"/>
        </w:rPr>
        <w:t>X = the number of shares of Common Stock to be issued to the Holder.</w:t>
      </w:r>
    </w:p>
    <w:p>
      <w:pPr>
        <w:spacing w:after="0" w:line="175" w:lineRule="exact"/>
        <w:rPr>
          <w:sz w:val="20"/>
          <w:szCs w:val="20"/>
          <w:color w:val="auto"/>
        </w:rPr>
      </w:pPr>
    </w:p>
    <w:p>
      <w:pPr>
        <w:ind w:left="1580" w:right="3119" w:firstLine="799"/>
        <w:spacing w:after="0" w:line="238" w:lineRule="auto"/>
        <w:rPr>
          <w:sz w:val="20"/>
          <w:szCs w:val="20"/>
          <w:color w:val="auto"/>
        </w:rPr>
      </w:pPr>
      <w:r>
        <w:rPr>
          <w:rFonts w:ascii="Courier New" w:cs="Courier New" w:eastAsia="Courier New" w:hAnsi="Courier New"/>
          <w:sz w:val="15"/>
          <w:szCs w:val="15"/>
          <w:color w:val="auto"/>
        </w:rPr>
        <w:t>Y = the number of shares of Common Stock with respect to which this Warrant is being exercised.</w:t>
      </w:r>
    </w:p>
    <w:p>
      <w:pPr>
        <w:spacing w:after="0" w:line="175" w:lineRule="exact"/>
        <w:rPr>
          <w:sz w:val="20"/>
          <w:szCs w:val="20"/>
          <w:color w:val="auto"/>
        </w:rPr>
      </w:pPr>
    </w:p>
    <w:p>
      <w:pPr>
        <w:ind w:left="1580" w:right="3299" w:firstLine="799"/>
        <w:spacing w:after="0" w:line="239" w:lineRule="auto"/>
        <w:rPr>
          <w:sz w:val="20"/>
          <w:szCs w:val="20"/>
          <w:color w:val="auto"/>
        </w:rPr>
      </w:pPr>
      <w:r>
        <w:rPr>
          <w:rFonts w:ascii="Courier New" w:cs="Courier New" w:eastAsia="Courier New" w:hAnsi="Courier New"/>
          <w:sz w:val="15"/>
          <w:szCs w:val="15"/>
          <w:color w:val="auto"/>
        </w:rPr>
        <w:t>A = the average of the closing sale prices of the Common Stock for the five (5) trading days immediately prior to (but not including) the date of exercise.</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B = the Purchase Price.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purposes of Rule 144 promulgated under the Securities Act, it is intended, understood and acknowledged that the shares of Common Stock issued in a cashless exercise transaction shall be deemed to have been acquired by the Holder, and the holding period for such shares shall be deemed to have been commenced, on the issue date of this Warrant.</w:t>
      </w:r>
    </w:p>
    <w:p>
      <w:pPr>
        <w:spacing w:after="0" w:line="174" w:lineRule="exact"/>
        <w:rPr>
          <w:sz w:val="20"/>
          <w:szCs w:val="20"/>
          <w:color w:val="auto"/>
        </w:rPr>
      </w:pPr>
    </w:p>
    <w:p>
      <w:pPr>
        <w:ind w:right="3479" w:firstLine="1588"/>
        <w:spacing w:after="0" w:line="259" w:lineRule="auto"/>
        <w:tabs>
          <w:tab w:leader="none" w:pos="1952"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delivering physical certificates representing the shares of Common Stock issuable upon exercise of this Warrant, provided the Company's transfer agent is participating in the Depository Trust Company ("DTC") Fast Automated Securities Transfer ("FAST") program, upon request of the Holder, the Company shall use its best efforts to cause its transfer agent to electronically transmit the shares of Common Stock issuable upon exercise to the Holder, by crediting the account of the Holder's prime broker with DTC through its Deposit Withdrawal Agent Commission ("DWAC") system. The time periods for delivery described above shall apply to the electronic transmittals through the DWAC system. The Company agrees to coordinate with DTC to accomplish this objective.</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 CERTAIN EXERCISE RESTRICTIONS.</w:t>
      </w:r>
    </w:p>
    <w:p>
      <w:pPr>
        <w:spacing w:after="0" w:line="174" w:lineRule="exact"/>
        <w:rPr>
          <w:sz w:val="20"/>
          <w:szCs w:val="20"/>
          <w:color w:val="auto"/>
        </w:rPr>
      </w:pPr>
    </w:p>
    <w:p>
      <w:pPr>
        <w:ind w:right="3119" w:firstLine="1588"/>
        <w:spacing w:after="0" w:line="259" w:lineRule="auto"/>
        <w:tabs>
          <w:tab w:leader="none" w:pos="195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the number of shares of Common Stock that may be acquired by the Holder upon exercise pursuant to the terms hereof shall not exceed a number that, when added to the total number of shares of Common Stock deemed beneficially owned by such Holder (other than by virtue of the ownership of securities or rights to acquire securities that have limitations on the Holder's right to convert, exercise or purchase similar to the limitation set forth herein), together with all shares of Common Stock deemed beneficially owned (other than by virtue of the ownership of securities or rights to acquire securities that have limitations on the Holder's right to convert, exercise or purchase similar to the limitation set forth herein) by the Holder's "Affiliates" (as defined in Rule 144 of the Securities Act) ("Aggregation Parties") that would be aggregated for purposes of</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40" w:name="page141"/>
    <w:bookmarkEnd w:id="140"/>
    <w:p>
      <w:pPr>
        <w:ind w:right="3119"/>
        <w:spacing w:after="0"/>
        <w:rPr>
          <w:sz w:val="20"/>
          <w:szCs w:val="20"/>
          <w:color w:val="auto"/>
        </w:rPr>
      </w:pPr>
      <w:r>
        <w:rPr>
          <w:rFonts w:ascii="Courier New" w:cs="Courier New" w:eastAsia="Courier New" w:hAnsi="Courier New"/>
          <w:sz w:val="15"/>
          <w:szCs w:val="15"/>
          <w:color w:val="auto"/>
        </w:rPr>
        <w:t>determining whether a group under Section 13(d) of the Securities Exchange Act of 1934, as amended, exists, would exceed 9.99% of the total issued and outstanding shares of Common Stock (the "Restricted Ownership Percentage"). Each Holder shall have the right (w) at any time and from time to time to reduce its Restricted Ownership Percentage immediately upon notice to the Company and (x) (subject to waiver) at any time and from time to time, to increase its Restricted Ownership percentage immediately in the event of the announcement as pending or planned, of a merger or consolidation of the Company, a sale of all or substantially all of the assets of the Company, or the acquisition by any third party (and/or such party's Aggregation Parties) of at least 50% of the Company's outstanding Common Stock.</w:t>
      </w:r>
    </w:p>
    <w:p>
      <w:pPr>
        <w:spacing w:after="0" w:line="179" w:lineRule="exact"/>
        <w:rPr>
          <w:sz w:val="20"/>
          <w:szCs w:val="20"/>
          <w:color w:val="auto"/>
        </w:rPr>
      </w:pPr>
    </w:p>
    <w:p>
      <w:pPr>
        <w:ind w:right="3299" w:firstLine="1588"/>
        <w:spacing w:after="0" w:line="260" w:lineRule="auto"/>
        <w:tabs>
          <w:tab w:leader="none" w:pos="1952"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covenants at all times on each day (each such day being referred to as a "Covenant Day") as follows: during the balance of such Covenant Day and the succeeding sixty-one (61) days (the balance of such Covenant Day and the succeeding 61 days being referred to as the "Covenant Period") such Holder will not acquire shares of Common Stock pursuant to any right (including exercise of this Warrant) existing at the commencement of the Covenant Period to the extent the number of shares so acquired by such Holder and its Aggregation Parties (ignoring all dispositions) would exceed:</w:t>
      </w:r>
    </w:p>
    <w:p>
      <w:pPr>
        <w:spacing w:after="0" w:line="161" w:lineRule="exact"/>
        <w:rPr>
          <w:sz w:val="20"/>
          <w:szCs w:val="20"/>
          <w:color w:val="auto"/>
        </w:rPr>
      </w:pPr>
    </w:p>
    <w:p>
      <w:pPr>
        <w:ind w:left="2380" w:right="3299" w:hanging="792"/>
        <w:spacing w:after="0" w:line="239" w:lineRule="auto"/>
        <w:tabs>
          <w:tab w:leader="none" w:pos="23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Ownership Percentage of the total number of shares of Common Stock outstanding at the commencement of the Covenant Period,</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MINUS</w:t>
      </w:r>
    </w:p>
    <w:p>
      <w:pPr>
        <w:spacing w:after="0" w:line="174" w:lineRule="exact"/>
        <w:rPr>
          <w:sz w:val="20"/>
          <w:szCs w:val="20"/>
          <w:color w:val="auto"/>
        </w:rPr>
      </w:pPr>
    </w:p>
    <w:p>
      <w:pPr>
        <w:ind w:left="2380" w:right="3399" w:hanging="792"/>
        <w:spacing w:after="0" w:line="239" w:lineRule="auto"/>
        <w:tabs>
          <w:tab w:leader="none" w:pos="238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owned by such Holder and its Aggregation Parties at the commencement of the Covenant Period.</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A new and independent covenant will be deemed to be given by the Holder as of each moment of each Covenant Day. No covenant will terminate, diminish or modify any other covenant. The Holder agrees to comply with each such covenant.</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The Company's obligation to issue shares of Common Stock which would exceed such limits shall be suspended to the extent necessary until such time, if any, as shares of Common Stock may be issued in compliance with such restrictions.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41" w:name="page142"/>
    <w:bookmarkEnd w:id="141"/>
    <w:p>
      <w:pPr>
        <w:ind w:right="3219" w:firstLine="1597"/>
        <w:spacing w:after="0" w:line="271" w:lineRule="auto"/>
        <w:rPr>
          <w:sz w:val="20"/>
          <w:szCs w:val="20"/>
          <w:color w:val="auto"/>
        </w:rPr>
      </w:pPr>
      <w:r>
        <w:rPr>
          <w:rFonts w:ascii="Courier New" w:cs="Courier New" w:eastAsia="Courier New" w:hAnsi="Courier New"/>
          <w:sz w:val="14"/>
          <w:szCs w:val="14"/>
          <w:color w:val="auto"/>
        </w:rPr>
        <w:t>1.3 DETERMINATION OF SPECIFIED NUMBER. (a) On each Adjustment Date, the number of Adjustment Shares shall be computed as follows:</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 CP(less than or equal to symbol)ICP, and</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CP(less than symbol) $2.27 and</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IF CP (greater than or equal to symbol) MPP, then</w:t>
      </w:r>
    </w:p>
    <w:p>
      <w:pPr>
        <w:spacing w:after="0" w:line="171" w:lineRule="exact"/>
        <w:rPr>
          <w:sz w:val="20"/>
          <w:szCs w:val="20"/>
          <w:color w:val="auto"/>
        </w:rPr>
      </w:pPr>
    </w:p>
    <w:p>
      <w:pPr>
        <w:ind w:left="3180"/>
        <w:spacing w:after="0"/>
        <w:tabs>
          <w:tab w:leader="none" w:pos="3880" w:val="left"/>
        </w:tabs>
        <w:rPr>
          <w:sz w:val="20"/>
          <w:szCs w:val="20"/>
          <w:color w:val="auto"/>
        </w:rPr>
      </w:pPr>
      <w:r>
        <w:rPr>
          <w:rFonts w:ascii="Courier New" w:cs="Courier New" w:eastAsia="Courier New" w:hAnsi="Courier New"/>
          <w:sz w:val="15"/>
          <w:szCs w:val="15"/>
          <w:color w:val="auto"/>
        </w:rPr>
        <w:t>CS =</w:t>
      </w:r>
      <w:r>
        <w:rPr>
          <w:sz w:val="20"/>
          <w:szCs w:val="20"/>
          <w:color w:val="auto"/>
        </w:rPr>
        <w:tab/>
      </w:r>
      <w:r>
        <w:rPr>
          <w:rFonts w:ascii="Courier New" w:cs="Courier New" w:eastAsia="Courier New" w:hAnsi="Courier New"/>
          <w:sz w:val="14"/>
          <w:szCs w:val="14"/>
          <w:color w:val="auto"/>
        </w:rPr>
        <w:t>PPSH x 1.015, and</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BSH = CS - FSH, and</w:t>
      </w:r>
    </w:p>
    <w:p>
      <w:pPr>
        <w:spacing w:after="0" w:line="17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if the Company elects to pay Holder</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 = BSH x CP,</w:t>
      </w:r>
    </w:p>
    <w:p>
      <w:pPr>
        <w:spacing w:after="0" w:line="171"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AS = CS - BSH - PPSH</w:t>
      </w:r>
    </w:p>
    <w:p>
      <w:pPr>
        <w:spacing w:after="0" w:line="171" w:lineRule="exact"/>
        <w:rPr>
          <w:sz w:val="20"/>
          <w:szCs w:val="20"/>
          <w:color w:val="auto"/>
        </w:rPr>
      </w:pPr>
    </w:p>
    <w:p>
      <w:pPr>
        <w:ind w:left="3900"/>
        <w:spacing w:after="0"/>
        <w:tabs>
          <w:tab w:leader="none" w:pos="4680" w:val="left"/>
        </w:tabs>
        <w:rPr>
          <w:sz w:val="20"/>
          <w:szCs w:val="20"/>
          <w:color w:val="auto"/>
        </w:rPr>
      </w:pPr>
      <w:r>
        <w:rPr>
          <w:rFonts w:ascii="Courier New" w:cs="Courier New" w:eastAsia="Courier New" w:hAnsi="Courier New"/>
          <w:sz w:val="15"/>
          <w:szCs w:val="15"/>
          <w:color w:val="auto"/>
        </w:rPr>
        <w:t>or else</w:t>
      </w:r>
      <w:r>
        <w:rPr>
          <w:sz w:val="20"/>
          <w:szCs w:val="20"/>
          <w:color w:val="auto"/>
        </w:rPr>
        <w:tab/>
      </w:r>
      <w:r>
        <w:rPr>
          <w:rFonts w:ascii="Courier New" w:cs="Courier New" w:eastAsia="Courier New" w:hAnsi="Courier New"/>
          <w:sz w:val="14"/>
          <w:szCs w:val="14"/>
          <w:color w:val="auto"/>
        </w:rPr>
        <w:t>AS = CS - PPSH</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but IF CP(less than symbol)MPP, then</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CS = (MPP x PPSH x (1.015)/CP</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BSH = CS - FSH, and</w:t>
      </w:r>
    </w:p>
    <w:p>
      <w:pPr>
        <w:spacing w:after="0" w:line="17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if the Company elects to pay Holder</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 = BSH x CP,</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AS = CS - BSH - PPSH</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or else AS = CS -PPSH.</w:t>
      </w:r>
    </w:p>
    <w:p>
      <w:pPr>
        <w:spacing w:after="0" w:line="174" w:lineRule="exact"/>
        <w:rPr>
          <w:sz w:val="20"/>
          <w:szCs w:val="20"/>
          <w:color w:val="auto"/>
        </w:rPr>
      </w:pPr>
    </w:p>
    <w:p>
      <w:pPr>
        <w:ind w:left="1580" w:right="3479"/>
        <w:spacing w:after="0" w:line="238" w:lineRule="auto"/>
        <w:rPr>
          <w:sz w:val="20"/>
          <w:szCs w:val="20"/>
          <w:color w:val="auto"/>
        </w:rPr>
      </w:pPr>
      <w:r>
        <w:rPr>
          <w:rFonts w:ascii="Courier New" w:cs="Courier New" w:eastAsia="Courier New" w:hAnsi="Courier New"/>
          <w:sz w:val="15"/>
          <w:szCs w:val="15"/>
          <w:color w:val="auto"/>
        </w:rPr>
        <w:t>IF CP(less than symbol)ICP and IF CP(greater than or equal to symbol) $2.27 and</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IF CP (greater than or equal to symbol) MPP, then</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AS = PPSH x .015</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or else AS = [(MPP x PPSH x 1.015)/CP] -</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PPSH</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 CP(greater than symbol)ICP, then AS = 0</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142" w:name="page143"/>
    <w:bookmarkEnd w:id="142"/>
    <w:tbl>
      <w:tblPr>
        <w:tblLayout w:type="fixed"/>
        <w:tblInd w:w="1589" w:type="dxa"/>
        <w:tblCellMar>
          <w:top w:w="0" w:type="dxa"/>
          <w:left w:w="0" w:type="dxa"/>
          <w:bottom w:w="0" w:type="dxa"/>
          <w:right w:w="0" w:type="dxa"/>
        </w:tblCellMar>
      </w:tblPr>
      <w:tr>
        <w:trPr>
          <w:trHeight w:val="170"/>
        </w:trPr>
        <w:tc>
          <w:tcPr>
            <w:tcW w:w="680" w:type="dxa"/>
            <w:vAlign w:val="bottom"/>
          </w:tcPr>
          <w:p>
            <w:pPr>
              <w:spacing w:after="0"/>
              <w:rPr>
                <w:sz w:val="20"/>
                <w:szCs w:val="20"/>
                <w:color w:val="auto"/>
              </w:rPr>
            </w:pPr>
            <w:r>
              <w:rPr>
                <w:rFonts w:ascii="Courier New" w:cs="Courier New" w:eastAsia="Courier New" w:hAnsi="Courier New"/>
                <w:sz w:val="15"/>
                <w:szCs w:val="15"/>
                <w:color w:val="auto"/>
              </w:rPr>
              <w:t>where:</w:t>
            </w:r>
          </w:p>
        </w:tc>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Adjustment Shares</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CS</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Initially calculated Adjustment Shares</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$2,000,000</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ICP</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$4.3692</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BSH</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Buyout Shares: The number of shares for</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w w:val="98"/>
              </w:rPr>
              <w:t>which the Company may, in lieu of having the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Specified Number increase by the applicable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number of Adjustment Shares, elect to pay</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cash to the Holder in the amount of the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Buyout.</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FSH</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Floor Shares (the number of shares that</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w w:val="98"/>
              </w:rPr>
              <w:t>are not subject to the Company's election to</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buyout). The initial value of FSH shall be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set to FSH = 881,168. FSH shall be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recalculated at each Adjustment Date by</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multiplying the value of FSH as of the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immediately preceding Adjustment Date by (1</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 (SHX/PPSH))</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Buyout Amount.</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SHX</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the number of Warrant shares exercised</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during the current Adjustment Period.</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CP</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the Average Market Price as of the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then-current Adjustment Date.</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PPSH</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the number of Common Shares Held as of the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immediately preceding Adjustment Date.</w:t>
            </w:r>
          </w:p>
        </w:tc>
      </w:tr>
      <w:tr>
        <w:trPr>
          <w:trHeight w:val="341"/>
        </w:trPr>
        <w:tc>
          <w:tcPr>
            <w:tcW w:w="680" w:type="dxa"/>
            <w:vAlign w:val="bottom"/>
          </w:tcPr>
          <w:p>
            <w:pPr>
              <w:spacing w:after="0"/>
              <w:rPr>
                <w:sz w:val="20"/>
                <w:szCs w:val="20"/>
                <w:color w:val="auto"/>
              </w:rPr>
            </w:pPr>
            <w:r>
              <w:rPr>
                <w:rFonts w:ascii="Courier New" w:cs="Courier New" w:eastAsia="Courier New" w:hAnsi="Courier New"/>
                <w:sz w:val="15"/>
                <w:szCs w:val="15"/>
                <w:color w:val="auto"/>
              </w:rPr>
              <w:t>MPP</w:t>
            </w:r>
          </w:p>
        </w:tc>
        <w:tc>
          <w:tcPr>
            <w:tcW w:w="5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the lesser of ICP or the lowest Average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w w:val="98"/>
              </w:rPr>
              <w:t>Market Price as of any prior Adjustment Date</w:t>
            </w:r>
          </w:p>
        </w:tc>
      </w:tr>
      <w:tr>
        <w:trPr>
          <w:trHeight w:val="171"/>
        </w:trPr>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(or ICP on the first Adjustment Date).</w:t>
            </w:r>
          </w:p>
        </w:tc>
      </w:tr>
    </w:tbl>
    <w:p>
      <w:pPr>
        <w:spacing w:after="0" w:line="174"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As indicated above, if as of any Adjustment Date the Average Market Price is below $2.27 (as such number shall be appropriately adjusted for any stock splits, recapitalizations or similar events), the Company may, in lieu of having the increase in the Specified Number include the number of Buyout Shares, elect to pay cash to the Holder in an amount equal to the Buyout Amount (B$). Such election must be made by written notice to the holders within five</w:t>
      </w:r>
    </w:p>
    <w:p>
      <w:pPr>
        <w:spacing w:after="0" w:line="1" w:lineRule="exact"/>
        <w:rPr>
          <w:sz w:val="20"/>
          <w:szCs w:val="20"/>
          <w:color w:val="auto"/>
        </w:rPr>
      </w:pPr>
    </w:p>
    <w:p>
      <w:pPr>
        <w:ind w:left="9" w:right="3119" w:hanging="9"/>
        <w:spacing w:after="0" w:line="239" w:lineRule="auto"/>
        <w:tabs>
          <w:tab w:leader="none" w:pos="36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the applicable Adjustment Date and the Company must make payment therefor in cash (i) within sixty (60) days after the first Adjustment Date, if applicable and (ii) within five (5) business days after any subsequent applicable Adjustment Date.</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28" w:right="1440" w:bottom="1440" w:gutter="0" w:footer="0" w:header="0"/>
        </w:sectPr>
      </w:pPr>
    </w:p>
    <w:bookmarkStart w:id="143" w:name="page144"/>
    <w:bookmarkEnd w:id="143"/>
    <w:p>
      <w:pPr>
        <w:ind w:right="3299" w:firstLine="1588"/>
        <w:spacing w:after="0" w:line="264" w:lineRule="auto"/>
        <w:tabs>
          <w:tab w:leader="none" w:pos="195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First Adjustment Date, the Specified Number shall equal zero. For each Adjustment Date on which the number of Adjustment Shares determined in accordance with Section 1.3(a) is a positive number,</w:t>
      </w:r>
    </w:p>
    <w:p>
      <w:pPr>
        <w:spacing w:after="0" w:line="159" w:lineRule="exact"/>
        <w:rPr>
          <w:sz w:val="20"/>
          <w:szCs w:val="20"/>
          <w:color w:val="auto"/>
        </w:rPr>
      </w:pPr>
    </w:p>
    <w:p>
      <w:pPr>
        <w:ind w:left="780" w:right="3299" w:firstLine="808"/>
        <w:spacing w:after="0" w:line="238" w:lineRule="auto"/>
        <w:tabs>
          <w:tab w:leader="none" w:pos="193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First Adjustment Date, the Specified Number shall equal the number of Adjustment Shares; and</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subsequent Adjustment Date, the Specified Number shall equal (x) the Specified Number determined on the immediately preceding Adjustment Date plus (y) the number of Adjustment Shares determined on the current Adjustment Date less (z) the number of shares of Common Stock for which this Warrant was exercised during the most recently completed Quarterly Period.</w:t>
      </w:r>
    </w:p>
    <w:p>
      <w:pPr>
        <w:spacing w:after="0" w:line="175" w:lineRule="exact"/>
        <w:rPr>
          <w:sz w:val="20"/>
          <w:szCs w:val="20"/>
          <w:color w:val="auto"/>
        </w:rPr>
      </w:pPr>
    </w:p>
    <w:p>
      <w:pPr>
        <w:ind w:right="3479" w:firstLine="1588"/>
        <w:spacing w:after="0"/>
        <w:tabs>
          <w:tab w:leader="none" w:pos="195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Adjustment Shares may not be a negative number. For each Adjustment Date on which the number of Adjustment Shares determined in accordance with Section 1.2(a) is zero or would otherwise be a negative number, the Holder shall not be obligated to transfer any shares of Common Stock to the Company.</w:t>
      </w:r>
    </w:p>
    <w:p>
      <w:pPr>
        <w:spacing w:after="0" w:line="174" w:lineRule="exact"/>
        <w:rPr>
          <w:rFonts w:ascii="Courier New" w:cs="Courier New" w:eastAsia="Courier New" w:hAnsi="Courier New"/>
          <w:sz w:val="15"/>
          <w:szCs w:val="15"/>
          <w:color w:val="auto"/>
        </w:rPr>
      </w:pPr>
    </w:p>
    <w:p>
      <w:pPr>
        <w:ind w:right="3119" w:firstLine="1588"/>
        <w:spacing w:after="0" w:line="259" w:lineRule="auto"/>
        <w:tabs>
          <w:tab w:leader="none" w:pos="195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Adjustment Date or within three Trading Days thereafter, the Holder shall give an Adjustment Notice in the form attached hereto to the Company accompanied by the spreadsheet referred to Section 1.3(e) used to calculate the Adjustment Shares. If the Holder fails to give an Adjustment Notice within three Trading Days after any Adjustment Date, the Company may notify the Holder of such failure and, if the Holder does not deliver such Adjustment Notice within three Trading Days after such notice of failure is given to the Holder, the Company shall give such Adjustment Notice to the Holder. Absent manifest error, the Adjustment Notice and such spreadsheet shall be binding on the Company and the Holder for purposes of making the determinations required by this Section 1.3. The Company and the Holder shall use their best efforts to promptly correct any error in any Adjustment Notice.</w:t>
      </w:r>
    </w:p>
    <w:p>
      <w:pPr>
        <w:spacing w:after="0" w:line="164" w:lineRule="exact"/>
        <w:rPr>
          <w:rFonts w:ascii="Courier New" w:cs="Courier New" w:eastAsia="Courier New" w:hAnsi="Courier New"/>
          <w:sz w:val="14"/>
          <w:szCs w:val="14"/>
          <w:color w:val="auto"/>
        </w:rPr>
      </w:pPr>
    </w:p>
    <w:p>
      <w:pPr>
        <w:ind w:right="3119" w:firstLine="1588"/>
        <w:spacing w:after="0" w:line="239" w:lineRule="auto"/>
        <w:tabs>
          <w:tab w:leader="none" w:pos="195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spreadsheet illustrating the application of the forgoing is annexed hereto and made a part hereof; such spreadsheet shall be used in calculating Adjustment Shares pursuant to this Section 1.3.</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1.4 MAXIMUM SHARE LIMITATION; REPURCHASE RIGHTS. Provided that the Common Stock is listed for trading on Nasdaq or another market having the Shareholder Approval Rule or an equivalent rule, and provided that Shareholder Approval or the equivalent has not been obtained, this Warrant may not be exercised to purchase shares of Common Stock to the extent, and only to the extent, such exercise would cause the Total Common Shares of the Holder plus, to the extent aggregation with the Total Common Shares is required under the Shareholder Approval Rule, other shares of Common Stock acquired under the subscription agreements, one dated July 31, 2000 and one dated August 30, 2000, each between Millennium and the Company, and the warrants issued in connection therewith to exceed the Share Limit. If such conditions obtain and if an exercise in full of this Warrant and/or the Callable Warrant would, but for the preceding sentence and the other limitations contained in Sections 1.1 and 1.2 above, cause the Total Common Shares to exceed the Share Limit:</w:t>
      </w: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44" w:name="page145"/>
    <w:bookmarkEnd w:id="144"/>
    <w:p>
      <w:pPr>
        <w:ind w:left="-1200" w:right="3119" w:firstLine="1588"/>
        <w:spacing w:after="0"/>
        <w:tabs>
          <w:tab w:leader="none" w:pos="75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(at the time of the Company's exercise of its right in this sentence) the Company shall be in compliance in all material respects with its obligations to the Holder (including, without limitation, its obligations under this Warrant, the Callable Warrant, the Subscription Agreement and the Registration Rights Agreement), (ii) on the date the Repurchase Notice is given and at all times until the Repurchase Date, the Registration Statement is effective and available for use by the Holder for the resale of all of its Shares of Common Stock previously issued or issuable and (iii) on the date the Repurchase Notice is given and on the Repurchase Date, the Company has available unrestricted Cash and Cash Equivalent Balances not less than the aggregate amount to be paid to repurchase shares of Common Stock pursuant to Section 1.4 of this Warrant and the Other Class A Warrants, then the Company shall have the right to repurchase the shares of Common Stock issuable pursuant to the Warrant and/or the Callable Warrant held by the Holder in accordance with Section 1.4(b).</w:t>
      </w:r>
    </w:p>
    <w:p>
      <w:pPr>
        <w:spacing w:after="0" w:line="181" w:lineRule="exact"/>
        <w:rPr>
          <w:rFonts w:ascii="Courier New" w:cs="Courier New" w:eastAsia="Courier New" w:hAnsi="Courier New"/>
          <w:sz w:val="15"/>
          <w:szCs w:val="15"/>
          <w:color w:val="auto"/>
        </w:rPr>
      </w:pPr>
    </w:p>
    <w:p>
      <w:pPr>
        <w:ind w:left="-1200" w:right="3119" w:firstLine="1588"/>
        <w:spacing w:after="0" w:line="258" w:lineRule="auto"/>
        <w:tabs>
          <w:tab w:leader="none" w:pos="752"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exercise its repurchase right, the Company shall give a Repurchase Notice, not more frequently than once in any period of 180 consecutive days, on the Trading Day immediately following an Adjustment Date. If the Repurchase Notice is timely given, the Company shall be obligated to repurchase such portion of the shares issuable pursuant to this Warrant and/or the Callable Warrant (in proportions designated by the Holder) which exceed the Share Limit on a Repurchase Date which is not less than 20 Trading Days or more than 30 Trading Days after the date of the Repurchase Notice, if this Warrant and/or the Callable Warrant is to be repurchased pursuant to this Section 1.4, the Company shall repurchase such Warrants as if such Warrants had been exercised, to the extent of the portion of the Warrants being repurchased, on the Repurchase Date and the shares of Common Stock issuable upon such exercise were held directly by the Holder and were being repurchased. On the Repurchase Date, the Company shall make payment to the Holder of the applicable Repurchase Price multiplied by the number of shares of Common Stock to be repurchased in immediately available funds to such account as specified by the Holder in writing to the Company at least one Trading Day prior to the Repurchase Date, provided that if such payment is not so made on the Repurchase Date, the Company shall be obligated to repurchase such number of shares at a purchase price equal to the Holder Repurchase Price per share. Notwithstanding anything to the contrary in the foregoing provisions of this Section 1.4, prior to the Repurchase Date, or such later date on which the Repurchase Price is paid, the Holder shall be free to exercise this Warrant as long as such exercise does not violate the first sentence of this Section 1.4.</w:t>
      </w:r>
    </w:p>
    <w:p>
      <w:pPr>
        <w:spacing w:after="0" w:line="345" w:lineRule="exact"/>
        <w:rPr>
          <w:rFonts w:ascii="Courier New" w:cs="Courier New" w:eastAsia="Courier New" w:hAnsi="Courier New"/>
          <w:sz w:val="14"/>
          <w:szCs w:val="14"/>
          <w:color w:val="auto"/>
        </w:rPr>
      </w:pPr>
    </w:p>
    <w:p>
      <w:pPr>
        <w:ind w:left="-1200" w:right="3119" w:firstLine="1588"/>
        <w:spacing w:after="0" w:line="259" w:lineRule="auto"/>
        <w:tabs>
          <w:tab w:leader="none" w:pos="752"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does not timely give a Repurchase Notice pursuant to subsection (b) above, the Company shall have the option by written notice to the Holder, and the Holder shall have the right to require the Company by written notice, to seek the Shareholder Approval applicable to an issuance of shares in excess of the Share Limit ("Excess Shares") as soon as possible, but in any event, not later than the 75th day after such election or the Holder's demand, and if the Company shall have failed to receive Shareholder Approval within five (5) Business Days of such 75th day, the Company shall, on such fifth Business Day, pay cash to such Holder in an amount equal to the Holder Repurchase Price multiplied by the number of Excess Shares. If the Company fails to pay the Holder Repurchase Price in full pursuant to this Section 1.4 within seven days after the date payable, the Company will pay interest thereon at a rate of 18% per annum or such lesser maximum amount that is permitted to be paid by applicable law, to the Holder, accruing daily from such fifth Business Day until such amount, plus all such interest thereon, is paid in full.</w:t>
      </w:r>
    </w:p>
    <w:p>
      <w:pPr>
        <w:spacing w:after="0" w:line="33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631" w:right="1440" w:bottom="1440" w:gutter="0" w:footer="0" w:header="0"/>
        </w:sectPr>
      </w:pPr>
    </w:p>
    <w:bookmarkStart w:id="145" w:name="page146"/>
    <w:bookmarkEnd w:id="145"/>
    <w:p>
      <w:pPr>
        <w:ind w:left="-1200" w:right="3119" w:firstLine="1588"/>
        <w:spacing w:after="0" w:line="258" w:lineRule="auto"/>
        <w:tabs>
          <w:tab w:leader="none" w:pos="66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STOCK CERTIFICATES, ETC., ON EXERCISE. (a) As soon as practicable after the exercise of this Warrant, and in any event within three Trading Days thereafter, the Company at its expense (including the payment by it of any applicable issue or stamp taxes) will cause to be issued in the name of and delivered to the Holder hereof, or as the Holder (upon payment by the Holder of any applicable transfer taxes) may direct, a certificate or certificates for the number of fully paid and nonassessable shares of Common Stock (or Other Securities) to which the Holder shall be entitled on such exercise, in such denominations as may be requested by the Holder, plus, in lieu of any fractional share to which the Holder would otherwise be entitled, cash equal to such fraction multiplied by the then current fair market value (as reasonably determined by the Company) of one full share, together with any other stock or other securities and property (including cash, where applicable) to which the Holder is entitled upon such exercise pursuant to Section 1 or otherwise. Upon exercise of this Warrant as provided herein, the Company's obligation to issue and deliver the certificates for Common Stock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Company to the Holder, or any setoff, counterclaim, recoupment, limitation or termination, or any breach or alleged breach by the Holder or any other person of any obligation to the Company, and irrespective of any other circumstance which might otherwise limit such obligation of the Company to the Holder in connection with such exercise. If the Company fails to issue and deliver the certificates for the Common Stock to the Holder pursuant to the first sentence of this paragraph as and when required to do so, in addition to any other liabilities the Company may have hereunder and under applicable law, the Company shall pay or reimburse the Holder on demand for all out-of-pocket expenses including, without limitation, reasonable fees and expenses of legal counsel incurred by the Holder as a result of such failure.</w:t>
      </w:r>
    </w:p>
    <w:p>
      <w:pPr>
        <w:spacing w:after="0" w:line="200" w:lineRule="exact"/>
        <w:rPr>
          <w:sz w:val="20"/>
          <w:szCs w:val="20"/>
          <w:color w:val="auto"/>
        </w:rPr>
      </w:pPr>
    </w:p>
    <w:p>
      <w:pPr>
        <w:spacing w:after="0" w:line="317" w:lineRule="exact"/>
        <w:rPr>
          <w:sz w:val="20"/>
          <w:szCs w:val="20"/>
          <w:color w:val="auto"/>
        </w:rPr>
      </w:pPr>
    </w:p>
    <w:p>
      <w:pPr>
        <w:ind w:left="-1200" w:right="3119" w:firstLine="1588"/>
        <w:spacing w:after="0"/>
        <w:tabs>
          <w:tab w:leader="none" w:pos="7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fails to deliver to the Holder a certificate or certificates representing the shares of Common Stock pursuant to Section 2(a) by the third Trading Day after each date of exercise of this Warrant, the Company shall pay to the Holder, in cash, as liquidated damages and not as a penalty, $5,000 for each day after such third Trading Day until such certificates are delivered (for clarification purposes, such liquidated damages are independent of other Class A Warrants and relate only to this Class A Warrant). The payment and acceptance of any cash penalty shall not preclude the Holder from proceeding under the next paragraph 2(c); provided that any amounts actually paid to the Holder under this paragraph 2(b) herein shall be deducted (but not below zero) from the amount otherwise recoverable under paragraph 2(c) below.</w:t>
      </w:r>
    </w:p>
    <w:p>
      <w:pPr>
        <w:spacing w:after="0" w:line="179" w:lineRule="exact"/>
        <w:rPr>
          <w:rFonts w:ascii="Courier New" w:cs="Courier New" w:eastAsia="Courier New" w:hAnsi="Courier New"/>
          <w:sz w:val="15"/>
          <w:szCs w:val="15"/>
          <w:color w:val="auto"/>
        </w:rPr>
      </w:pPr>
    </w:p>
    <w:p>
      <w:pPr>
        <w:ind w:left="-1200" w:right="3119" w:firstLine="1588"/>
        <w:spacing w:after="0"/>
        <w:tabs>
          <w:tab w:leader="none" w:pos="7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other rights available to the Holder, but subject to paragraph 2(b) above, if the Company fails to deliver to the Holder a certificate or certificates representing shares of Common Stock pursuant to Section 2(a) by the third Trading Day after the date of exercise of this Warrant, and if after such third Trading Day the Holder purchases (in an open market transaction or otherwise) shares of Common Stock to deliver in satisfaction of a sale by the Holder of the shares of Common Stock which the Holder anticipated receiving upon such exercise (a "Buy-In"), then the Company shall pay (1) in cash to the Holder the amount by which (x) the Holder's total purchase price (including brokerage commissions, if any) for the shares of Common Stock so purchased exceeds (y) the amount obtained by multiplying (A) the number of</w:t>
      </w:r>
    </w:p>
    <w:p>
      <w:pPr>
        <w:spacing w:after="0" w:line="348"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31" w:right="1440" w:bottom="1440" w:gutter="0" w:footer="0" w:header="0"/>
        </w:sectPr>
      </w:pPr>
    </w:p>
    <w:bookmarkStart w:id="146" w:name="page147"/>
    <w:bookmarkEnd w:id="146"/>
    <w:p>
      <w:pPr>
        <w:ind w:left="9" w:right="3299"/>
        <w:spacing w:after="0"/>
        <w:rPr>
          <w:sz w:val="20"/>
          <w:szCs w:val="20"/>
          <w:color w:val="auto"/>
        </w:rPr>
      </w:pPr>
      <w:r>
        <w:rPr>
          <w:rFonts w:ascii="Courier New" w:cs="Courier New" w:eastAsia="Courier New" w:hAnsi="Courier New"/>
          <w:sz w:val="15"/>
          <w:szCs w:val="15"/>
          <w:color w:val="auto"/>
        </w:rPr>
        <w:t>shares of Common Stock that the Company was required to deliver pursuant to Section 2(a) to deliver to the Holder in connection with the exercise at issue by (B) the Market Price at the time of the sale giving rise to such purchase obligation and (2) deliver to the Holder the number of shares of Common Stock that would have been issued had the Company timely complied with its exercise and delivery obligations under Section 2(a). For example, if the Holder purchases Common Stock having a total purchase price of $11,000 to cover a Buy-In with respect to an attempted exercise of shares of Common Stock with a Market Price on the date of exercise totaled $10,000, under clause (A) of the immediately preceding sentence the Company shall be required to pay the Holder $1,000. The Holder shall provide the Company written notice and appropriate documentation indicating the amounts payable to the Holder in respect of the Buy-In.</w:t>
      </w:r>
    </w:p>
    <w:p>
      <w:pPr>
        <w:spacing w:after="0" w:line="180" w:lineRule="exact"/>
        <w:rPr>
          <w:sz w:val="20"/>
          <w:szCs w:val="20"/>
          <w:color w:val="auto"/>
        </w:rPr>
      </w:pPr>
    </w:p>
    <w:p>
      <w:pPr>
        <w:ind w:left="9" w:right="3119" w:firstLine="1588"/>
        <w:spacing w:after="0"/>
        <w:tabs>
          <w:tab w:leader="none" w:pos="1873"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DIVIDENDS IN OTHER STOCK, PROPERTY, ETC.; RECLASSIFICATION, ETC. In case at any time or from time to time after the Issuance Date, all the holders of Common Stock (or Other Securities) shall have received, or (on or after the record date fixed for the determination of stockholders eligible to receive) shall have become entitled to receive, without payment therefor,</w:t>
      </w:r>
    </w:p>
    <w:p>
      <w:pPr>
        <w:spacing w:after="0" w:line="175" w:lineRule="exact"/>
        <w:rPr>
          <w:sz w:val="20"/>
          <w:szCs w:val="20"/>
          <w:color w:val="auto"/>
        </w:rPr>
      </w:pPr>
    </w:p>
    <w:p>
      <w:pPr>
        <w:ind w:left="9" w:right="3219" w:firstLine="1588"/>
        <w:spacing w:after="0" w:line="238" w:lineRule="auto"/>
        <w:tabs>
          <w:tab w:leader="none" w:pos="196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or additional stock or other securities or property (other than cash) by way of dividend, or</w:t>
      </w:r>
    </w:p>
    <w:p>
      <w:pPr>
        <w:spacing w:after="0" w:line="174" w:lineRule="exact"/>
        <w:rPr>
          <w:rFonts w:ascii="Courier New" w:cs="Courier New" w:eastAsia="Courier New" w:hAnsi="Courier New"/>
          <w:sz w:val="15"/>
          <w:szCs w:val="15"/>
          <w:color w:val="auto"/>
        </w:rPr>
      </w:pPr>
    </w:p>
    <w:p>
      <w:pPr>
        <w:ind w:left="9" w:right="3299" w:firstLine="1588"/>
        <w:spacing w:after="0" w:line="238" w:lineRule="auto"/>
        <w:tabs>
          <w:tab w:leader="none" w:pos="196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(excluding cash dividends payable solely out of earnings or earned surplus of the Company), or</w:t>
      </w:r>
    </w:p>
    <w:p>
      <w:pPr>
        <w:spacing w:after="0" w:line="174" w:lineRule="exact"/>
        <w:rPr>
          <w:rFonts w:ascii="Courier New" w:cs="Courier New" w:eastAsia="Courier New" w:hAnsi="Courier New"/>
          <w:sz w:val="15"/>
          <w:szCs w:val="15"/>
          <w:color w:val="auto"/>
        </w:rPr>
      </w:pPr>
    </w:p>
    <w:p>
      <w:pPr>
        <w:ind w:left="9" w:right="3219" w:firstLine="1588"/>
        <w:spacing w:after="0" w:line="239" w:lineRule="auto"/>
        <w:tabs>
          <w:tab w:leader="none" w:pos="196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or additional stock or other securities or property (including cash) by way of spin-off, split-up, reclassification, recapitalization, combination of shares or similar corporate rearrangement,</w:t>
      </w:r>
    </w:p>
    <w:p>
      <w:pPr>
        <w:spacing w:after="0" w:line="175"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other than additional shares of Common Stock (or Other Securities) issued as a stock dividend or in a stock-split (adjustments in respect of which are provided for in Section 5), then and in each such case the Holder shall be entitled to receive, at the same time as holders of Common Stock, the amount of stock and other securities and property (including cash in the cases referred to in subdivisions (b) and (c) of this Section 3) which the Holder would have received if on the date thereof the Holder had been the holder of record of the Specified Number, after giving effect to all adjustments called for during such period by Section 4. Notwithstanding anything in this Section 3 to the contrary, no adjustments pursuant to this Section 3 shall actually be made until the cumulative effect of the adjustments called for by this Section 3 since the date of the last adjustment actually made would change the amount of stock or other securities and property which the Holder would hold by more than 1%.</w:t>
      </w:r>
    </w:p>
    <w:p>
      <w:pPr>
        <w:spacing w:after="0" w:line="164" w:lineRule="exact"/>
        <w:rPr>
          <w:sz w:val="20"/>
          <w:szCs w:val="20"/>
          <w:color w:val="auto"/>
        </w:rPr>
      </w:pPr>
    </w:p>
    <w:p>
      <w:pPr>
        <w:ind w:left="9" w:right="3299" w:firstLine="1588"/>
        <w:spacing w:after="0" w:line="258" w:lineRule="auto"/>
        <w:tabs>
          <w:tab w:leader="none" w:pos="1873"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UPON REORGANIZATION, CONSOLIDATION, MERGER, ETC. In case of any (1) merger or consolidation of the Company with or into another person, or (2) sale by the Company of more than one-half of the assets of the Company (on a book value basis) in one or a series of related transactions, or</w:t>
      </w:r>
    </w:p>
    <w:p>
      <w:pPr>
        <w:ind w:left="9" w:right="3119" w:hanging="9"/>
        <w:spacing w:after="0"/>
        <w:tabs>
          <w:tab w:leader="none" w:pos="364"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or other offer or exchange (whether by the Company or another person) pursuant to which holders of Common Stock are permitted to tender or exchange their shares for other securities, stock, cash or property of the Company or another Person; then the Holder shall have the right thereafter to (A) exercise this Warrant for the shares of stock and other securities, cash and property receivable upon or deemed to be held by holders</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631" w:right="1440" w:bottom="1440" w:gutter="0" w:footer="0" w:header="0"/>
        </w:sectPr>
      </w:pPr>
    </w:p>
    <w:bookmarkStart w:id="147" w:name="page148"/>
    <w:bookmarkEnd w:id="147"/>
    <w:p>
      <w:pPr>
        <w:ind w:right="3119"/>
        <w:spacing w:after="0"/>
        <w:rPr>
          <w:sz w:val="20"/>
          <w:szCs w:val="20"/>
          <w:color w:val="auto"/>
        </w:rPr>
      </w:pPr>
      <w:r>
        <w:rPr>
          <w:rFonts w:ascii="Courier New" w:cs="Courier New" w:eastAsia="Courier New" w:hAnsi="Courier New"/>
          <w:sz w:val="15"/>
          <w:szCs w:val="15"/>
          <w:color w:val="auto"/>
        </w:rPr>
        <w:t>of Common Stock following such merger, consolidation or sale, and the Holder shall be entitled upon such event or series of related events to receive such amount of securities, cash and property as the Common Stock for which this Warrant could have been exercised immediately prior to such merger, consolidation or sale would have been entitled, (B) in the case of a merger or consolidation, (x) require the surviving entity to issue to the Holder a warrant entitling the Holder to acquire shares of such entity's common stock, which warrant shall have terms identical (including with respect to exercise) to the terms of this Warrant and shall be entitled to all of the rights and privileges set forth herein and the agreements pursuant to which this Warrant was issued (including, without limitation, as such rights relate to the acquisition, transferability, registration and listing of such shares of stock other securities issuable upon exercise thereof), or (C) in the event of an exchange or tender offer or other transaction contemplated by clause (3) of this Section, tender or exchange this Warrant for such securities, stock, cash and other property receivable upon or deemed to be held by holders of Common Stock that have tendered or exchanged their shares of Common Stock following such tender or exchange, and the Holder shall be entitled upon such exchange or tender to receive such amount of securities, cash and property as the shares of Common Stock for which this Warrant could have been exercised immediately prior to such tender or exchange would have been entitled as would have been issued. In the case of clause (B), the exercise price applicable for the newly issued warrant shall be based upon the amount of securities, cash and property that each share of Common Stock would receive in such transaction and the Purchase Price immediately prior to the effectiveness or closing date for such transaction. The terms of any such merger, sale, consolidation, tender or exchange shall include such terms so as continue to give the Holder the right to receive the securities, cash and property set forth in this Section upon any conversion or redemption following such event. This provision shall similarly apply to successive such events.</w:t>
      </w:r>
    </w:p>
    <w:p>
      <w:pPr>
        <w:spacing w:after="0" w:line="193" w:lineRule="exact"/>
        <w:rPr>
          <w:sz w:val="20"/>
          <w:szCs w:val="20"/>
          <w:color w:val="auto"/>
        </w:rPr>
      </w:pPr>
    </w:p>
    <w:p>
      <w:pPr>
        <w:ind w:right="3119" w:firstLine="1588"/>
        <w:spacing w:after="0" w:line="259" w:lineRule="auto"/>
        <w:tabs>
          <w:tab w:leader="none" w:pos="1864"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FOR EXTRAORDINARY EVENTS. In the event that after the Issuance Date the Company shall (i) issue additional shares of Common Stock as a dividend or other distribution on outstanding Common Stock, (ii) subdivide or reclassify its outstanding share of Common Stock, or (iii) combine its outstanding share of Common Stock into a smaller number of shares of Common Stock, then, in each event, the Specified Number shall, simultaneously with the happening of such event, be adjusted by multiplying the Specified Number in effect immediately prior to such event by a fraction, the numerator of which shall be the number of shares of Common Stock outstanding immediately after such event and the denominator of which shall be the number of shares of Common Stock outstanding immediately prior to such event, and the product so obtained shall thereafter be the Specified Number then in effect. The Specified Number, as so adjusted, shall be readjusted in the same manner upon the happening of any successive event or events described in this Section 5.</w:t>
      </w:r>
    </w:p>
    <w:p>
      <w:pPr>
        <w:spacing w:after="0" w:line="334" w:lineRule="exact"/>
        <w:rPr>
          <w:rFonts w:ascii="Courier New" w:cs="Courier New" w:eastAsia="Courier New" w:hAnsi="Courier New"/>
          <w:sz w:val="14"/>
          <w:szCs w:val="14"/>
          <w:color w:val="auto"/>
        </w:rPr>
      </w:pPr>
    </w:p>
    <w:p>
      <w:pPr>
        <w:ind w:right="3119" w:firstLine="1588"/>
        <w:spacing w:after="0"/>
        <w:tabs>
          <w:tab w:leader="none" w:pos="186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Subject to the terms hereof, the Company will take all action that may be necessary or appropriate in order that the Company may validly and legally issue fully paid and nonassessable shares of stock, free from all taxes, liens and charges with respect to the issue thereof, on the exercise of all or any portion of this Warrant from time to time outstanding.</w:t>
      </w:r>
    </w:p>
    <w:p>
      <w:pPr>
        <w:spacing w:after="0" w:line="172"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RECORD DATE, ETC. In the event of</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148" w:name="page149"/>
    <w:bookmarkEnd w:id="148"/>
    <w:p>
      <w:pPr>
        <w:ind w:right="3119" w:firstLine="1588"/>
        <w:spacing w:after="0"/>
        <w:tabs>
          <w:tab w:leader="none" w:pos="195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taking by the Company of a record of the holders of any class of securities for the purpose of determining the holders thereof who are entitled to receive any dividend on, or any right to subscribe for, purchase or otherwise acquire any shares of stock of any class or any other securities or property, or to receive any other right, or</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capital reorganization of the Company, any reclassification or recapitalization of the capital stock of the Company or any transfer of all or substantially all of the assets of the Company to or consolidation or merger of the Company with or into any other person (other than a wholly-owned subsidiary of the Company), or</w:t>
      </w:r>
    </w:p>
    <w:p>
      <w:pPr>
        <w:spacing w:after="0" w:line="174" w:lineRule="exact"/>
        <w:rPr>
          <w:rFonts w:ascii="Courier New" w:cs="Courier New" w:eastAsia="Courier New" w:hAnsi="Courier New"/>
          <w:sz w:val="15"/>
          <w:szCs w:val="15"/>
          <w:color w:val="auto"/>
        </w:rPr>
      </w:pPr>
    </w:p>
    <w:p>
      <w:pPr>
        <w:ind w:right="3299" w:firstLine="1588"/>
        <w:spacing w:after="0" w:line="238" w:lineRule="auto"/>
        <w:tabs>
          <w:tab w:leader="none" w:pos="195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voluntary or involuntary dissolution, liquidation or winding-up of the Company,</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then and in each such event the Company will mail or cause to be mailed to the Holder, at least ten days prior to such record date, a notice specifying (i) the date on which any such record is to be taken for the purpose of such dividend, distribution or right, and stating the amount and character of such dividend, distribution or right, (ii) the date on which any such reorganization, reclassification, recapitalization, transfer, consolidation, merger, dissolution, liquidation or winding-up is to take place, and the time, if any is to be fixed, as of which the holders of record of Common Stock (or Other Securities) shall be entitled to exchange their shares of Common Stock (or Other Securities) for securities or other property deliverable on such reorganization, reclassification, recapitalization, transfer, consolidation, merger, dissolution, liquidation or winding-up, and (iii) the amount and character of any stock or other securities, or rights or options with respect thereto, proposed to be issued or granted, the date of such proposed issue or grant and the persons or class of persons to whom such proposed issue or grant is to be offered or made. Such notice shall also state that the action in question or the record date is subject to the effectiveness of a registration statement under the 1933 Act, or a favorable vote of stockholders, if either is required. Such notice shall be mailed at least ten days prior to the date specified in such notice on which any such action is to be taken or the record date, whichever is earlier.</w:t>
      </w:r>
    </w:p>
    <w:p>
      <w:pPr>
        <w:spacing w:after="0" w:line="186" w:lineRule="exact"/>
        <w:rPr>
          <w:sz w:val="20"/>
          <w:szCs w:val="20"/>
          <w:color w:val="auto"/>
        </w:rPr>
      </w:pPr>
    </w:p>
    <w:p>
      <w:pPr>
        <w:ind w:right="3119" w:firstLine="1588"/>
        <w:spacing w:after="0"/>
        <w:tabs>
          <w:tab w:leader="none" w:pos="1864"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ETC., ISSUABLE ON EXERCISE OF WARRANTS. The Company will at all times reserve and keep available out of its authorized but unissued shares of capital stock, solely for issuance and delivery on the exercise of this Warrant, a sufficient number of shares of Common Stock (or Other Securities) to effect the full exercise of this Warrant and the exercise, conversion or exchange of any other warrant or security of the Company exercisable for, convertible into, exchangeable for or otherwise entitling the holder to acquire shares of Common Stock (or Other Securities), and if at any time the number of authorized but unissued shares of Common Stock (or Other Securities) shall not be sufficient to effect such exercise, conversion or exchange, the Company shall take such action as may be necessary to increase its authorized but unissued shares of Common Stock (or Other Securities) to such number as shall be sufficient for such purposes.</w:t>
      </w:r>
    </w:p>
    <w:p>
      <w:pPr>
        <w:spacing w:after="0" w:line="180" w:lineRule="exact"/>
        <w:rPr>
          <w:rFonts w:ascii="Courier New" w:cs="Courier New" w:eastAsia="Courier New" w:hAnsi="Courier New"/>
          <w:sz w:val="15"/>
          <w:szCs w:val="15"/>
          <w:color w:val="auto"/>
        </w:rPr>
      </w:pPr>
    </w:p>
    <w:p>
      <w:pPr>
        <w:ind w:right="3299" w:firstLine="1588"/>
        <w:spacing w:after="0" w:line="261" w:lineRule="auto"/>
        <w:tabs>
          <w:tab w:leader="none" w:pos="186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WARRANT. This Warrant shall inure to the benefit of the successors to and assigns of the Holder. This Warrant and all rights hereunder, in whole or in part, are registrable at the office or agency of the Company referred to below by the Holder hereof in person or by his duly authorized attorney, upon surrender of this Warrant properly endorsed.</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149" w:name="page150"/>
    <w:bookmarkEnd w:id="149"/>
    <w:p>
      <w:pPr>
        <w:ind w:left="-1200" w:right="3219" w:firstLine="1588"/>
        <w:spacing w:after="0" w:line="260" w:lineRule="auto"/>
        <w:tabs>
          <w:tab w:leader="none" w:pos="752"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 OF WARRANTS. The Company shall maintain, at the principal office of the Company (or such other office as it may designate by notice to the Holder hereof), a register in which the Company shall record the name and address of the person in whose name this Warrant has been issued, as well as the name and address of each successor and prior owner of such Warrant. The Company shall be entitled to treat the person in whose name this Warrant is so registered as the sole and absolute owner of this Warrant for all purposes.</w:t>
      </w:r>
    </w:p>
    <w:p>
      <w:pPr>
        <w:spacing w:after="0" w:line="162" w:lineRule="exact"/>
        <w:rPr>
          <w:rFonts w:ascii="Courier New" w:cs="Courier New" w:eastAsia="Courier New" w:hAnsi="Courier New"/>
          <w:sz w:val="14"/>
          <w:szCs w:val="14"/>
          <w:color w:val="auto"/>
        </w:rPr>
      </w:pPr>
    </w:p>
    <w:p>
      <w:pPr>
        <w:ind w:left="-1200" w:right="3119" w:firstLine="1588"/>
        <w:spacing w:after="0"/>
        <w:tabs>
          <w:tab w:leader="none" w:pos="75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WARRANT. This Warrant is exchangeable, upon the surrender hereof by the Holder hereof at the office or agency of the Company referred to in Section 10, for one or more new Warrants of like tenor representing in the aggregate the right to subscribe for and purchase the number of shares of Common Stock which may be subscribed for and purchased hereunder, each of such new Warrants to represent the right to subscribe for and purchase such number of shares as shall be designated by said Holder hereof at the time of such surrender.</w:t>
      </w:r>
    </w:p>
    <w:p>
      <w:pPr>
        <w:spacing w:after="0" w:line="176" w:lineRule="exact"/>
        <w:rPr>
          <w:rFonts w:ascii="Courier New" w:cs="Courier New" w:eastAsia="Courier New" w:hAnsi="Courier New"/>
          <w:sz w:val="15"/>
          <w:szCs w:val="15"/>
          <w:color w:val="auto"/>
        </w:rPr>
      </w:pPr>
    </w:p>
    <w:p>
      <w:pPr>
        <w:ind w:left="-1200" w:right="3219" w:firstLine="1588"/>
        <w:spacing w:after="0" w:line="260" w:lineRule="auto"/>
        <w:tabs>
          <w:tab w:leader="none" w:pos="752"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OF WARRANT. On receipt of evidence reasonably satisfactory to the Company of the loss, theft, destruction or mutilation of this Warrant and, in the case of any such loss, theft or destruction of this Warrant, on delivery of an indemnity agreement or security reasonably satisfactory in form and amount to the Company or, in the case of any such mutilation, on surrender and cancellation of this Warrant, the Company at its expense will execute and deliver, in lieu thereof, a new Warrant of like tenor.</w:t>
      </w:r>
    </w:p>
    <w:p>
      <w:pPr>
        <w:spacing w:after="0" w:line="162" w:lineRule="exact"/>
        <w:rPr>
          <w:rFonts w:ascii="Courier New" w:cs="Courier New" w:eastAsia="Courier New" w:hAnsi="Courier New"/>
          <w:sz w:val="14"/>
          <w:szCs w:val="14"/>
          <w:color w:val="auto"/>
        </w:rPr>
      </w:pPr>
    </w:p>
    <w:p>
      <w:pPr>
        <w:ind w:left="-1200" w:right="3219" w:firstLine="1588"/>
        <w:spacing w:after="0"/>
        <w:tabs>
          <w:tab w:leader="none" w:pos="75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AGENT. The Company may, by written notice to the Holder, appoint the transfer agent and registrar for the Common Stock as the Company's agent for the purpose of issuing shares of Common Stock (or Other Securities) on the exercise of this Warrant pursuant to Section 1, and the Company may, by notice to the Holder, appoint an agent having an office in the United States of America for the purpose of exchanging this Warrant pursuant to Section 11 and replacing this Warrant pursuant to Section 12, or either of the foregoing, and thereafter any such exchange or replacement, as the case may be, shall be made at such office by such agent.</w:t>
      </w:r>
    </w:p>
    <w:p>
      <w:pPr>
        <w:spacing w:after="0" w:line="177" w:lineRule="exact"/>
        <w:rPr>
          <w:rFonts w:ascii="Courier New" w:cs="Courier New" w:eastAsia="Courier New" w:hAnsi="Courier New"/>
          <w:sz w:val="15"/>
          <w:szCs w:val="15"/>
          <w:color w:val="auto"/>
        </w:rPr>
      </w:pPr>
    </w:p>
    <w:p>
      <w:pPr>
        <w:ind w:left="-1200" w:right="3119" w:firstLine="1588"/>
        <w:spacing w:after="0"/>
        <w:tabs>
          <w:tab w:leader="none" w:pos="75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The Company stipulates that the remedies at law of the Holder in the event of any default or threatened default by the Company in the performance of or compliance with any of the terms of this Warrant are not and will not be adequate, and that such terms may be specifically enforced by a decree for the specific performance of any agreement contained herein or by an injunction against a violation of any of the terms hereof or otherwise.</w:t>
      </w:r>
    </w:p>
    <w:p>
      <w:pPr>
        <w:spacing w:after="0" w:line="175" w:lineRule="exact"/>
        <w:rPr>
          <w:rFonts w:ascii="Courier New" w:cs="Courier New" w:eastAsia="Courier New" w:hAnsi="Courier New"/>
          <w:sz w:val="15"/>
          <w:szCs w:val="15"/>
          <w:color w:val="auto"/>
        </w:rPr>
      </w:pPr>
    </w:p>
    <w:p>
      <w:pPr>
        <w:ind w:left="-1200" w:right="3219" w:firstLine="1588"/>
        <w:spacing w:after="0"/>
        <w:tabs>
          <w:tab w:leader="none" w:pos="75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OR LIABILITIES AS A STOCKHOLDER. This Warrant shall not entitle the Holder hereof to any voting rights or other rights as a stockholder of the Company. No provision of this Warrant, in the absence of affirmative action by the Holder hereof to purchase Common Stock, and no mere enumeration herein of the rights or privileges of the Holder hereof, shall give rise to any liability of the Holder for the Purchase Price or as a stockholder of the Company, whether such liability is asserted by the Company or by creditors of the Company.</w:t>
      </w:r>
    </w:p>
    <w:p>
      <w:pPr>
        <w:spacing w:after="0" w:line="176" w:lineRule="exact"/>
        <w:rPr>
          <w:rFonts w:ascii="Courier New" w:cs="Courier New" w:eastAsia="Courier New" w:hAnsi="Courier New"/>
          <w:sz w:val="15"/>
          <w:szCs w:val="15"/>
          <w:color w:val="auto"/>
        </w:rPr>
      </w:pPr>
    </w:p>
    <w:p>
      <w:pPr>
        <w:ind w:left="-1200" w:right="3399" w:firstLine="1588"/>
        <w:spacing w:after="0" w:line="239" w:lineRule="auto"/>
        <w:tabs>
          <w:tab w:leader="none" w:pos="75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ETC. All notices and other communications from the Company to the registered Holder or from the registered Holder to the Company shall be delivered personally (which shall include telephone line facsimile transmission with answer back confirmation) or by</w:t>
      </w:r>
    </w:p>
    <w:p>
      <w:pPr>
        <w:spacing w:after="0" w:line="34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631" w:right="1440" w:bottom="1440" w:gutter="0" w:footer="0" w:header="0"/>
        </w:sectPr>
      </w:pPr>
    </w:p>
    <w:bookmarkStart w:id="150" w:name="page151"/>
    <w:bookmarkEnd w:id="150"/>
    <w:p>
      <w:pPr>
        <w:ind w:right="3119"/>
        <w:spacing w:after="0"/>
        <w:rPr>
          <w:sz w:val="20"/>
          <w:szCs w:val="20"/>
          <w:color w:val="auto"/>
        </w:rPr>
      </w:pPr>
      <w:r>
        <w:rPr>
          <w:rFonts w:ascii="Courier New" w:cs="Courier New" w:eastAsia="Courier New" w:hAnsi="Courier New"/>
          <w:sz w:val="15"/>
          <w:szCs w:val="15"/>
          <w:color w:val="auto"/>
        </w:rPr>
        <w:t>courier and shall be effective upon receipt, addressed to each party at the address or telephone line facsimile transmission number for each party set forth in the Subscription Agreement or at such other address or telephone line facsimile transmission number as a party shall have provided to the other party in accordance with this provision.</w:t>
      </w:r>
    </w:p>
    <w:p>
      <w:pPr>
        <w:spacing w:after="0" w:line="174" w:lineRule="exact"/>
        <w:rPr>
          <w:sz w:val="20"/>
          <w:szCs w:val="20"/>
          <w:color w:val="auto"/>
        </w:rPr>
      </w:pPr>
    </w:p>
    <w:p>
      <w:pPr>
        <w:ind w:right="3119" w:firstLine="1588"/>
        <w:spacing w:after="0" w:line="258" w:lineRule="auto"/>
        <w:tabs>
          <w:tab w:leader="none" w:pos="1952"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RESTRICTIONS. By acceptance of this Warrant, the Holder represents to the Company that this Warrant is being acquired for the Holder's own account and for the purpose of investment and not with a view to, or for sale in connection with, the distribution thereof, nor with any present intention of distributing or selling this Warrant or the Common Stock issuable upon exercise of this Warrant. The Holder acknowledges and agrees that this Warrant and, except as otherwise provided in the Registration Rights Agreement, the shares of Common Stock issuable upon exercise of this Warrant (if any) have not been (and at the time of acquisition by the Holder, will not have been or will not be), registered under the 1933 Act or under the securities laws of any state, in reliance upon certain exemptive provisions of such statutes. The Holder further recognizes and acknowledges that (a) because this Warrant and, except as provided in the Registration Rights Agreement, the Common Stock issuable upon exercise of this Warrant (if any) are unregistered, they may not be eligible for resale, and may only be resold in the future pursuant to an effective registration statement under the 1933 Act and any applicable state securities laws, or pursuant to a valid exemption from such registration requirements and (b) this Warrant and the Common Stock issuable upon the exercise hereof are subject to the transfer restrictions and other terms, conditions and obligations set forth in the Registration Rights Agreement and in the Subscription Agreement. Unless the shares of Common Stock issuable upon exercise of this Warrant have theretofore been registered for resale under the 1933 Act, the Company may require, as a condition to the issuance of Common Stock upon the exercise of this Warrant a confirmation as of the date of exercise of the Holder's representations pursuant to this Section 17.</w:t>
      </w:r>
    </w:p>
    <w:p>
      <w:pPr>
        <w:spacing w:after="0" w:line="345" w:lineRule="exact"/>
        <w:rPr>
          <w:rFonts w:ascii="Courier New" w:cs="Courier New" w:eastAsia="Courier New" w:hAnsi="Courier New"/>
          <w:sz w:val="14"/>
          <w:szCs w:val="14"/>
          <w:color w:val="auto"/>
        </w:rPr>
      </w:pPr>
    </w:p>
    <w:p>
      <w:pPr>
        <w:ind w:right="3219" w:firstLine="1588"/>
        <w:spacing w:after="0" w:line="239" w:lineRule="auto"/>
        <w:tabs>
          <w:tab w:leader="none" w:pos="195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 Except to the extent required by the Subscription Agreement, each certificate for shares issued upon exercise of this Warrant shall be free of any restrictive legend.</w:t>
      </w:r>
    </w:p>
    <w:p>
      <w:pPr>
        <w:spacing w:after="0" w:line="175" w:lineRule="exact"/>
        <w:rPr>
          <w:rFonts w:ascii="Courier New" w:cs="Courier New" w:eastAsia="Courier New" w:hAnsi="Courier New"/>
          <w:sz w:val="15"/>
          <w:szCs w:val="15"/>
          <w:color w:val="auto"/>
        </w:rPr>
      </w:pPr>
    </w:p>
    <w:p>
      <w:pPr>
        <w:ind w:right="3219" w:firstLine="1588"/>
        <w:spacing w:after="0"/>
        <w:tabs>
          <w:tab w:leader="none" w:pos="195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any litigation, arbitration or court proceeding between the Company and Holder relating hereto, the prevailing party shall be entitled to attorneys' fees and expenses and all costs of proceedings incurred in enforcing this Warrant; provided that the prevailing party may only recover attorney's fees and expenses aggregating up to 35% of the amount sought in good faith to be recovered.</w:t>
      </w:r>
    </w:p>
    <w:p>
      <w:pPr>
        <w:spacing w:after="0" w:line="175"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WAIVER. This Warrant and any terms hereof may be changed, waived, discharged or terminated only by an instrument in writing signed by the party against which enforcement of such change, waiver, discharge or termination is sought.</w:t>
      </w:r>
    </w:p>
    <w:p>
      <w:pPr>
        <w:spacing w:after="0" w:line="176"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The corporate laws of the State of Delaware shall govern all issues concerning the relative rights of the Company and its stockholders. All other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the Holder hereby irrevocably submit to the exclusive jurisdiction of the state and federal courts sitting in</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151" w:name="page152"/>
    <w:bookmarkEnd w:id="151"/>
    <w:p>
      <w:pPr>
        <w:ind w:right="3119"/>
        <w:spacing w:after="0" w:line="259" w:lineRule="auto"/>
        <w:rPr>
          <w:sz w:val="20"/>
          <w:szCs w:val="20"/>
          <w:color w:val="auto"/>
        </w:rPr>
      </w:pPr>
      <w:r>
        <w:rPr>
          <w:rFonts w:ascii="Courier New" w:cs="Courier New" w:eastAsia="Courier New" w:hAnsi="Courier New"/>
          <w:sz w:val="14"/>
          <w:szCs w:val="14"/>
          <w:color w:val="auto"/>
        </w:rPr>
        <w:t>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or that such suit, action or proceeding is improper. Each of the Company and the Holder hereby irrevocably waives personal service of process and consents to process being served in any such suit, action or proceeding by certified mail, return receipt requested, and agrees that such service shall constitute good and sufficient service of process and notice thereof. Nothing contained herein shall be deemed to limit in any way any right to serve process in any manner permitted by law.</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152" w:name="page153"/>
    <w:bookmarkEnd w:id="152"/>
    <w:p>
      <w:pPr>
        <w:ind w:right="3219" w:firstLine="1597"/>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to be executed on its behalf by one of its officers thereunto duly authorized.</w:t>
      </w:r>
    </w:p>
    <w:p>
      <w:pPr>
        <w:sectPr>
          <w:pgSz w:w="11900" w:h="16838" w:orient="portrait"/>
          <w:cols w:equalWidth="0" w:num="1">
            <w:col w:w="10219"/>
          </w:cols>
          <w:pgMar w:left="240" w:top="63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21, 2001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INC.</w:t>
      </w:r>
    </w:p>
    <w:p>
      <w:pPr>
        <w:spacing w:after="0" w:line="200" w:lineRule="exact"/>
        <w:rPr>
          <w:sz w:val="20"/>
          <w:szCs w:val="20"/>
          <w:color w:val="auto"/>
        </w:rPr>
      </w:pPr>
    </w:p>
    <w:p>
      <w:pPr>
        <w:sectPr>
          <w:pgSz w:w="11900" w:h="16838" w:orient="portrait"/>
          <w:cols w:equalWidth="0" w:num="3">
            <w:col w:w="520" w:space="180"/>
            <w:col w:w="1760" w:space="720"/>
            <w:col w:w="7039"/>
          </w:cols>
          <w:pgMar w:left="240" w:top="631" w:right="1440" w:bottom="1440" w:gutter="0" w:footer="0" w:header="0"/>
          <w:type w:val="continuous"/>
        </w:sectPr>
      </w:pPr>
    </w:p>
    <w:p>
      <w:pPr>
        <w:spacing w:after="0" w:line="151" w:lineRule="exact"/>
        <w:rPr>
          <w:sz w:val="20"/>
          <w:szCs w:val="20"/>
          <w:color w:val="auto"/>
        </w:rPr>
      </w:pPr>
    </w:p>
    <w:p>
      <w:pPr>
        <w:ind w:left="3180"/>
        <w:spacing w:after="0"/>
        <w:tabs>
          <w:tab w:leader="none" w:pos="3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Martin M. McGlynn</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Name: Martin M. McGlynn</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180"/>
        <w:spacing w:after="0"/>
        <w:tabs>
          <w:tab w:leader="none" w:pos="3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President, Chief Executive Officer</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type w:val="continuous"/>
        </w:sectPr>
      </w:pPr>
    </w:p>
    <w:bookmarkStart w:id="153" w:name="page154"/>
    <w:bookmarkEnd w:id="153"/>
    <w:p>
      <w:pPr>
        <w:ind w:left="2660"/>
        <w:spacing w:after="0"/>
        <w:rPr>
          <w:sz w:val="20"/>
          <w:szCs w:val="20"/>
          <w:color w:val="auto"/>
        </w:rPr>
      </w:pPr>
      <w:r>
        <w:rPr>
          <w:rFonts w:ascii="Courier New" w:cs="Courier New" w:eastAsia="Courier New" w:hAnsi="Courier New"/>
          <w:sz w:val="15"/>
          <w:szCs w:val="15"/>
          <w:color w:val="auto"/>
        </w:rPr>
        <w:t>FORM OF SUBSCRIPTION</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(To be signed only on exercise of Warrant)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STEMCELLS, INC.</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Palo Alto, California 94304</w:t>
      </w:r>
    </w:p>
    <w:p>
      <w:pPr>
        <w:spacing w:after="0" w:line="171"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Chief Financial Officer</w:t>
      </w:r>
    </w:p>
    <w:p>
      <w:pPr>
        <w:spacing w:after="0" w:line="174" w:lineRule="exact"/>
        <w:rPr>
          <w:sz w:val="20"/>
          <w:szCs w:val="20"/>
          <w:color w:val="auto"/>
        </w:rPr>
      </w:pPr>
    </w:p>
    <w:p>
      <w:pPr>
        <w:ind w:right="3219" w:firstLine="1588"/>
        <w:spacing w:after="0" w:line="239" w:lineRule="auto"/>
        <w:tabs>
          <w:tab w:leader="none" w:pos="186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of the attached original, executed Warrant hereby elects to exercise its purchase right under such Warrant with respect to ______________ shares of Common Stock, as defined in the Warrant, of StemCells, Inc., a Delaware corporation (the "Company").</w:t>
      </w:r>
    </w:p>
    <w:p>
      <w:pPr>
        <w:spacing w:after="0" w:line="176" w:lineRule="exact"/>
        <w:rPr>
          <w:rFonts w:ascii="Courier New" w:cs="Courier New" w:eastAsia="Courier New" w:hAnsi="Courier New"/>
          <w:sz w:val="15"/>
          <w:szCs w:val="15"/>
          <w:color w:val="auto"/>
        </w:rPr>
      </w:pPr>
    </w:p>
    <w:p>
      <w:pPr>
        <w:ind w:right="3119" w:firstLine="1588"/>
        <w:spacing w:after="0"/>
        <w:tabs>
          <w:tab w:leader="none" w:pos="186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elects to pay the aggregate purchase price for such shares of Common Stock (the "Exercise Shares") (i) by lawful money of the United States or the enclosed certified or official bank check payable in United States dollars to the order of the Company in the amount of $___________, or (ii) by wire transfer of United States funds to the account of the Company in the amount of $____________, which transfer has been made before or simultaneously with the delivery of this Form of Subscription pursuant to the instructions of the Company.</w:t>
      </w:r>
    </w:p>
    <w:p>
      <w:pPr>
        <w:spacing w:after="0" w:line="176" w:lineRule="exact"/>
        <w:rPr>
          <w:rFonts w:ascii="Courier New" w:cs="Courier New" w:eastAsia="Courier New" w:hAnsi="Courier New"/>
          <w:sz w:val="15"/>
          <w:szCs w:val="15"/>
          <w:color w:val="auto"/>
        </w:rPr>
      </w:pPr>
    </w:p>
    <w:p>
      <w:pPr>
        <w:ind w:right="3299" w:firstLine="1588"/>
        <w:spacing w:after="0" w:line="239" w:lineRule="auto"/>
        <w:tabs>
          <w:tab w:leader="none" w:pos="186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represents and warrants that it is an accredited investor as defined under Rule 501(a) promulgated under the Securities Act of 1933, as amended.</w:t>
      </w:r>
    </w:p>
    <w:p>
      <w:pPr>
        <w:spacing w:after="0" w:line="175" w:lineRule="exact"/>
        <w:rPr>
          <w:rFonts w:ascii="Courier New" w:cs="Courier New" w:eastAsia="Courier New" w:hAnsi="Courier New"/>
          <w:sz w:val="15"/>
          <w:szCs w:val="15"/>
          <w:color w:val="auto"/>
        </w:rPr>
      </w:pPr>
    </w:p>
    <w:p>
      <w:pPr>
        <w:ind w:right="3119" w:firstLine="1588"/>
        <w:spacing w:after="0" w:line="239" w:lineRule="auto"/>
        <w:tabs>
          <w:tab w:leader="none" w:pos="186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stock certificate or certificates representing the appropriate number of shares of Common Stock in the name of the undersigned or in such other name as is specified below:</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1588"/>
        <w:spacing w:after="0" w:line="239" w:lineRule="auto"/>
        <w:tabs>
          <w:tab w:leader="none" w:pos="1864"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hereby represents to the Company that the exercise of the Warrant elected hereby does not violate Section 1.2 of the Warrant.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8" w:right="1440" w:bottom="1440" w:gutter="0" w:footer="0" w:header="0"/>
        </w:sectPr>
      </w:pPr>
    </w:p>
    <w:bookmarkStart w:id="154" w:name="page155"/>
    <w:bookmarkEnd w:id="154"/>
    <w:p>
      <w:pPr>
        <w:spacing w:after="0"/>
        <w:tabs>
          <w:tab w:leader="none" w:pos="3260" w:val="left"/>
        </w:tabs>
        <w:rPr>
          <w:sz w:val="20"/>
          <w:szCs w:val="20"/>
          <w:color w:val="auto"/>
        </w:rPr>
      </w:pPr>
      <w:r>
        <w:rPr>
          <w:rFonts w:ascii="Courier New" w:cs="Courier New" w:eastAsia="Courier New" w:hAnsi="Courier New"/>
          <w:sz w:val="15"/>
          <w:szCs w:val="15"/>
          <w:color w:val="auto"/>
        </w:rPr>
        <w:t>Dated: ____________ ___, ____</w:t>
      </w:r>
      <w:r>
        <w:rPr>
          <w:sz w:val="20"/>
          <w:szCs w:val="20"/>
          <w:color w:val="auto"/>
        </w:rPr>
        <w:tab/>
      </w:r>
      <w:r>
        <w:rPr>
          <w:rFonts w:ascii="Courier New" w:cs="Courier New" w:eastAsia="Courier New" w:hAnsi="Courier New"/>
          <w:sz w:val="14"/>
          <w:szCs w:val="14"/>
          <w:color w:val="auto"/>
        </w:rPr>
        <w:t>HOLDER:</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(Signature must conform to name of</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Holder as specified on the face of the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Warrant)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Name:</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8" w:right="1440" w:bottom="1440" w:gutter="0" w:footer="0" w:header="0"/>
        </w:sectPr>
      </w:pPr>
    </w:p>
    <w:bookmarkStart w:id="155" w:name="page156"/>
    <w:bookmarkEnd w:id="155"/>
    <w:p>
      <w:pPr>
        <w:ind w:left="2840"/>
        <w:spacing w:after="0"/>
        <w:rPr>
          <w:sz w:val="20"/>
          <w:szCs w:val="20"/>
          <w:color w:val="auto"/>
        </w:rPr>
      </w:pPr>
      <w:r>
        <w:rPr>
          <w:rFonts w:ascii="Courier New" w:cs="Courier New" w:eastAsia="Courier New" w:hAnsi="Courier New"/>
          <w:sz w:val="15"/>
          <w:szCs w:val="15"/>
          <w:color w:val="auto"/>
        </w:rPr>
        <w:t>ADJUSTMENT NOTICE</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STEMCELLS, INC.</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Palo Alto, California 94304</w:t>
      </w:r>
    </w:p>
    <w:p>
      <w:pPr>
        <w:spacing w:after="0" w:line="171"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Chief Financial Officer</w:t>
      </w:r>
    </w:p>
    <w:p>
      <w:pPr>
        <w:spacing w:after="0" w:line="17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650-475-3101</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This Adjustment Notice is given pursuant to the terms of the Common Stock Purchase Warrant, Class A, dated June 21, 2001, issued by STEMCELLS, INC., a Delaware corporation (the "Warrant"). Capitalized terms used herein and not otherwise defined herein have the respective meanings provided in the Warrant. Attached hereto is a copy of the spreadsheet used pursuant to Section 1.3(e) of the Warrant to prepare this notice. The undersigned Holder hereby notifies the Company as follows:</w:t>
      </w:r>
    </w:p>
    <w:p>
      <w:pPr>
        <w:spacing w:after="0" w:line="173" w:lineRule="exact"/>
        <w:rPr>
          <w:sz w:val="20"/>
          <w:szCs w:val="20"/>
          <w:color w:val="auto"/>
        </w:rPr>
      </w:pPr>
    </w:p>
    <w:p>
      <w:pPr>
        <w:ind w:left="3180" w:hanging="793"/>
        <w:spacing w:after="0"/>
        <w:tabs>
          <w:tab w:leader="none" w:pos="31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Date:</w:t>
      </w:r>
    </w:p>
    <w:p>
      <w:pPr>
        <w:spacing w:after="0" w:line="3"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180" w:right="3299" w:hanging="793"/>
        <w:spacing w:after="0" w:line="238" w:lineRule="auto"/>
        <w:tabs>
          <w:tab w:leader="none" w:pos="318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number of Adjustment Shares ("AS") pursuant to Section 1.3(a):</w:t>
      </w:r>
    </w:p>
    <w:p>
      <w:pPr>
        <w:spacing w:after="0" w:line="175" w:lineRule="exact"/>
        <w:rPr>
          <w:sz w:val="20"/>
          <w:szCs w:val="20"/>
          <w:color w:val="auto"/>
        </w:rPr>
      </w:pPr>
    </w:p>
    <w:p>
      <w:pPr>
        <w:ind w:left="3180" w:right="3399" w:hanging="793"/>
        <w:spacing w:after="0" w:line="238" w:lineRule="auto"/>
        <w:tabs>
          <w:tab w:leader="none" w:pos="318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Held as of prior Adjustment Date:</w:t>
      </w:r>
    </w:p>
    <w:p>
      <w:pPr>
        <w:spacing w:after="0" w:line="1" w:lineRule="exact"/>
        <w:rPr>
          <w:rFonts w:ascii="Courier New" w:cs="Courier New" w:eastAsia="Courier New" w:hAnsi="Courier New"/>
          <w:sz w:val="15"/>
          <w:szCs w:val="15"/>
          <w:color w:val="auto"/>
        </w:rPr>
      </w:pPr>
    </w:p>
    <w:p>
      <w:pPr>
        <w:ind w:left="3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3180" w:right="3299" w:hanging="793"/>
        <w:spacing w:after="0" w:line="239" w:lineRule="auto"/>
        <w:tabs>
          <w:tab w:leader="none" w:pos="318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Average Market Price, the ten lowest Market Prices during the 30 Trading Days during the Measurement Period were as follows:</w:t>
      </w:r>
    </w:p>
    <w:p>
      <w:pPr>
        <w:sectPr>
          <w:pgSz w:w="11900" w:h="16838" w:orient="portrait"/>
          <w:cols w:equalWidth="0" w:num="1">
            <w:col w:w="10219"/>
          </w:cols>
          <w:pgMar w:left="240" w:top="628" w:right="1440" w:bottom="1440" w:gutter="0" w:footer="0" w:header="0"/>
        </w:sectPr>
      </w:pP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2740" w:space="440"/>
            <w:col w:w="1060" w:space="720"/>
            <w:col w:w="360" w:space="620"/>
            <w:col w:w="4279"/>
          </w:cols>
          <w:pgMar w:left="240" w:top="628" w:right="1440"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3180" w:right="3759" w:hanging="793"/>
        <w:spacing w:after="0" w:line="239" w:lineRule="auto"/>
        <w:tabs>
          <w:tab w:leader="none" w:pos="31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Lowest Average Market Price as of any previous Adjustment Date: $_________.</w:t>
      </w:r>
    </w:p>
    <w:p>
      <w:pPr>
        <w:spacing w:after="0" w:line="172" w:lineRule="exact"/>
        <w:rPr>
          <w:rFonts w:ascii="Courier New" w:cs="Courier New" w:eastAsia="Courier New" w:hAnsi="Courier New"/>
          <w:sz w:val="15"/>
          <w:szCs w:val="15"/>
          <w:color w:val="auto"/>
        </w:rPr>
      </w:pPr>
    </w:p>
    <w:p>
      <w:pPr>
        <w:ind w:left="3180" w:hanging="793"/>
        <w:spacing w:after="0"/>
        <w:tabs>
          <w:tab w:leader="none" w:pos="31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Shares:  ______________</w:t>
      </w:r>
    </w:p>
    <w:p>
      <w:pPr>
        <w:spacing w:after="0" w:line="174" w:lineRule="exact"/>
        <w:rPr>
          <w:sz w:val="20"/>
          <w:szCs w:val="20"/>
          <w:color w:val="auto"/>
        </w:rPr>
      </w:pPr>
    </w:p>
    <w:p>
      <w:pPr>
        <w:ind w:left="3180" w:right="3479" w:hanging="793"/>
        <w:spacing w:after="0" w:line="238" w:lineRule="auto"/>
        <w:tabs>
          <w:tab w:leader="none" w:pos="31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Specified Number on preceding Adjustment Date: __________</w:t>
      </w:r>
    </w:p>
    <w:p>
      <w:pPr>
        <w:spacing w:after="0" w:line="174" w:lineRule="exact"/>
        <w:rPr>
          <w:rFonts w:ascii="Courier New" w:cs="Courier New" w:eastAsia="Courier New" w:hAnsi="Courier New"/>
          <w:sz w:val="15"/>
          <w:szCs w:val="15"/>
          <w:color w:val="auto"/>
        </w:rPr>
      </w:pPr>
    </w:p>
    <w:p>
      <w:pPr>
        <w:ind w:left="3180" w:right="3479" w:hanging="793"/>
        <w:spacing w:after="0" w:line="238" w:lineRule="auto"/>
        <w:tabs>
          <w:tab w:leader="none" w:pos="31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issued upon exercises during last Quarterly Period: _____</w:t>
      </w:r>
    </w:p>
    <w:p>
      <w:pPr>
        <w:spacing w:after="0" w:line="172" w:lineRule="exact"/>
        <w:rPr>
          <w:rFonts w:ascii="Courier New" w:cs="Courier New" w:eastAsia="Courier New" w:hAnsi="Courier New"/>
          <w:sz w:val="15"/>
          <w:szCs w:val="15"/>
          <w:color w:val="auto"/>
        </w:rPr>
      </w:pPr>
    </w:p>
    <w:p>
      <w:pPr>
        <w:ind w:left="3180" w:hanging="793"/>
        <w:spacing w:after="0"/>
        <w:tabs>
          <w:tab w:leader="none" w:pos="31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Specified Number on Adjustment Date:</w:t>
      </w:r>
    </w:p>
    <w:p>
      <w:pPr>
        <w:ind w:lef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8" w:right="1440" w:bottom="1440" w:gutter="0" w:footer="0" w:header="0"/>
          <w:type w:val="continuous"/>
        </w:sectPr>
      </w:pPr>
    </w:p>
    <w:bookmarkStart w:id="156" w:name="page157"/>
    <w:bookmarkEnd w:id="156"/>
    <w:p>
      <w:pPr>
        <w:ind w:left="2840"/>
        <w:spacing w:after="0"/>
        <w:rPr>
          <w:sz w:val="20"/>
          <w:szCs w:val="20"/>
          <w:color w:val="auto"/>
        </w:rPr>
      </w:pPr>
      <w:r>
        <w:rPr>
          <w:rFonts w:ascii="Courier New" w:cs="Courier New" w:eastAsia="Courier New" w:hAnsi="Courier New"/>
          <w:sz w:val="15"/>
          <w:szCs w:val="15"/>
          <w:color w:val="auto"/>
        </w:rPr>
        <w:t>NAME OF HOLDER: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ind w:left="620"/>
        <w:spacing w:after="0"/>
        <w:tabs>
          <w:tab w:leader="none" w:pos="2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8" w:right="1440" w:bottom="1440" w:gutter="0" w:footer="0" w:header="0"/>
        </w:sectPr>
      </w:pPr>
    </w:p>
    <w:bookmarkStart w:id="157" w:name="page158"/>
    <w:bookmarkEnd w:id="157"/>
    <w:p>
      <w:pPr>
        <w:jc w:val="right"/>
        <w:ind w:right="3119"/>
        <w:spacing w:after="0"/>
        <w:rPr>
          <w:sz w:val="20"/>
          <w:szCs w:val="20"/>
          <w:color w:val="auto"/>
        </w:rPr>
      </w:pPr>
      <w:r>
        <w:rPr>
          <w:rFonts w:ascii="Courier New" w:cs="Courier New" w:eastAsia="Courier New" w:hAnsi="Courier New"/>
          <w:sz w:val="15"/>
          <w:szCs w:val="15"/>
          <w:color w:val="auto"/>
        </w:rPr>
        <w:t>EXHIBIT 10.55</w:t>
      </w:r>
    </w:p>
    <w:p>
      <w:pPr>
        <w:spacing w:after="0" w:line="17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REGISTRATION RIGHTS AGREEMENT</w:t>
      </w:r>
    </w:p>
    <w:p>
      <w:pPr>
        <w:spacing w:after="0" w:line="174"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THIS REGISTRATION RIGHTS AGREEMENT, dated as of June 21, 2001, (this "Agreement") is made by and between STEMCELLS, INC., a Delaware corporation (the "Company"), and the entity named on the signature page hereto (the "Initial Investor" or "Holder").</w:t>
      </w:r>
    </w:p>
    <w:p>
      <w:pPr>
        <w:spacing w:after="0" w:line="174"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WHEREAS, the Initial Investor and the Company are parties to that certain subscription agreement ("Prior Subscription Agreement") dated as of July 31, 2000, pursuant to which the Company, among other things, issued shares of the Company's Common Stock to the Buyer and granted the Buyer the option ("Option") to purchase additional shares of Common Stock pursuant to Section 5 of the Prior Subscription Agreement; and</w:t>
      </w:r>
    </w:p>
    <w:p>
      <w:pPr>
        <w:spacing w:after="0" w:line="175"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WHEREAS, in connection with the Initial Investor's exercise of such Option on June 8, 2001, the Initial Investor and the Company entered into a Subscription Agreement, dated as of June 21, 2001 (the "Subscription Agreement"), pursuant to which the Company has agreed, upon the terms and subject to the conditions of the Subscription Agreement, to issue and sell to the Initial Investor shares (the "Common Shares") of Common Stock, $.01 par value (the "Common Stock"), of the Company, and to issue a Callable Warrant (the "Callable Warrant") and a Common Stock Purchase Warrant, Class A (the "Class A Warrant") (collectively, the "Warrants") to purchase shares (the "Warrant Shares") of Common Stock; and</w:t>
      </w:r>
    </w:p>
    <w:p>
      <w:pPr>
        <w:spacing w:after="0" w:line="178"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WHEREAS, to induce the Initial Investor to execute and deliver the Subscription Agreement, the Company has agreed to provide certain registration rights under the Securities Act of 1933, as amended, and the rules and regulations thereunder, or any similar successor statute (collectively, the "1933 Act"), and applicable state securities laws with respect to the Common Shares and the Warrant Shares;</w:t>
      </w:r>
    </w:p>
    <w:p>
      <w:pPr>
        <w:spacing w:after="0" w:line="175" w:lineRule="exact"/>
        <w:rPr>
          <w:sz w:val="20"/>
          <w:szCs w:val="20"/>
          <w:color w:val="auto"/>
        </w:rPr>
      </w:pPr>
    </w:p>
    <w:p>
      <w:pPr>
        <w:ind w:left="9" w:right="3399" w:firstLine="799"/>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and other good and valuable consideration, the receipt and sufficiency of which are hereby acknowledged, the Company and the Initial Investor hereby agree as follows:</w:t>
      </w:r>
    </w:p>
    <w:p>
      <w:pPr>
        <w:spacing w:after="0" w:line="174" w:lineRule="exact"/>
        <w:rPr>
          <w:sz w:val="20"/>
          <w:szCs w:val="20"/>
          <w:color w:val="auto"/>
        </w:rPr>
      </w:pPr>
    </w:p>
    <w:p>
      <w:pPr>
        <w:ind w:left="789" w:hanging="789"/>
        <w:spacing w:after="0"/>
        <w:tabs>
          <w:tab w:leader="none" w:pos="78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left="9" w:right="3219" w:firstLine="1588"/>
        <w:spacing w:after="0" w:line="238" w:lineRule="auto"/>
        <w:tabs>
          <w:tab w:leader="none" w:pos="1961"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 the following terms shall have the following meanings:</w:t>
      </w:r>
    </w:p>
    <w:p>
      <w:pPr>
        <w:spacing w:after="0" w:line="175" w:lineRule="exact"/>
        <w:rPr>
          <w:sz w:val="20"/>
          <w:szCs w:val="20"/>
          <w:color w:val="auto"/>
        </w:rPr>
      </w:pPr>
    </w:p>
    <w:p>
      <w:pPr>
        <w:ind w:left="9" w:right="3219" w:firstLine="1597"/>
        <w:spacing w:after="0" w:line="262" w:lineRule="auto"/>
        <w:rPr>
          <w:sz w:val="20"/>
          <w:szCs w:val="20"/>
          <w:color w:val="auto"/>
        </w:rPr>
      </w:pPr>
      <w:r>
        <w:rPr>
          <w:rFonts w:ascii="Courier New" w:cs="Courier New" w:eastAsia="Courier New" w:hAnsi="Courier New"/>
          <w:sz w:val="14"/>
          <w:szCs w:val="14"/>
          <w:color w:val="auto"/>
        </w:rPr>
        <w:t>"Investor" or "Investors" means the Initial Investor and any transferee or assignee who agrees to become bound by the provisions of this Agreement, or a similar agreement relating to Common Shares, Callable Warrants, Class A Warrants or Warrant Shares, in accordance with Section 9 hereof.</w:t>
      </w:r>
    </w:p>
    <w:p>
      <w:pPr>
        <w:spacing w:after="0" w:line="161" w:lineRule="exact"/>
        <w:rPr>
          <w:sz w:val="20"/>
          <w:szCs w:val="20"/>
          <w:color w:val="auto"/>
        </w:rPr>
      </w:pPr>
    </w:p>
    <w:p>
      <w:pPr>
        <w:ind w:left="9" w:right="3299" w:firstLine="1597"/>
        <w:spacing w:after="0" w:line="238" w:lineRule="auto"/>
        <w:rPr>
          <w:sz w:val="20"/>
          <w:szCs w:val="20"/>
          <w:color w:val="auto"/>
        </w:rPr>
      </w:pPr>
      <w:r>
        <w:rPr>
          <w:rFonts w:ascii="Courier New" w:cs="Courier New" w:eastAsia="Courier New" w:hAnsi="Courier New"/>
          <w:sz w:val="15"/>
          <w:szCs w:val="15"/>
          <w:color w:val="auto"/>
        </w:rPr>
        <w:t>"Majority Holders" means those Investors who hold a majority in interest of the Registrable Securities.</w:t>
      </w:r>
    </w:p>
    <w:p>
      <w:pPr>
        <w:sectPr>
          <w:pgSz w:w="11900" w:h="16838" w:orient="portrait"/>
          <w:cols w:equalWidth="0" w:num="1">
            <w:col w:w="10228"/>
          </w:cols>
          <w:pgMar w:left="231" w:top="480" w:right="1440" w:bottom="1440" w:gutter="0" w:footer="0" w:header="0"/>
        </w:sectPr>
      </w:pPr>
    </w:p>
    <w:bookmarkStart w:id="158" w:name="page159"/>
    <w:bookmarkEnd w:id="158"/>
    <w:p>
      <w:pPr>
        <w:ind w:left="1589"/>
        <w:spacing w:after="0"/>
        <w:rPr>
          <w:sz w:val="20"/>
          <w:szCs w:val="20"/>
          <w:color w:val="auto"/>
        </w:rPr>
      </w:pPr>
      <w:r>
        <w:rPr>
          <w:rFonts w:ascii="Courier New" w:cs="Courier New" w:eastAsia="Courier New" w:hAnsi="Courier New"/>
          <w:sz w:val="15"/>
          <w:szCs w:val="15"/>
          <w:color w:val="auto"/>
        </w:rPr>
        <w:t>"1934 Act" means the Securities Exchange Act of 1934, 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amended.</w:t>
      </w:r>
    </w:p>
    <w:p>
      <w:pPr>
        <w:spacing w:after="0" w:line="174" w:lineRule="exact"/>
        <w:rPr>
          <w:sz w:val="20"/>
          <w:szCs w:val="20"/>
          <w:color w:val="auto"/>
        </w:rPr>
      </w:pPr>
    </w:p>
    <w:p>
      <w:pPr>
        <w:ind w:left="9" w:right="3299" w:firstLine="1597"/>
        <w:spacing w:after="0" w:line="258" w:lineRule="auto"/>
        <w:rPr>
          <w:sz w:val="20"/>
          <w:szCs w:val="20"/>
          <w:color w:val="auto"/>
        </w:rPr>
      </w:pPr>
      <w:r>
        <w:rPr>
          <w:rFonts w:ascii="Courier New" w:cs="Courier New" w:eastAsia="Courier New" w:hAnsi="Courier New"/>
          <w:sz w:val="14"/>
          <w:szCs w:val="14"/>
          <w:color w:val="auto"/>
        </w:rPr>
        <w:t>"Permitted Transferee" means any person (1) who is an "accredited investor" as defined in Regulation D under the 1933 Act, and (2) who, immediately following the assignment of rights under this Agreement holds</w:t>
      </w:r>
    </w:p>
    <w:p>
      <w:pPr>
        <w:spacing w:after="0" w:line="1" w:lineRule="exact"/>
        <w:rPr>
          <w:sz w:val="20"/>
          <w:szCs w:val="20"/>
          <w:color w:val="auto"/>
        </w:rPr>
      </w:pPr>
    </w:p>
    <w:p>
      <w:pPr>
        <w:ind w:left="9" w:right="3119" w:hanging="9"/>
        <w:spacing w:after="0" w:line="258" w:lineRule="auto"/>
        <w:tabs>
          <w:tab w:leader="none" w:pos="364"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50,000 shares of Common Stock or (y) Warrants which at the time of such transfer are exercisable for at least 50,000 shares of Common Stock, or any combination thereof (the 50,000 share amounts referred to in this definition being subject to equitable adjustment from time to time on terms reasonably acceptable to the Majority Holders for (i) stock splits, (ii) stock dividends,</w:t>
      </w:r>
    </w:p>
    <w:p>
      <w:pPr>
        <w:ind w:left="9" w:right="3119" w:hanging="9"/>
        <w:spacing w:after="0" w:line="239" w:lineRule="auto"/>
        <w:tabs>
          <w:tab w:leader="none" w:pos="541"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combinations, (iv) capital reorganizations, (v) issuance to all holders of Common Stock of rights or warrants to purchase shares of Common Stock and (vi) similar events relating to the Common Stock, in each such case which occur on or after the Closing Date).</w:t>
      </w:r>
    </w:p>
    <w:p>
      <w:pPr>
        <w:spacing w:after="0" w:line="176"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"register," "registered," and "registration" refer to a registration effected by preparing and filing a Registration Statement or Statements in compliance with the 1933 Act and pursuant to Rule 415 under the 1933 Act or any successor rule providing for offering securities on a continuous basis ("Rule 415"), and the declaration or ordering of effectiveness of such Registration Statement by the SEC.</w:t>
      </w:r>
    </w:p>
    <w:p>
      <w:pPr>
        <w:spacing w:after="0" w:line="175" w:lineRule="exact"/>
        <w:rPr>
          <w:sz w:val="20"/>
          <w:szCs w:val="20"/>
          <w:color w:val="auto"/>
        </w:rPr>
      </w:pPr>
    </w:p>
    <w:p>
      <w:pPr>
        <w:ind w:left="9" w:right="3219" w:firstLine="1597"/>
        <w:spacing w:after="0"/>
        <w:rPr>
          <w:sz w:val="20"/>
          <w:szCs w:val="20"/>
          <w:color w:val="auto"/>
        </w:rPr>
      </w:pPr>
      <w:r>
        <w:rPr>
          <w:rFonts w:ascii="Courier New" w:cs="Courier New" w:eastAsia="Courier New" w:hAnsi="Courier New"/>
          <w:sz w:val="15"/>
          <w:szCs w:val="15"/>
          <w:color w:val="auto"/>
        </w:rPr>
        <w:t>"Registrable Securities" means the Common Shares and the Warrant Shares, whether held by the Initial Investor or any other Investor. As to any particular securities, such securities shall cease to be Registrable Securities when they have been sold pursuant to an effective registration statement or in compliance with Rule 144 or are eligible to be sold pursuant to subsection (k) of Rule 144.</w:t>
      </w:r>
    </w:p>
    <w:p>
      <w:pPr>
        <w:spacing w:after="0" w:line="175"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"Registration Period" means the period from the Closing Date to the earlier of (i) the date which is five years after the SEC Effective Date,</w:t>
      </w:r>
    </w:p>
    <w:p>
      <w:pPr>
        <w:ind w:left="9" w:right="3219" w:hanging="9"/>
        <w:spacing w:after="0" w:line="260" w:lineRule="auto"/>
        <w:tabs>
          <w:tab w:leader="none" w:pos="453"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each Investor may sell all of its Registrable Securities without registration under the 1933 Act pursuant to subsection (k) of Rule 144, without restriction on the manner of sale or the volume of securities which may be sold in any period and without the requirement for the giving of any notice to, or the making of any filing with, the SEC and (iii) the date on which the Investors no longer beneficially own any Registrable Securities.</w:t>
      </w:r>
    </w:p>
    <w:p>
      <w:pPr>
        <w:spacing w:after="0" w:line="164"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"Registration Statement" means a registration statement of the Company under the 1933 Act, including any amendment thereto, required to be filed by the Company pursuant to this Agreement.</w:t>
      </w:r>
    </w:p>
    <w:p>
      <w:pPr>
        <w:spacing w:after="0" w:line="175"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"Rule 144" means Rule 144 promulgated under the 1933 Act or any other similar rule or regulation of the SEC that may at any time permit a holder of any securities to sell securities of the Company to the public without registration under the 1933 Act.</w:t>
      </w:r>
    </w:p>
    <w:p>
      <w:pPr>
        <w:spacing w:after="0" w:line="174"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"SEC" means the United States Securities and Exchange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Commission.</w:t>
      </w:r>
    </w:p>
    <w:p>
      <w:pPr>
        <w:spacing w:after="0" w:line="174" w:lineRule="exact"/>
        <w:rPr>
          <w:sz w:val="20"/>
          <w:szCs w:val="20"/>
          <w:color w:val="auto"/>
        </w:rPr>
      </w:pPr>
    </w:p>
    <w:p>
      <w:pPr>
        <w:ind w:left="9" w:right="3119" w:firstLine="1597"/>
        <w:spacing w:after="0" w:line="238" w:lineRule="auto"/>
        <w:rPr>
          <w:sz w:val="20"/>
          <w:szCs w:val="20"/>
          <w:color w:val="auto"/>
        </w:rPr>
      </w:pPr>
      <w:r>
        <w:rPr>
          <w:rFonts w:ascii="Courier New" w:cs="Courier New" w:eastAsia="Courier New" w:hAnsi="Courier New"/>
          <w:sz w:val="15"/>
          <w:szCs w:val="15"/>
          <w:color w:val="auto"/>
        </w:rPr>
        <w:t>"SEC Effective Date" means the date the Registration Statement is declared effective by the SEC.</w:t>
      </w:r>
    </w:p>
    <w:p>
      <w:pPr>
        <w:spacing w:after="0" w:line="175" w:lineRule="exact"/>
        <w:rPr>
          <w:sz w:val="20"/>
          <w:szCs w:val="20"/>
          <w:color w:val="auto"/>
        </w:rPr>
      </w:pPr>
    </w:p>
    <w:p>
      <w:pPr>
        <w:ind w:left="9" w:right="3119" w:firstLine="1597"/>
        <w:spacing w:after="0" w:line="238" w:lineRule="auto"/>
        <w:rPr>
          <w:sz w:val="20"/>
          <w:szCs w:val="20"/>
          <w:color w:val="auto"/>
        </w:rPr>
      </w:pPr>
      <w:r>
        <w:rPr>
          <w:rFonts w:ascii="Courier New" w:cs="Courier New" w:eastAsia="Courier New" w:hAnsi="Courier New"/>
          <w:sz w:val="15"/>
          <w:szCs w:val="15"/>
          <w:color w:val="auto"/>
        </w:rPr>
        <w:t>"SEC Filing Date" means the date the Registration Statement is first filed with the SEC pursuant to Section 2(a).</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628" w:right="1440" w:bottom="1440" w:gutter="0" w:footer="0" w:header="0"/>
        </w:sectPr>
      </w:pPr>
    </w:p>
    <w:bookmarkStart w:id="159" w:name="page160"/>
    <w:bookmarkEnd w:id="159"/>
    <w:p>
      <w:pPr>
        <w:ind w:left="-790" w:right="3119" w:firstLine="1588"/>
        <w:spacing w:after="0" w:line="239" w:lineRule="auto"/>
        <w:tabs>
          <w:tab w:leader="none" w:pos="1163"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defined in the introductory paragraph or the recitals to this Agreement shall have the respective meanings therein provided. Capitalized terms used herein and not otherwise defined herein shall have the respective meanings set forth in the Subscription Agreement.</w:t>
      </w:r>
    </w:p>
    <w:p>
      <w:pPr>
        <w:spacing w:after="0" w:line="173"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w:t>
      </w:r>
    </w:p>
    <w:p>
      <w:pPr>
        <w:spacing w:after="0" w:line="174" w:lineRule="exact"/>
        <w:rPr>
          <w:rFonts w:ascii="Courier New" w:cs="Courier New" w:eastAsia="Courier New" w:hAnsi="Courier New"/>
          <w:sz w:val="15"/>
          <w:szCs w:val="15"/>
          <w:color w:val="auto"/>
        </w:rPr>
      </w:pPr>
    </w:p>
    <w:p>
      <w:pPr>
        <w:ind w:left="-790" w:right="3119" w:firstLine="1588"/>
        <w:spacing w:after="0" w:line="258" w:lineRule="auto"/>
        <w:tabs>
          <w:tab w:leader="none" w:pos="1163"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Registration. (1) The Company shall prepare and, on or prior to the date which is 45 days after the Closing Date, file with the SEC a Registration Statement on Form S-1 (or Form S-3, if the Company is eligible to use such form), which, on the date of filing with the SEC, covers the resale by the Initial Investor of a number of shares of Common Stock at least equal to the greater of (A) 900,000 shares of Common Stock or (B) the sum of (x) the number of Common Shares PLUS (y) the number of Warrant Shares issuable upon the exercise in full of the Callable Warrant PLUS (z) the number of Warrant Shares equal to 175% of the number of shares of Common Stock issuable upon the exercise of the Class A Warrant, determined as if the First Adjustment Date (as defined in the Class A Warrant) occurred on the Closing Date and the Class A Warrant was otherwise exercised in full for cash in accordance with the terms thereof on the Trading Day prior to the SEC Filing Date (in each case determined without regard to the limitations on beneficial ownership contained in the Warrants). If at any time the number of shares of Common Stock included in the Registration Statement required to be filed as provided in the first sentence of this Section 2(a) shall be insufficient to cover all of the number of Warrant Shares issuable upon exercise of the unexercised portion of the Warrants, then promptly, but in no event later than 30 days after such insufficiency shall occur (or, if later, 30 days after the date upon which the Company first becomes eligible to file a Registration Statement therefor if such ineligibility resulted from the indeterminate number of shares of Common Stock), the Company shall file with the SEC an additional Registration Statement on Form S-1 (or Form S-3, if the Company is eligible to use such form) (which shall not constitute a post-effective amendment to the Registration Statement filed pursuant to the first sentence of this Section 2(a)), covering such number of shares of Common Stock as shall be sufficient to permit such exercise. The Company shall use its best efforts to have such additional Registration Statement declared effective as soon as possible thereafter, and in any event by the 90th day following notice that such Registration Statement is required. For all purposes of this Agreement such additional Registration Statement shall be deemed to be the Registration Statement required to be filed by the Company pursuant to Section 2(a) of this Agreement, and the Company and the Investors shall have the same rights and obligations with respect to such additional Registration Statement as they shall have with respect to the initial Registration Statement required to be filed by the Company pursuant to this Section 2(a). Without the written consent of the Majority Holders, the Registration Statement shall not include securities to be sold for the account of any selling security holder other than the Investors and the holders of the registration rights described in Schedule 11(a).</w:t>
      </w:r>
    </w:p>
    <w:p>
      <w:pPr>
        <w:spacing w:after="0" w:line="200" w:lineRule="exact"/>
        <w:rPr>
          <w:sz w:val="20"/>
          <w:szCs w:val="20"/>
          <w:color w:val="auto"/>
        </w:rPr>
      </w:pPr>
    </w:p>
    <w:p>
      <w:pPr>
        <w:spacing w:after="0" w:line="319" w:lineRule="exact"/>
        <w:rPr>
          <w:sz w:val="20"/>
          <w:szCs w:val="20"/>
          <w:color w:val="auto"/>
        </w:rPr>
      </w:pPr>
    </w:p>
    <w:p>
      <w:pPr>
        <w:ind w:left="-790" w:right="3219" w:firstLine="1588"/>
        <w:spacing w:after="0"/>
        <w:tabs>
          <w:tab w:leader="none" w:pos="1163"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SEC Effective Date or during any time subsequent to the SEC Effective Date when the Registration Statement for any reason is not available for use by any Investor for the resale of any Registrable Securities hereunder, the Company shall not file any other registration statement or any amendment thereto with the SEC under the 1933 Act or request the acceleration of the effectiveness of any other registration statement previously filed with the SEC, other than any registration statement registering securities issued (v) to holders of</w:t>
      </w:r>
    </w:p>
    <w:p>
      <w:pPr>
        <w:spacing w:after="0" w:line="345"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29"/>
          </w:cols>
          <w:pgMar w:left="1030" w:top="631" w:right="1440" w:bottom="1440" w:gutter="0" w:footer="0" w:header="0"/>
        </w:sectPr>
      </w:pPr>
    </w:p>
    <w:bookmarkStart w:id="160" w:name="page161"/>
    <w:bookmarkEnd w:id="160"/>
    <w:p>
      <w:pPr>
        <w:ind w:left="9" w:right="3119"/>
        <w:spacing w:after="0" w:line="258" w:lineRule="auto"/>
        <w:rPr>
          <w:sz w:val="20"/>
          <w:szCs w:val="20"/>
          <w:color w:val="auto"/>
        </w:rPr>
      </w:pPr>
      <w:r>
        <w:rPr>
          <w:rFonts w:ascii="Courier New" w:cs="Courier New" w:eastAsia="Courier New" w:hAnsi="Courier New"/>
          <w:sz w:val="14"/>
          <w:szCs w:val="14"/>
          <w:color w:val="auto"/>
        </w:rPr>
        <w:t>registration rights described in Schedule 11(a), (w) pursuant to compensation plans for employees, directors, officers, advisers or consultants of the Company and in accordance with the terms of such plans, (x) upon exercise of conversion, exchange, purchase or similar rights issued, granted or given by the Company and outstanding as of the date of this Agreement and disclosed in the SEC Reports or the Subscription Agreement, (y) pursuant to a public offering underwritten on a firm commitment basis registered under the 1933 Act or (z) as part of a transaction involving a strategic alliance, acquisition of stock or assets, merger, collaboration, joint venture, partnership or other similar arrangement of the Company with another corporation, partnership or other business entity</w:t>
      </w:r>
    </w:p>
    <w:p>
      <w:pPr>
        <w:spacing w:after="0" w:line="2" w:lineRule="exact"/>
        <w:rPr>
          <w:sz w:val="20"/>
          <w:szCs w:val="20"/>
          <w:color w:val="auto"/>
        </w:rPr>
      </w:pPr>
    </w:p>
    <w:p>
      <w:pPr>
        <w:ind w:left="9" w:right="3119" w:hanging="9"/>
        <w:spacing w:after="0"/>
        <w:tabs>
          <w:tab w:leader="none" w:pos="364"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engaged in a business similar, complementary or related to the business of the Company or (B) pursuant to which the Company issues securities with the primary purpose to directly or indirectly acquire, license or otherwise become entitled to use technology relevant to or useful in the Company's business, so long as in each case of this clause (z) the Board of Directors of the Company by resolution duly adopted (and a copy of which shall be furnished to the Investor promptly after adoption) duly approves such transaction in accordance with its duties under applicable law (each of the forgoing transactions a "Board Approved Transaction").</w:t>
      </w:r>
    </w:p>
    <w:p>
      <w:pPr>
        <w:spacing w:after="0" w:line="177"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Offerings. If any offering pursuant to a Registration Statement pursuant to Section 2(d) hereof involves an underwritten offering, Investors who hold a majority in interest of the Registrable Securities subject to such underwritten offering shall have the right to select one legal counsel. The Investors who hold the Registrable Securities to be included in such underwriting shall pay all underwriting discounts and commissions and other fees and expenses of any investment banker or bankers and manager or managers (other than fees and expenses relating to registration of Registrable Securities under federal or state securities laws, which are payable by the Company pursuant to Section 5 hereof) with respect to their Registrable Securities and the fees and expenses of such legal counsel so selected by the Investors.</w:t>
      </w:r>
    </w:p>
    <w:p>
      <w:pPr>
        <w:spacing w:after="0" w:line="179" w:lineRule="exact"/>
        <w:rPr>
          <w:rFonts w:ascii="Courier New" w:cs="Courier New" w:eastAsia="Courier New" w:hAnsi="Courier New"/>
          <w:sz w:val="15"/>
          <w:szCs w:val="15"/>
          <w:color w:val="auto"/>
        </w:rPr>
      </w:pPr>
    </w:p>
    <w:p>
      <w:pPr>
        <w:ind w:left="9" w:right="3299" w:firstLine="1588"/>
        <w:spacing w:after="0" w:line="258" w:lineRule="auto"/>
        <w:tabs>
          <w:tab w:leader="none" w:pos="1961"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Payments. If: (1) the initial Registration Statement is not filed on or prior to the 45th day following the Closing Date (if the Company files such Registration Statement without affording the Holder the opportunity to review and comment on the same as required by Section 3(h) hereof, the Company shall not be deemed to have satisfied this clause (1)), or</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the initial Registration Statement filed hereunder is not declared effective by the Commission on or prior to the 90th day following the Closing Date (the "Effectiveness Required Date"), or (3) after a Registration Statement is filed with and declared effective by the SEC, such Registration Statement ceases to be effective as to a material portion of the Registrable Securities at any time prior to the expiration of the Registration Period without being succeeded within ten business days by an amendment to such Registration Statement or by a subsequent Registration Statement filed with and declared effective by the SEC, or (4) the Common Stock shall be delisted or suspended from trading on the Nasdaq National Market or on any exchange or other principal market for the Common Stock for more than three (3) business days (which need not be consecutive days), or (5) the exercise rights of the Holders pursuant to the Warrants are suspended for any reason, or (6) an amendment to a Registration Statement is not filed by the Company with the SEC within ten business days of the SEC's notifying the Company that such amendment is required in order for such Registration Statement to be declared effective (any such failure or breach being referred to as an "Event," and for purposes of clauses (1), (2) and (5) the date on which such Event occurs, for purposes of clauses (3) and (6) the date upon which</w:t>
      </w:r>
    </w:p>
    <w:p>
      <w:pPr>
        <w:spacing w:after="0" w:line="35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1" w:right="1440" w:bottom="1440" w:gutter="0" w:footer="0" w:header="0"/>
        </w:sectPr>
      </w:pPr>
    </w:p>
    <w:bookmarkStart w:id="161" w:name="page162"/>
    <w:bookmarkEnd w:id="161"/>
    <w:p>
      <w:pPr>
        <w:ind w:right="3119"/>
        <w:spacing w:after="0" w:line="259" w:lineRule="auto"/>
        <w:rPr>
          <w:sz w:val="20"/>
          <w:szCs w:val="20"/>
          <w:color w:val="auto"/>
        </w:rPr>
      </w:pPr>
      <w:r>
        <w:rPr>
          <w:rFonts w:ascii="Courier New" w:cs="Courier New" w:eastAsia="Courier New" w:hAnsi="Courier New"/>
          <w:sz w:val="14"/>
          <w:szCs w:val="14"/>
          <w:color w:val="auto"/>
        </w:rPr>
        <w:t>such 10 day period is exceeded, or for purposes of clause (4) the date on which such three business day period is exceeded, being referred to as "Event Date"), then, on the Event Date and each monthly anniversary thereof until the applicable Event is cured, the Company shall pay to each Holder 1.5% of the purchase price paid by such Holder pursuant to the Purchase Agreement, in cash, ("Delay Payments"). If the Company fails to pay any Delay Payments pursuant to this Section in full within seven (7) days after the date payable, the Company will pay interest thereon at a rate of 18% per annum (or such lesser maximum amount that is permitted to be paid by applicable law) to the Holder, accruing daily from the date such Delay Payments are due until such amounts, plus all such interest thereon, are paid in full. The Delay Payments pursuant to the terms hereof shall apply on a pro-rata basis for any portion of a month prior to the cure of an Event. The Delay Payments shall not preclude the Holder from seeking appropriate additional damages and remedies for any such Events.</w:t>
      </w:r>
    </w:p>
    <w:p>
      <w:pPr>
        <w:spacing w:after="0" w:line="164" w:lineRule="exact"/>
        <w:rPr>
          <w:sz w:val="20"/>
          <w:szCs w:val="20"/>
          <w:color w:val="auto"/>
        </w:rPr>
      </w:pPr>
    </w:p>
    <w:p>
      <w:pPr>
        <w:ind w:right="3119" w:firstLine="1588"/>
        <w:spacing w:after="0" w:line="258" w:lineRule="auto"/>
        <w:tabs>
          <w:tab w:leader="none" w:pos="1952"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Piggy-Back Registrations. If at any time the Company shall determine to prepare and file with the SEC a registration statement relating to an offering for its own account or the account of others under the 1933 Act of any of its equity securities, other than a registration statement registering securities issued (1) pursuant to compensation plans for employees, directors, officers, advisers or consultants of the Company and in accordance with the terms of such plans or (2) as part of a Board Approved Transaction, the Company shall send to each Investor who is entitled to registration rights under this Agreement written notice of such determination and, if within five (5) business days after receipt of such notice, an Investor shall so request in writing, the Company shall include in such Registration Statement all or any part of the Registrable Securities the Investor requests to be registered, except that if, in connection with any underwritten public offering for the account of the Company, the managing underwriter(s) thereof shall impose a limitation on the number of shares of Common Stock which may be included in the Registration Statement because, in such underwriter(s)' judgment, such limitation is necessary to effect an orderly public distribution, then the Company shall be obligated to include in such Registration Statement only such limited portion of the Registrable Securities with respect to which the Investor has requested inclusion hereunder. Any exclusion of Registrable Securities shall be made pro rata among the Investors seeking to include Registrable Securities, in proportion to the number of Registrable Securities sought to be included by such Investors; provided, however, that the Company shall not exclude any Registrable Securities unless the Company has first excluded all outstanding securities the holders of which are not entitled by right to inclusion of securities in such Registration Statement; and provided further, however, that, after giving effect to the immediately preceding proviso, any exclusion of Registrable Securities shall be made pro rata with holders of other securities having the right to include such securities in the Registration Statement, based on the number of securities for which registration is requested except to the extent such pro rata exclusion of such other securities is prohibited under any written agreement entered into by the Company with the holder of such other securities prior to the date of this Agreement, in which case such other securities shall be excluded, if at all, in accordance with the terms of such agreement. No right to registration of Registrable Securities under this Section 2(d) shall be construed to limit any registration required under Section 2(a) hereof. The obligations of the Company under this Section 2(d) may be waived as to all Investors by the Majority Holders and as to a particular Investor by such Investor and shall expire after the Company has afforded the opportunity for the Investor(s) to exercise registration rights under this Section 2(d) for two registrations; provided, however, that any Investor who shall have had any Registrable Securities excluded from any Registration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162" w:name="page163"/>
    <w:bookmarkEnd w:id="162"/>
    <w:p>
      <w:pPr>
        <w:ind w:right="3299"/>
        <w:spacing w:after="0" w:line="259" w:lineRule="auto"/>
        <w:rPr>
          <w:sz w:val="20"/>
          <w:szCs w:val="20"/>
          <w:color w:val="auto"/>
        </w:rPr>
      </w:pPr>
      <w:r>
        <w:rPr>
          <w:rFonts w:ascii="Courier New" w:cs="Courier New" w:eastAsia="Courier New" w:hAnsi="Courier New"/>
          <w:sz w:val="14"/>
          <w:szCs w:val="14"/>
          <w:color w:val="auto"/>
        </w:rPr>
        <w:t>Statement in accordance with this Section 2(d) shall be entitled to include in an additional Registration Statement filed by the Company the Registrable Securities so excluded. Notwithstanding any other provision of this Agreement, if the Registration Statement required to be filed pursuant to Section 2(a) of this Agreement shall have been ordered effective by the SEC and the Company shall have maintained the effectiveness of such Registration Statement as required by this Agreement and if the Company shall otherwise have complied in all material respects with its obligations under this Agreement, then the Company shall not be obligated to register any Registrable Securities on such Registration Statement referred to in this Section 2(d).</w:t>
      </w:r>
    </w:p>
    <w:p>
      <w:pPr>
        <w:spacing w:after="0" w:line="166" w:lineRule="exact"/>
        <w:rPr>
          <w:sz w:val="20"/>
          <w:szCs w:val="20"/>
          <w:color w:val="auto"/>
        </w:rPr>
      </w:pPr>
    </w:p>
    <w:p>
      <w:pPr>
        <w:ind w:right="3299" w:firstLine="1588"/>
        <w:spacing w:after="0" w:line="239" w:lineRule="auto"/>
        <w:tabs>
          <w:tab w:leader="none" w:pos="1952"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for Form S-3. The Company shall file all reports required to be filed by the Company with the SEC in a timely manner so as to obtain and/or maintain eligibility for the use of Form S-3.</w:t>
      </w:r>
    </w:p>
    <w:p>
      <w:pPr>
        <w:spacing w:after="0" w:line="175" w:lineRule="exact"/>
        <w:rPr>
          <w:rFonts w:ascii="Courier New" w:cs="Courier New" w:eastAsia="Courier New" w:hAnsi="Courier New"/>
          <w:sz w:val="15"/>
          <w:szCs w:val="15"/>
          <w:color w:val="auto"/>
        </w:rPr>
      </w:pPr>
    </w:p>
    <w:p>
      <w:pPr>
        <w:ind w:right="3299" w:firstLine="790"/>
        <w:spacing w:after="0" w:line="238" w:lineRule="auto"/>
        <w:tabs>
          <w:tab w:leader="none" w:pos="106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THE COMPANY. In connection with the registration of the Registrable Securities, the Company shall:</w:t>
      </w:r>
    </w:p>
    <w:p>
      <w:pPr>
        <w:spacing w:after="0" w:line="174" w:lineRule="exact"/>
        <w:rPr>
          <w:rFonts w:ascii="Courier New" w:cs="Courier New" w:eastAsia="Courier New" w:hAnsi="Courier New"/>
          <w:sz w:val="15"/>
          <w:szCs w:val="15"/>
          <w:color w:val="auto"/>
        </w:rPr>
      </w:pPr>
    </w:p>
    <w:p>
      <w:pPr>
        <w:ind w:right="3119" w:firstLine="1588"/>
        <w:spacing w:after="0" w:line="258" w:lineRule="auto"/>
        <w:tabs>
          <w:tab w:leader="none" w:pos="1952"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promptly, and file with the SEC not later than 45 days after the Closing Date, a Registration Statement with respect to the number of Registrable Securities provided in Section 2(a), and thereafter to use its best efforts to cause each Registration Statement relating to Registrable Securities to become effective as soon as possible after such filing but in any event on or prior to the Effectiveness Required Date, and keep the Registration Statement effective pursuant to Rule 415 at all times during the Registration Period; submit to the SEC, within three Business Days after the Company learns that no review of the Registration Statement will be made by the staff of the SEC or that the staff of the SEC has no further comments on the Registration Statement, as the case may be, a request for acceleration of effectiveness of the Registration Statement to a time and date not later than 48 hours after the submission of such request; notify the Investors of the effectiveness of the Registration Statement on the date the Registration Statement is declared effective; and the Company represents and warrants to, and covenants and agrees with, the Investors that the Registration Statement (including any amendments or supplements thereto and prospectuses contained therein), at the time it is first filed with the SEC, at the time it is ordered effective by the SEC and at all times during which it is required to be effective hereunder other than any period after which the Company notifies the Investors pursuant to Section 3(f) until the time when the Investors may again sell Registrable Securities pursuant to the Registration Statement (and each such amendment and supplement at the time it is filed with the SEC and at all times during which it is available for use in connection with the offer and sale of the Registrable Securities) shall not contain any untrue statement of a material fact or omit to state a material fact required to be stated therein, or necessary to make the statements therein, in light of the circumstances in which they were made, not misleading;</w:t>
      </w:r>
    </w:p>
    <w:p>
      <w:pPr>
        <w:spacing w:after="0" w:line="175" w:lineRule="exact"/>
        <w:rPr>
          <w:rFonts w:ascii="Courier New" w:cs="Courier New" w:eastAsia="Courier New" w:hAnsi="Courier New"/>
          <w:sz w:val="14"/>
          <w:szCs w:val="14"/>
          <w:color w:val="auto"/>
        </w:rPr>
      </w:pPr>
    </w:p>
    <w:p>
      <w:pPr>
        <w:ind w:right="3119" w:firstLine="1588"/>
        <w:spacing w:after="0"/>
        <w:tabs>
          <w:tab w:leader="none" w:pos="1952"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SEC such amendments (including post-effective amendments) and supplements to the Registration Statement and the prospectus used in connection with the Registration Statement as may be necessary to keep the Registration Statement effective at all times during the Registration Period, and, during the Registration Period, comply with the provisions of the 1933 Act with respect to the disposition of all Registrable Securities of the Company covered by the Registration Statement until such time as</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63" w:name="page164"/>
    <w:bookmarkEnd w:id="163"/>
    <w:p>
      <w:pPr>
        <w:jc w:val="both"/>
        <w:ind w:right="3119"/>
        <w:spacing w:after="0" w:line="239" w:lineRule="auto"/>
        <w:rPr>
          <w:sz w:val="20"/>
          <w:szCs w:val="20"/>
          <w:color w:val="auto"/>
        </w:rPr>
      </w:pPr>
      <w:r>
        <w:rPr>
          <w:rFonts w:ascii="Courier New" w:cs="Courier New" w:eastAsia="Courier New" w:hAnsi="Courier New"/>
          <w:sz w:val="15"/>
          <w:szCs w:val="15"/>
          <w:color w:val="auto"/>
        </w:rPr>
        <w:t>all of such Registrable Securities have been disposed of in accordance with the intended methods of disposition by the seller or sellers thereof as set forth in the Registration Statement;</w:t>
      </w:r>
    </w:p>
    <w:p>
      <w:pPr>
        <w:spacing w:after="0" w:line="175" w:lineRule="exact"/>
        <w:rPr>
          <w:sz w:val="20"/>
          <w:szCs w:val="20"/>
          <w:color w:val="auto"/>
        </w:rPr>
      </w:pPr>
    </w:p>
    <w:p>
      <w:pPr>
        <w:ind w:right="3119" w:firstLine="1588"/>
        <w:spacing w:after="0"/>
        <w:tabs>
          <w:tab w:leader="none" w:pos="1952"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Investor whose Registrable Securities are included in the Registration Statement and its legal counsel, (1) promptly after the same is prepared and publicly distributed, filed with the SEC or received by the Company, one copy of the Registration Statement and any amendment thereto, each preliminary prospectus and prospectus and each amendment or supplement thereto, each letter written by or on behalf of the Company to the SEC or the staff of the SEC and each item of correspondence from the SEC or the staff of the SEC relating to such Registration Statement, and (2) such number of copies of a prospectus, including a preliminary prospectus, and all amendments and supplements thereto and such other documents, as such Investor may reasonably request in order to facilitate the disposition of the Registrable Securities owned by such Investor; notwithstanding the foregoing, prior to such disclosure and review, the Company shall notify the Holders if any portion of such documents contains material non-public information, in which case the Holders may decline to review such documents or portions thereof (the "Right to Decline Review");</w:t>
      </w:r>
    </w:p>
    <w:p>
      <w:pPr>
        <w:spacing w:after="0" w:line="182" w:lineRule="exact"/>
        <w:rPr>
          <w:rFonts w:ascii="Courier New" w:cs="Courier New" w:eastAsia="Courier New" w:hAnsi="Courier New"/>
          <w:sz w:val="15"/>
          <w:szCs w:val="15"/>
          <w:color w:val="auto"/>
        </w:rPr>
      </w:pPr>
    </w:p>
    <w:p>
      <w:pPr>
        <w:ind w:right="3119" w:firstLine="1588"/>
        <w:spacing w:after="0" w:line="258" w:lineRule="auto"/>
        <w:tabs>
          <w:tab w:leader="none" w:pos="1952"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commercially reasonable efforts to (i) register and qualify the Registrable Securities covered by the Registration Statement under such securities or blue sky laws of such jurisdictions as the Investors who hold a majority in interest of the Registrable Securities being offered reasonably request, (ii) prepare and file in those jurisdictions such amendments (including post-effective amendments) and supplements to such registrations and qualifications as may be necessary to maintain the effectiveness thereof at all times until the end of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(I) to qualify to do business in any jurisdiction where it would not otherwise be required to qualify but for this Section 3(d), (II) to subject itself to general taxation in any such jurisdiction, (III) to file a general consent to service of process in any such jurisdiction, (IV) to provide any undertakings that cause more than nominal expense or burden to the Company or (V) to make any change in its Certificate of Incorporation or by-laws, which in each case the Board of Directors of the Company determines in good faith to be contrary to the best interests of the Company and its stockholders;</w:t>
      </w:r>
    </w:p>
    <w:p>
      <w:pPr>
        <w:spacing w:after="0" w:line="344" w:lineRule="exact"/>
        <w:rPr>
          <w:rFonts w:ascii="Courier New" w:cs="Courier New" w:eastAsia="Courier New" w:hAnsi="Courier New"/>
          <w:sz w:val="14"/>
          <w:szCs w:val="14"/>
          <w:color w:val="auto"/>
        </w:rPr>
      </w:pPr>
    </w:p>
    <w:p>
      <w:pPr>
        <w:jc w:val="both"/>
        <w:ind w:right="3219" w:firstLine="1588"/>
        <w:spacing w:after="0"/>
        <w:tabs>
          <w:tab w:leader="none" w:pos="1952"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Registrable Securities are being offered in an underwritten offering pursuant to Section 2(d), enter into and perform its obligations under an underwriting agreement, in usual and customary form, including, without limitation, customary indemnification and contribution obligations, with the underwriters of such offering;</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after becoming aware of such event or circumstance, notify each Investor of any event or circumstance of which the Company has knowledge, as a result of which the prospectus included in the Registration Statement, as then in effect, includes an untrue statement of a material fact or omits to state a material fact required to be stated therein or necessary to make the statements therein, in light of the circumstances under which they were made, not misleading, and use its commercially reasonable efforts promptly to prepare a supplement or amendment to the Registration Statement to correct such untrue</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64" w:name="page165"/>
    <w:bookmarkEnd w:id="164"/>
    <w:p>
      <w:pPr>
        <w:ind w:left="9" w:right="3299"/>
        <w:spacing w:after="0"/>
        <w:rPr>
          <w:sz w:val="20"/>
          <w:szCs w:val="20"/>
          <w:color w:val="auto"/>
        </w:rPr>
      </w:pPr>
      <w:r>
        <w:rPr>
          <w:rFonts w:ascii="Courier New" w:cs="Courier New" w:eastAsia="Courier New" w:hAnsi="Courier New"/>
          <w:sz w:val="15"/>
          <w:szCs w:val="15"/>
          <w:color w:val="auto"/>
        </w:rPr>
        <w:t>statement or omission, file such supplement or amendment with the SEC at such time as shall permit the Investors to sell Registrable Securities pursuant to the Registration Statement as promptly as practicable, and deliver a number of copies of such supplement or amendment to each Investor as such Investor may reasonably request;</w:t>
      </w:r>
    </w:p>
    <w:p>
      <w:pPr>
        <w:spacing w:after="0" w:line="174" w:lineRule="exact"/>
        <w:rPr>
          <w:sz w:val="20"/>
          <w:szCs w:val="20"/>
          <w:color w:val="auto"/>
        </w:rPr>
      </w:pPr>
    </w:p>
    <w:p>
      <w:pPr>
        <w:ind w:left="9" w:right="3219" w:firstLine="1588"/>
        <w:spacing w:after="0"/>
        <w:tabs>
          <w:tab w:leader="none" w:pos="1961"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after becoming aware of such event, notify each Investor who holds Registrable Securities being sold (or, in the event of an underwritten offering, the managing underwriters) of the issuance by the SEC of any stop order or other suspension of effectiveness of the Registration Statement at the earliest possible time;</w:t>
      </w:r>
    </w:p>
    <w:p>
      <w:pPr>
        <w:spacing w:after="0" w:line="174"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less than five Business Days prior to the filing of the Registration Statement or any related prospectus or any amendment or supplement thereto (including any document that would be incorporated or deemed to be incorporated therein by reference), the Company shall, (i) furnish to the Holders and their counsel copies of all such documents proposed to be filed, which documents (other than those incorporated or deemed to be incorporated by reference) will be subject to the review of such Holders and their counsel (subject to the Right to Decline Review), and (ii) cause its officers and directors, counsel and independent certified public accountants to respond to such inquiries as shall be necessary, in the reasonable opinion of respective counsel to such to conduct a reasonable investigation within the meaning of the 1933 Act. The Company shall not file the Registration Statement or any such prospectus or any amendments or supplements thereto to which the Holders of a majority of the Registrable Securities and their counsel shall reasonably object in good faith.</w:t>
      </w:r>
    </w:p>
    <w:p>
      <w:pPr>
        <w:spacing w:after="0" w:line="181"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generally available to its security holders as soon as practical, but not later than ninety (90) days after the close of the period covered thereby, an earnings statement (in form complying with the provisions of Rule 158 under the 1933 Act) covering a twelve-month period beginning not later than the first day of the Company's fiscal quarter next following the effective date of the Registration Statement;</w:t>
      </w:r>
    </w:p>
    <w:p>
      <w:pPr>
        <w:spacing w:after="0" w:line="172" w:lineRule="exact"/>
        <w:rPr>
          <w:rFonts w:ascii="Courier New" w:cs="Courier New" w:eastAsia="Courier New" w:hAnsi="Courier New"/>
          <w:sz w:val="15"/>
          <w:szCs w:val="15"/>
          <w:color w:val="auto"/>
        </w:rPr>
      </w:pPr>
    </w:p>
    <w:p>
      <w:pPr>
        <w:ind w:left="1949" w:hanging="352"/>
        <w:spacing w:after="0"/>
        <w:tabs>
          <w:tab w:leader="none" w:pos="1949"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[Omitted];</w:t>
      </w:r>
    </w:p>
    <w:p>
      <w:pPr>
        <w:spacing w:after="0" w:line="174" w:lineRule="exact"/>
        <w:rPr>
          <w:rFonts w:ascii="Courier New" w:cs="Courier New" w:eastAsia="Courier New" w:hAnsi="Courier New"/>
          <w:sz w:val="15"/>
          <w:szCs w:val="15"/>
          <w:color w:val="auto"/>
        </w:rPr>
      </w:pPr>
    </w:p>
    <w:p>
      <w:pPr>
        <w:ind w:left="9" w:right="3119" w:firstLine="1588"/>
        <w:spacing w:after="0" w:line="258" w:lineRule="auto"/>
        <w:tabs>
          <w:tab w:leader="none" w:pos="1961"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available for inspection by any Investor, and any attorney, accountant or other agent retained by any such Investor (collectively, the "Inspectors"), all pertinent financial and other records, pertinent corporate documents and properties of the Company (collectively, the "Records"), as shall be reasonably necessary to enable each Investor to exercise its due diligence responsibility, and cause the Company's officers, directors and employees to supply all information which any Inspector may reasonably request for purposes of such due diligence; provided, however, that each Inspector shall hold in confidence and shall not make any disclosure (except to an Investor) of any Record or other information which the Company determines in good faith to be confidential, and of which determination the Inspectors are so notified, unless</w:t>
      </w:r>
    </w:p>
    <w:p>
      <w:pPr>
        <w:spacing w:after="0" w:line="1"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disclosure of such Records is necessary to avoid or correct a misstatement or omission in any Registration Statement, (ii) the release of such Records is ordered pursuant to a subpoena or other order from a court or government body of competent jurisdiction or (iii) the information in such Records has been made generally available to the public other than by disclosure in violation of this or any other agreement. The Company shall not be required to disclose any confidential information in such Records to any Inspector until and unless such Inspector shall have entered into confidentiality agreements (in form and substance satisfactory</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31" w:right="1440" w:bottom="1440" w:gutter="0" w:footer="0" w:header="0"/>
        </w:sectPr>
      </w:pPr>
    </w:p>
    <w:bookmarkStart w:id="165" w:name="page166"/>
    <w:bookmarkEnd w:id="165"/>
    <w:p>
      <w:pPr>
        <w:ind w:right="3119"/>
        <w:spacing w:after="0" w:line="258" w:lineRule="auto"/>
        <w:rPr>
          <w:sz w:val="20"/>
          <w:szCs w:val="20"/>
          <w:color w:val="auto"/>
        </w:rPr>
      </w:pPr>
      <w:r>
        <w:rPr>
          <w:rFonts w:ascii="Courier New" w:cs="Courier New" w:eastAsia="Courier New" w:hAnsi="Courier New"/>
          <w:sz w:val="14"/>
          <w:szCs w:val="14"/>
          <w:color w:val="auto"/>
        </w:rPr>
        <w:t>to the Company) with the Company with respect thereto, substantially in the form of this Section 3(k). Each Investor agrees that it shall, upon learning that disclosure of such Records is sought in or by a court or governmental body of competent jurisdiction or through other means, give prompt notice to the Company and allow the Company, at the Company's own expense, to undertake appropriate action to prevent disclosure of, or to obtain a protective order for, the Records deemed confidential. The Company shall hold in confidence and shall not make any disclosure of information concerning an Investor provided to the Company pursuant to Section 4(e) hereof unless (i) disclosure of such information is necessary to comply with federal or state securities laws or applicable rules and regulations of Nasdaq or other market or exchange, (ii) the disclosure of such information is necessary to avoid or correct a misstatement or omission in any Registration Statement, (iii) the release of such information is ordered pursuant to a subpoena or other order from a court or governmental body of competent jurisdiction or (iv) such information has been made generally available to the public other than by disclosure in violation of this or, to the knowledge of the Company, any other agreement. Each party agrees that it shall, upon learning that disclosure of such information concerning another party is sought in or by a court or governmental body of competent jurisdiction or through other means, give prompt notice to such other party and allow such other party, at such other party's own expense, to undertake appropriate action to prevent disclosure of, or to obtain a protective order for, such information;</w:t>
      </w:r>
    </w:p>
    <w:p>
      <w:pPr>
        <w:spacing w:after="0" w:line="345" w:lineRule="exact"/>
        <w:rPr>
          <w:sz w:val="20"/>
          <w:szCs w:val="20"/>
          <w:color w:val="auto"/>
        </w:rPr>
      </w:pPr>
    </w:p>
    <w:p>
      <w:pPr>
        <w:ind w:right="3119" w:firstLine="1588"/>
        <w:spacing w:after="0"/>
        <w:tabs>
          <w:tab w:leader="none" w:pos="195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commercially reasonable efforts (i) to cause all the Registrable Securities covered by the Registration Statement to be listed on the Nasdaq National Market or such other principal securities market on which securities of the same class or series issued by the Company are then listed or traded or (ii) if securities of the same class or series as the Registrable Securities are not then listed on the Nasdaq National Market or any such other securities market, to cause all of the Registrable Securities covered by the Registration Statement to be listed on the New York Stock Exchange, the American Stock Exchange or the Nasdaq SmallCap Market;</w:t>
      </w:r>
    </w:p>
    <w:p>
      <w:pPr>
        <w:spacing w:after="0" w:line="177"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transfer agent and registrar, which may be a single entity, for the Registrable Securities not later than the effective date of the Registration Statement;</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Investors who hold Registrable Securities being offered to facilitate the timely preparation and delivery of certificates (not bearing any restrictive legends) representing Registrable Securities to be offered pursuant to the Registration Statement and enable such certificates to be in such denominations or amounts, as the case may be, as the Investors may reasonably request and registered in such names as the Investors may request; and, within three Business Days after a Registration Statement which includes Registrable Securities is ordered effective by the SEC, the Company shall deliver to the transfer agent for the Registrable Securities (with copies to the Investors whose Registrable Securities are included in such Registration Statement) an instruction substantially in the form attached hereto as EXHIBIT 1 and shall cause legal counsel selected by the Company to deliver to the Investors an opinion of such counsel in the form attached hereto as EXHIBIT 2 (with a copy to the Company's transfer agent);</w:t>
      </w:r>
    </w:p>
    <w:p>
      <w:pPr>
        <w:spacing w:after="0" w:line="181"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the Company is required to maintain effectiveness of the Registration Statement pursuant to Section 3(a), the Company shall not bid for or purchase any Common Stock or any right to purchase Common Stock or attempt to induce any person to</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166" w:name="page167"/>
    <w:bookmarkEnd w:id="166"/>
    <w:p>
      <w:pPr>
        <w:ind w:right="3399"/>
        <w:spacing w:after="0" w:line="264" w:lineRule="auto"/>
        <w:rPr>
          <w:sz w:val="20"/>
          <w:szCs w:val="20"/>
          <w:color w:val="auto"/>
        </w:rPr>
      </w:pPr>
      <w:r>
        <w:rPr>
          <w:rFonts w:ascii="Courier New" w:cs="Courier New" w:eastAsia="Courier New" w:hAnsi="Courier New"/>
          <w:sz w:val="14"/>
          <w:szCs w:val="14"/>
          <w:color w:val="auto"/>
        </w:rPr>
        <w:t>purchase any such security or right if such bid, purchase or attempt would in any way limit the right of the Investors to sell Registrable Securities by reason of the limitations set forth in Regulation M under the 1934 Act; and</w:t>
      </w:r>
    </w:p>
    <w:p>
      <w:pPr>
        <w:spacing w:after="0" w:line="159" w:lineRule="exact"/>
        <w:rPr>
          <w:sz w:val="20"/>
          <w:szCs w:val="20"/>
          <w:color w:val="auto"/>
        </w:rPr>
      </w:pPr>
    </w:p>
    <w:p>
      <w:pPr>
        <w:jc w:val="both"/>
        <w:ind w:right="3219" w:firstLine="1588"/>
        <w:spacing w:after="0" w:line="264" w:lineRule="auto"/>
        <w:tabs>
          <w:tab w:leader="none" w:pos="1952"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all other reasonable actions requested by the Majority Holders necessary to expedite and facilitate disposition by the Investors of the Registrable Securities pursuant to the Registration Statement.</w:t>
      </w:r>
    </w:p>
    <w:p>
      <w:pPr>
        <w:spacing w:after="0" w:line="159" w:lineRule="exact"/>
        <w:rPr>
          <w:rFonts w:ascii="Courier New" w:cs="Courier New" w:eastAsia="Courier New" w:hAnsi="Courier New"/>
          <w:sz w:val="14"/>
          <w:szCs w:val="14"/>
          <w:color w:val="auto"/>
        </w:rPr>
      </w:pPr>
    </w:p>
    <w:p>
      <w:pPr>
        <w:ind w:right="3119" w:firstLine="790"/>
        <w:spacing w:after="0" w:line="271" w:lineRule="auto"/>
        <w:tabs>
          <w:tab w:leader="none" w:pos="1065"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INVESTORS. In connection with the registration of the Registrable Securities, the Investors shall have the following obligations:</w:t>
      </w:r>
    </w:p>
    <w:p>
      <w:pPr>
        <w:spacing w:after="0" w:line="153" w:lineRule="exact"/>
        <w:rPr>
          <w:rFonts w:ascii="Courier New" w:cs="Courier New" w:eastAsia="Courier New" w:hAnsi="Courier New"/>
          <w:sz w:val="14"/>
          <w:szCs w:val="14"/>
          <w:color w:val="auto"/>
        </w:rPr>
      </w:pPr>
    </w:p>
    <w:p>
      <w:pPr>
        <w:ind w:right="3119" w:firstLine="1588"/>
        <w:spacing w:after="0"/>
        <w:tabs>
          <w:tab w:leader="none" w:pos="1952"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the registration of such Registrable Securities.</w:t>
      </w:r>
    </w:p>
    <w:p>
      <w:pPr>
        <w:spacing w:after="0" w:line="175" w:lineRule="exact"/>
        <w:rPr>
          <w:rFonts w:ascii="Courier New" w:cs="Courier New" w:eastAsia="Courier New" w:hAnsi="Courier New"/>
          <w:sz w:val="15"/>
          <w:szCs w:val="15"/>
          <w:color w:val="auto"/>
        </w:rPr>
      </w:pPr>
    </w:p>
    <w:p>
      <w:pPr>
        <w:ind w:right="3219" w:firstLine="1588"/>
        <w:spacing w:after="0"/>
        <w:tabs>
          <w:tab w:leader="none" w:pos="1952"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Investor by such Investor's acceptance of the Registrable Securities agrees to cooperate with the Company as reasonably requested by the Company in connection with the preparation and filing of the Registration Statement hereunder, unless such Investor has notified the Company in writing of such Investor's election to exclude all of such Investor's Registrable Securities from the Registration Statement;</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Investors holding a majority in interest of the Registrable Securities being registered determine to engage the services of an underwriter, each Investor agrees to enter into and perform such Investor's obligations under an underwriting agreement, in usual and customary form, including, without limitation, customary indemnification and contribution obligations, with the managing underwriter of such offering and take such other actions as are reasonably required in order to expedite or facilitate the disposition of the Registrable Securities, unless such Investor has notified the Company in writing of such Investor's election to exclude all of such Investor's Registrable Securities from the Registration Statement;</w:t>
      </w:r>
    </w:p>
    <w:p>
      <w:pPr>
        <w:spacing w:after="0" w:line="178" w:lineRule="exact"/>
        <w:rPr>
          <w:rFonts w:ascii="Courier New" w:cs="Courier New" w:eastAsia="Courier New" w:hAnsi="Courier New"/>
          <w:sz w:val="15"/>
          <w:szCs w:val="15"/>
          <w:color w:val="auto"/>
        </w:rPr>
      </w:pPr>
    </w:p>
    <w:p>
      <w:pPr>
        <w:ind w:right="3119" w:firstLine="1588"/>
        <w:spacing w:after="0" w:line="259" w:lineRule="auto"/>
        <w:tabs>
          <w:tab w:leader="none" w:pos="1952"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Investor agrees that, upon receipt of any notice from the Company of the happening of any event of the kind described in Section 3(f) or 3(g), such Investor will immediately discontinue disposition of Registrable Securities pursuant to the Registration Statement covering such Registrable Securities until such Investor's receipt of the copies of the supplemented or amended prospectus contemplated by Section 3(f) or 3(g) and, if so directed by the Company, such Investor shall deliver to the Company (at the expense of the Company) or destroy (and deliver to the Company a certificate of destruction) all copies in such Investor's possession of the prospectus covering such Registrable Securities current at the time of receipt of such notice;</w:t>
      </w:r>
    </w:p>
    <w:p>
      <w:pPr>
        <w:spacing w:after="0" w:line="165" w:lineRule="exact"/>
        <w:rPr>
          <w:rFonts w:ascii="Courier New" w:cs="Courier New" w:eastAsia="Courier New" w:hAnsi="Courier New"/>
          <w:sz w:val="14"/>
          <w:szCs w:val="14"/>
          <w:color w:val="auto"/>
        </w:rPr>
      </w:pPr>
    </w:p>
    <w:p>
      <w:pPr>
        <w:ind w:right="3299" w:firstLine="1588"/>
        <w:spacing w:after="0" w:line="239" w:lineRule="auto"/>
        <w:tabs>
          <w:tab w:leader="none" w:pos="1952"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Investor may participate in any underwritten registration hereunder unless such Investor (i) agrees to sell such Investor's Registrable Securities on the basis provided in any underwriting arrangements approved by the Investors entitled hereunder to approve such</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67" w:name="page168"/>
    <w:bookmarkEnd w:id="167"/>
    <w:p>
      <w:pPr>
        <w:ind w:right="3299"/>
        <w:spacing w:after="0" w:line="260" w:lineRule="auto"/>
        <w:rPr>
          <w:sz w:val="20"/>
          <w:szCs w:val="20"/>
          <w:color w:val="auto"/>
        </w:rPr>
      </w:pPr>
      <w:r>
        <w:rPr>
          <w:rFonts w:ascii="Courier New" w:cs="Courier New" w:eastAsia="Courier New" w:hAnsi="Courier New"/>
          <w:sz w:val="14"/>
          <w:szCs w:val="14"/>
          <w:color w:val="auto"/>
        </w:rPr>
        <w:t>arrangements, (ii) completes and executes all questionnaires, powers of attorney, indemnities, underwriting agreements and other documents reasonably required under the terms of such underwriting arrangements and (iii) agrees to pay its pro rata share of all underwriting discounts and commissions and other fees and expenses of investment bankers and any manager or managers of such underwriting and legal expenses of the underwriters applicable with respect to its Registrable Securities, in each case to the extent not payable by the Company pursuant to the terms of this Agreement; and</w:t>
      </w:r>
    </w:p>
    <w:p>
      <w:pPr>
        <w:spacing w:after="0" w:line="161" w:lineRule="exact"/>
        <w:rPr>
          <w:sz w:val="20"/>
          <w:szCs w:val="20"/>
          <w:color w:val="auto"/>
        </w:rPr>
      </w:pPr>
    </w:p>
    <w:p>
      <w:pPr>
        <w:ind w:right="3299" w:firstLine="1588"/>
        <w:spacing w:after="0" w:line="239" w:lineRule="auto"/>
        <w:tabs>
          <w:tab w:leader="none" w:pos="1952"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Investor agrees to take all reasonable actions necessary to comply with the prospectus delivery requirements of the 1933 Act applicable to its sales of Registrable Securities and to assist the Company in carrying out its obligations hereunder.</w:t>
      </w:r>
    </w:p>
    <w:p>
      <w:pPr>
        <w:spacing w:after="0" w:line="176" w:lineRule="exact"/>
        <w:rPr>
          <w:rFonts w:ascii="Courier New" w:cs="Courier New" w:eastAsia="Courier New" w:hAnsi="Courier New"/>
          <w:sz w:val="15"/>
          <w:szCs w:val="15"/>
          <w:color w:val="auto"/>
        </w:rPr>
      </w:pPr>
    </w:p>
    <w:p>
      <w:pPr>
        <w:ind w:right="3119" w:firstLine="790"/>
        <w:spacing w:after="0" w:line="259" w:lineRule="auto"/>
        <w:tabs>
          <w:tab w:leader="none" w:pos="1065"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OF REGISTRATION. All reasonable expenses (other than underwriting discounts and commissions and other fees and expenses of investment bankers engaged by Investors and other than brokerage commissions), incurred in connection with registrations, filings or qualifications pursuant to Sections 2 and 3, including, without limitation, all registration, listing and qualifications fees, printers and accounting fees and the fees and disbursements of counsel for the Company and one legal counsel for the Investors (in addition to the payment of the Initial Investor's expenses to the extent provided in the Subscription Agreement), shall be borne by the Company.</w:t>
      </w:r>
    </w:p>
    <w:p>
      <w:pPr>
        <w:spacing w:after="0" w:line="166" w:lineRule="exact"/>
        <w:rPr>
          <w:rFonts w:ascii="Courier New" w:cs="Courier New" w:eastAsia="Courier New" w:hAnsi="Courier New"/>
          <w:sz w:val="14"/>
          <w:szCs w:val="14"/>
          <w:color w:val="auto"/>
        </w:rPr>
      </w:pPr>
    </w:p>
    <w:p>
      <w:pPr>
        <w:ind w:right="3839" w:firstLine="790"/>
        <w:spacing w:after="0" w:line="238" w:lineRule="auto"/>
        <w:tabs>
          <w:tab w:leader="none" w:pos="1065"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In the event any Registrable Securities are included in a Registration Statement under this Agreement:</w:t>
      </w:r>
    </w:p>
    <w:p>
      <w:pPr>
        <w:spacing w:after="0" w:line="174" w:lineRule="exact"/>
        <w:rPr>
          <w:rFonts w:ascii="Courier New" w:cs="Courier New" w:eastAsia="Courier New" w:hAnsi="Courier New"/>
          <w:sz w:val="15"/>
          <w:szCs w:val="15"/>
          <w:color w:val="auto"/>
        </w:rPr>
      </w:pPr>
    </w:p>
    <w:p>
      <w:pPr>
        <w:ind w:right="3119" w:firstLine="1588"/>
        <w:spacing w:after="0" w:line="258" w:lineRule="auto"/>
        <w:tabs>
          <w:tab w:leader="none" w:pos="1952"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law, the Company will indemnify and hold harmless each Investor who holds such Registrable Securities, the directors, if any, of such Investor, the officers, if any, of such Investor, each person, if any, who controls any Investor within the meaning of the 1933 Act or the 1934 Act, any underwriter (as defined in the 1933 Act) for the Investors, the directors, if any, of such underwriter and the officers, if any, of such underwriter, and each person, if any, who controls any such underwriter within the meaning of the 1933 Act or the 1934 Act (each, an "Indemnified Person"), against any losses, claims, damages, liabilities or expenses (joint or several) incurred (collectively, "Claims") to which any of them may become subject under the 1933 Act, the 1934 Act or otherwise, insofar as such Claims (or actions or proceedings, whether commenced or threatened, in respect thereof) arise out of or are based upon any of the following statements or omissions in or violations with respect to the Registration Statement, or any post-effective amendment thereof, or any prospectus included therein: (i) any untrue statement or alleged untrue statement of a material fact contained in the Registration Statement or any post-effective amendment thereof or the omission or alleged omission to state therein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1933 Act, the 1934 Act, any state securities law or any rule or regulation under the 1933 Act, the 1934 Act</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68" w:name="page169"/>
    <w:bookmarkEnd w:id="168"/>
    <w:p>
      <w:pPr>
        <w:ind w:left="9"/>
        <w:spacing w:after="0"/>
        <w:rPr>
          <w:sz w:val="20"/>
          <w:szCs w:val="20"/>
          <w:color w:val="auto"/>
        </w:rPr>
      </w:pPr>
      <w:r>
        <w:rPr>
          <w:rFonts w:ascii="Courier New" w:cs="Courier New" w:eastAsia="Courier New" w:hAnsi="Courier New"/>
          <w:sz w:val="15"/>
          <w:szCs w:val="15"/>
          <w:color w:val="auto"/>
        </w:rPr>
        <w:t>or any state securities law (the matters in the foregoing clauses (i) through</w:t>
      </w:r>
    </w:p>
    <w:p>
      <w:pPr>
        <w:spacing w:after="0" w:line="3" w:lineRule="exact"/>
        <w:rPr>
          <w:sz w:val="20"/>
          <w:szCs w:val="20"/>
          <w:color w:val="auto"/>
        </w:rPr>
      </w:pPr>
    </w:p>
    <w:p>
      <w:pPr>
        <w:ind w:left="9" w:right="3219" w:hanging="9"/>
        <w:spacing w:after="0" w:line="258" w:lineRule="auto"/>
        <w:tabs>
          <w:tab w:leader="none" w:pos="54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being, collectively, "Violations"). Subject to the restrictions set forth in Section 6(d) with respect to the number of legal counsel, the Company shall reimburse the Investors and the other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arising out of or based upon a Violation which occurs in reliance upon and in conformity with information furnished in writing to the Company by any Indemnified Person or underwriter for such Indemnified Person expressly for use in connection with the preparation of the Registration Statement, the prospectus or any such amendment thereof or supplement thereto, if such prospectus was timely made available by the Company pursuant to Section 3(c) hereof; (II) with respect to any preliminary prospectus shall not inure to the benefit of any Indemnified Person if the untrue statement or omission of material fact contained in the preliminary prospectus was corrected in the prospectus, as then amended or supplemented, if such prospectus was timely made available by the Company pursuant to Section 3(c) hereof; and (III)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Investors pursuant to Section 9.</w:t>
      </w:r>
    </w:p>
    <w:p>
      <w:pPr>
        <w:spacing w:after="0" w:line="345" w:lineRule="exact"/>
        <w:rPr>
          <w:rFonts w:ascii="Courier New" w:cs="Courier New" w:eastAsia="Courier New" w:hAnsi="Courier New"/>
          <w:sz w:val="14"/>
          <w:szCs w:val="14"/>
          <w:color w:val="auto"/>
        </w:rPr>
      </w:pPr>
    </w:p>
    <w:p>
      <w:pPr>
        <w:ind w:left="9" w:right="3119" w:firstLine="1588"/>
        <w:spacing w:after="0" w:line="258" w:lineRule="auto"/>
        <w:tabs>
          <w:tab w:leader="none" w:pos="1961"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Registration Statement in which an Investor is participating, each such Investor agrees to indemnify and hold harmless, to the same extent and in the same manner set forth in Section 6(a), the Company, each of its directors, each of its officers who signs the Registration Statement, each person, if any, who controls the Company within the meaning of the 1933 Act or the 1934 Act, any underwriter and any other stockholder selling securities pursuant to the Registration Statement or any of its directors or officers or any person who controls such stockholder or underwriter within the meaning of the 1933 Act or the 1934 Act (collectively and together with an Indemnified Person, an "Indemnified Party"), against any Claim to which any of them may become subject, under the 1933 Act, the 1934 Act or otherwise, insofar as such Claim arises out of or is based upon any Violation, in each case to the extent (and only to the extent) that such Violation occurs in reliance upon and in conformity with written information furnished to the Company by such Investor expressly for use in connection with such Registration Statement or any post-effective amendment thereof, or any prospectus included therein; and such Investor will reimburse any legal or other expenses reasonably incurred by any Indemnified Party, promptly as such expenses are incurred and are due and payable, in connection with investigating or defending any such Claim; provided, however, that the indemnity agreement contained in this Section 6(b) shall not apply to amounts paid in settlement of any Claim if such settlement is effected without the prior written consent of such Investor, which consent shall not be unreasonably withheld; provided, further, however, that the Investor shall be liable under this Section 6(b) for only that amount of a Claim as does not exceed the amount of the proceeds to such Investor from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Investors pursuant to Section 9. Notwithstanding anything to the contrary contained herein, the indemnification agreement contained in this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28" w:right="1440" w:bottom="1440" w:gutter="0" w:footer="0" w:header="0"/>
        </w:sectPr>
      </w:pPr>
    </w:p>
    <w:bookmarkStart w:id="169" w:name="page170"/>
    <w:bookmarkEnd w:id="169"/>
    <w:p>
      <w:pPr>
        <w:ind w:right="3119"/>
        <w:spacing w:after="0" w:line="239" w:lineRule="auto"/>
        <w:rPr>
          <w:sz w:val="20"/>
          <w:szCs w:val="20"/>
          <w:color w:val="auto"/>
        </w:rPr>
      </w:pPr>
      <w:r>
        <w:rPr>
          <w:rFonts w:ascii="Courier New" w:cs="Courier New" w:eastAsia="Courier New" w:hAnsi="Courier New"/>
          <w:sz w:val="15"/>
          <w:szCs w:val="15"/>
          <w:color w:val="auto"/>
        </w:rPr>
        <w:t>Section 6(b) with respect to any preliminary prospectus shall not inure to the benefit of any Indemnified Party if the untrue statement or omission of material fact contained in the preliminary prospectus was corrected on a timely basis in the prospectus, as then amended or supplemented.</w:t>
      </w:r>
    </w:p>
    <w:p>
      <w:pPr>
        <w:spacing w:after="0" w:line="176" w:lineRule="exact"/>
        <w:rPr>
          <w:sz w:val="20"/>
          <w:szCs w:val="20"/>
          <w:color w:val="auto"/>
        </w:rPr>
      </w:pPr>
    </w:p>
    <w:p>
      <w:pPr>
        <w:ind w:right="3219" w:firstLine="1588"/>
        <w:spacing w:after="0"/>
        <w:tabs>
          <w:tab w:leader="none" w:pos="1952"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entitled to receive indemnities from underwriters, selling brokers, dealer managers and similar securities industry professionals participating in any distribution, to the same extent as provided above, with respect to information so furnished in writing by such persons expressly for inclusion in the Registration Statement.</w:t>
      </w:r>
    </w:p>
    <w:p>
      <w:pPr>
        <w:spacing w:after="0" w:line="174" w:lineRule="exact"/>
        <w:rPr>
          <w:rFonts w:ascii="Courier New" w:cs="Courier New" w:eastAsia="Courier New" w:hAnsi="Courier New"/>
          <w:sz w:val="15"/>
          <w:szCs w:val="15"/>
          <w:color w:val="auto"/>
        </w:rPr>
      </w:pPr>
    </w:p>
    <w:p>
      <w:pPr>
        <w:ind w:right="3119" w:firstLine="1588"/>
        <w:spacing w:after="0" w:line="258" w:lineRule="auto"/>
        <w:tabs>
          <w:tab w:leader="none" w:pos="1952"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Person or Indemnified Party under this Section 6 of notice of the commencement of any action (including any governmental action),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selected by the indemnifying party but reasonably acceptable to the Indemnified Person or the Indemnified Party, as the case may be; provided, however, that an Indemnified Person or Indemnified Party shall have the right to retain its own counsel with the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such event, the Company shall pay for only one separate legal counsel for the Investors; such legal counsel shall be selected by the Investors holding a majority in interest of the Registrable Securities included in the Registration Statement to which the Claim relates.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The indemnification required by this Section 6 shall be made by periodic payments of the amount thereof during the course of the investigation or defense, as such expense, loss, damage or liability is incurred and is due and payable.</w:t>
      </w:r>
    </w:p>
    <w:p>
      <w:pPr>
        <w:spacing w:after="0" w:line="346" w:lineRule="exact"/>
        <w:rPr>
          <w:rFonts w:ascii="Courier New" w:cs="Courier New" w:eastAsia="Courier New" w:hAnsi="Courier New"/>
          <w:sz w:val="14"/>
          <w:szCs w:val="14"/>
          <w:color w:val="auto"/>
        </w:rPr>
      </w:pPr>
    </w:p>
    <w:p>
      <w:pPr>
        <w:ind w:right="3119" w:firstLine="790"/>
        <w:spacing w:after="0"/>
        <w:tabs>
          <w:tab w:leader="none" w:pos="1065"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(a) no contribution shall be made under circumstances where the maker would not have been liable for indemnification under the fault standards set forth in Section 6, (b) no seller of Registrable Securities guilty of fraudulent misrepresentation (within the meaning of Section 11(f) of the 1933 Act) shall be entitled to contribution from any seller of Registrable Securities who was not guilty of such fraudulent misrepresentation and (c) contribution by any seller of Registrable Securities shall be limited in amount to the amount by which the net amount of proceeds received by such seller from the sale of such Registrable Securities exceeds the purchase price paid by such seller for such Registrable Securities.</w:t>
      </w: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70" w:name="page171"/>
    <w:bookmarkEnd w:id="170"/>
    <w:p>
      <w:pPr>
        <w:ind w:left="-790" w:right="3659" w:firstLine="790"/>
        <w:spacing w:after="0" w:line="238" w:lineRule="auto"/>
        <w:tabs>
          <w:tab w:leader="none" w:pos="275"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UNDER 1934 ACT. With a view to making available to the Investors the benefits of Rule 144, the Company agrees to:</w:t>
      </w:r>
    </w:p>
    <w:p>
      <w:pPr>
        <w:spacing w:after="0" w:line="174" w:lineRule="exact"/>
        <w:rPr>
          <w:rFonts w:ascii="Courier New" w:cs="Courier New" w:eastAsia="Courier New" w:hAnsi="Courier New"/>
          <w:sz w:val="15"/>
          <w:szCs w:val="15"/>
          <w:color w:val="auto"/>
        </w:rPr>
      </w:pPr>
    </w:p>
    <w:p>
      <w:pPr>
        <w:ind w:left="-790" w:right="3119" w:firstLine="1588"/>
        <w:spacing w:after="0" w:line="238" w:lineRule="auto"/>
        <w:tabs>
          <w:tab w:leader="none" w:pos="1163"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 those terms are understood and defined in Rule 144;</w:t>
      </w:r>
    </w:p>
    <w:p>
      <w:pPr>
        <w:spacing w:after="0" w:line="174" w:lineRule="exact"/>
        <w:rPr>
          <w:rFonts w:ascii="Courier New" w:cs="Courier New" w:eastAsia="Courier New" w:hAnsi="Courier New"/>
          <w:sz w:val="15"/>
          <w:szCs w:val="15"/>
          <w:color w:val="auto"/>
        </w:rPr>
      </w:pPr>
    </w:p>
    <w:p>
      <w:pPr>
        <w:ind w:left="-790" w:right="3119" w:firstLine="1588"/>
        <w:spacing w:after="0" w:line="271" w:lineRule="auto"/>
        <w:tabs>
          <w:tab w:leader="none" w:pos="1163"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SEC in a timely manner all reports and other documents required of the Company under the 1933 Act and the 1934 Act; and</w:t>
      </w:r>
    </w:p>
    <w:p>
      <w:pPr>
        <w:spacing w:after="0" w:line="153" w:lineRule="exact"/>
        <w:rPr>
          <w:rFonts w:ascii="Courier New" w:cs="Courier New" w:eastAsia="Courier New" w:hAnsi="Courier New"/>
          <w:sz w:val="14"/>
          <w:szCs w:val="14"/>
          <w:color w:val="auto"/>
        </w:rPr>
      </w:pPr>
    </w:p>
    <w:p>
      <w:pPr>
        <w:ind w:left="-790" w:right="3119" w:firstLine="1588"/>
        <w:spacing w:after="0"/>
        <w:tabs>
          <w:tab w:leader="none" w:pos="1163"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Investor so long as such Investor owns Registrable Securities, promptly upon request, (i) a written statement by the Company that it has complied with the reporting requirements of Rule 144 and the 1934 Act or describing any failure to so comply, (ii) a copy of the most recent annual or quarterly report of the Company and such other reports and documents so filed by the Company and (iii) such other information as may be reasonably requested to permit the Investors to sell such securities pursuant to Rule 144 without registration.</w:t>
      </w:r>
    </w:p>
    <w:p>
      <w:pPr>
        <w:spacing w:after="0" w:line="176" w:lineRule="exact"/>
        <w:rPr>
          <w:rFonts w:ascii="Courier New" w:cs="Courier New" w:eastAsia="Courier New" w:hAnsi="Courier New"/>
          <w:sz w:val="15"/>
          <w:szCs w:val="15"/>
          <w:color w:val="auto"/>
        </w:rPr>
      </w:pPr>
    </w:p>
    <w:p>
      <w:pPr>
        <w:ind w:left="-790" w:right="3119" w:firstLine="790"/>
        <w:spacing w:after="0" w:line="258" w:lineRule="auto"/>
        <w:tabs>
          <w:tab w:leader="none" w:pos="275"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OF THE REGISTRATION RIGHTS. The rights to have the Company register Registrable Securities pursuant to this Agreement shall be automatically assigned by the Investors to any Permitted Transferee only if: (a) the Investor agrees in writing with such Permitted Transferee to assign such rights, and a copy of such agreement is furnished to the Company within a reasonable time after such assignment, (b) except as otherwise provided in the Subscription Agreement, the Company is, within a reasonable time after such transfer or assignment, furnished with written notice of (i) the name and address of such Permitted Transferee and (ii) the securities with respect to which such registration rights are being transferred or assigned, (c) immediately following such transfer or assignment the further disposition of such securities by such Permitted Transferee is restricted under the 1933 Act and applicable state securities laws, and (d) at or before the time the Company receives the written notice contemplated by clause (b) of this sentence (or such later time within ten Business Days after the Company approves a Proposed Transferee pursuant to the Subscription Agreement) such Permitted Transferee agrees in writing with the Company to be bound by all of the provisions contained herein and in the Subscription Agreement. In connection with any such transfer the Company shall, at the cost and expense of the Permitted Transferee, promptly after such assignment take such actions as shall be reasonably acceptable to the Initial Investor and such Permitted Transferee to assure that the Registration Statement and related prospectus are available for use by such Permitted Transferee for sales of the Registrable Securities in respect of which the rights to registration have been so assigned; provided, however, that the Company shall not be required to breach any other obligation hereunder in taking such actions. In connection with any such assignment, each Investor shall have the right to assign to such Permitted Transferee such Investor's rights under the Subscription Agreement by notice of such assignment to the Company. Following such notice of assignment of rights under the Subscription Agreement, the Company shall be obligated to such Permitted Transferee to perform all of its covenants under the Subscription Agreement as if such Permitted Transferee were the Buyer under the Subscription Agreement.</w:t>
      </w:r>
    </w:p>
    <w:p>
      <w:pPr>
        <w:spacing w:after="0" w:line="347" w:lineRule="exact"/>
        <w:rPr>
          <w:sz w:val="20"/>
          <w:szCs w:val="20"/>
          <w:color w:val="auto"/>
        </w:rPr>
      </w:pPr>
    </w:p>
    <w:p>
      <w:pPr>
        <w:ind w:left="-790" w:right="3299" w:firstLine="1588"/>
        <w:spacing w:after="0" w:line="239" w:lineRule="auto"/>
        <w:tabs>
          <w:tab w:leader="none" w:pos="1163"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REGISTRATION RIGHTS. Any provision of this Agreement may be amended only with the written consent of the Majority Holders and the Company and, subject to the penultimate sentence of Section 2(d), the observance by the Company of any provision of</w:t>
      </w:r>
    </w:p>
    <w:p>
      <w:pPr>
        <w:spacing w:after="0" w:line="344"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429"/>
          </w:cols>
          <w:pgMar w:left="1030" w:top="631" w:right="1440" w:bottom="1440" w:gutter="0" w:footer="0" w:header="0"/>
        </w:sectPr>
      </w:pPr>
    </w:p>
    <w:bookmarkStart w:id="171" w:name="page172"/>
    <w:bookmarkEnd w:id="171"/>
    <w:p>
      <w:pPr>
        <w:ind w:right="3299"/>
        <w:spacing w:after="0" w:line="239" w:lineRule="auto"/>
        <w:rPr>
          <w:sz w:val="20"/>
          <w:szCs w:val="20"/>
          <w:color w:val="auto"/>
        </w:rPr>
      </w:pPr>
      <w:r>
        <w:rPr>
          <w:rFonts w:ascii="Courier New" w:cs="Courier New" w:eastAsia="Courier New" w:hAnsi="Courier New"/>
          <w:sz w:val="15"/>
          <w:szCs w:val="15"/>
          <w:color w:val="auto"/>
        </w:rPr>
        <w:t>this Agreement may be waived (either generally or in a particular instance and either retroactively or prospectively) only with the written consent of the Majority Holders. Any amendment or waiver effected in accordance with this Section 10 shall be binding upon each Investor and the Company.</w:t>
      </w:r>
    </w:p>
    <w:p>
      <w:pPr>
        <w:spacing w:after="0" w:line="174" w:lineRule="exact"/>
        <w:rPr>
          <w:sz w:val="20"/>
          <w:szCs w:val="20"/>
          <w:color w:val="auto"/>
        </w:rPr>
      </w:pPr>
    </w:p>
    <w:p>
      <w:pPr>
        <w:ind w:left="1140" w:hanging="350"/>
        <w:spacing w:after="0"/>
        <w:tabs>
          <w:tab w:leader="none" w:pos="114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entered, as of the date hereof, nor shall the Company or any of its subsidiaries, on or after the date of this Agreement, enter into any agreement with respect to its securities that is inconsistent with the rights granted to the Holders in this Agreement or otherwise conflicts with the provisions hereof. Except as and to the extent specified in Schedule 11(a) hereto, neither the Company nor any of its subsidiaries has previously entered into any agreement granting any registration rights with respect to any of its securities to any Person.</w:t>
      </w:r>
    </w:p>
    <w:p>
      <w:pPr>
        <w:spacing w:after="0" w:line="177" w:lineRule="exact"/>
        <w:rPr>
          <w:rFonts w:ascii="Courier New" w:cs="Courier New" w:eastAsia="Courier New" w:hAnsi="Courier New"/>
          <w:sz w:val="15"/>
          <w:szCs w:val="15"/>
          <w:color w:val="auto"/>
        </w:rPr>
      </w:pPr>
    </w:p>
    <w:p>
      <w:pPr>
        <w:ind w:right="3119" w:firstLine="1588"/>
        <w:spacing w:after="0"/>
        <w:tabs>
          <w:tab w:leader="none" w:pos="195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specified in Schedule 11(a) hereto and except with the written consent of the Majority Holders, neither the Company nor any of its security holders (other than the Holders in such capacity pursuant hereto) may include securities of the Company in the Registration Statement other than the Registrable Securities, and the Company shall not after the date hereof enter into any agreement providing any such right to be so included to any of its security holders.</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or entity is deemed to be a holder of Registrable Securities whenever such person or entity owns of record such Registrable Securities. If the Company receives conflicting instructions, notices or elections from two or more persons or entities with respect to the same Registrable Securities, the Company shall act upon the basis of instructions, notice or election received from the registered owner of such Registrable Securities.</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required or permitted to be given hereunder shall be in writing and shall be deemed to be sufficiently given when personally delivered (by hand, by courier, by telephone line facsimile transmission (with answer back confirmation) or other means) (i) if to the Company, at 3155 Porter Drive, Palo Alto, California 94304, Attention: Chief Executive Officer, facsimile number (650) 475-3101 with a copy to Ropes &amp; Gray, One International Place, Boston, Massachusetts, 02110, Attention: Geoffrey B. Davis, Esq., (facsimile number (617) 951-7050), (ii) if to the Initial Investor, at 666 Fifth Avenue, New York, New York 10103, facsimile number (212) 841-6302, and (iii) if to any other Investor, at such address as such Investor shall have provided in writing to the Company, or at such other address as each such party furnishes by notice given in accordance with this Section 11(b), and shall be effective upon receipt.</w:t>
      </w:r>
    </w:p>
    <w:p>
      <w:pPr>
        <w:spacing w:after="0" w:line="180"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any party to exercise any right or remedy under this Agreement or otherwise, or delay by a party in exercising such right or remedy, shall not operate as a waiver thereof.</w:t>
      </w:r>
    </w:p>
    <w:p>
      <w:pPr>
        <w:spacing w:after="0" w:line="175" w:lineRule="exact"/>
        <w:rPr>
          <w:rFonts w:ascii="Courier New" w:cs="Courier New" w:eastAsia="Courier New" w:hAnsi="Courier New"/>
          <w:sz w:val="15"/>
          <w:szCs w:val="15"/>
          <w:color w:val="auto"/>
        </w:rPr>
      </w:pPr>
    </w:p>
    <w:p>
      <w:pPr>
        <w:ind w:right="3479" w:firstLine="1588"/>
        <w:spacing w:after="0" w:line="239" w:lineRule="auto"/>
        <w:tabs>
          <w:tab w:leader="none" w:pos="195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enforced, governed by and construed in accordance with the laws of the State of New York applicable to agreements made and to be performed entirely within such State. In the event that any provision of this Agreement is invalid or</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172" w:name="page173"/>
    <w:bookmarkEnd w:id="172"/>
    <w:p>
      <w:pPr>
        <w:ind w:right="3119"/>
        <w:spacing w:after="0"/>
        <w:rPr>
          <w:sz w:val="20"/>
          <w:szCs w:val="20"/>
          <w:color w:val="auto"/>
        </w:rPr>
      </w:pPr>
      <w:r>
        <w:rPr>
          <w:rFonts w:ascii="Courier New" w:cs="Courier New" w:eastAsia="Courier New" w:hAnsi="Courier New"/>
          <w:sz w:val="15"/>
          <w:szCs w:val="15"/>
          <w:color w:val="auto"/>
        </w:rPr>
        <w:t>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 Each party hereby consents to the exclusive jurisdiction and venue of the federal and state courts located in New York, New York in any action or proceeding arising hereunder and to service of process by certified mail, return receipt requested (which shall constitute "personal service").</w:t>
      </w:r>
    </w:p>
    <w:p>
      <w:pPr>
        <w:spacing w:after="0" w:line="177" w:lineRule="exact"/>
        <w:rPr>
          <w:sz w:val="20"/>
          <w:szCs w:val="20"/>
          <w:color w:val="auto"/>
        </w:rPr>
      </w:pPr>
    </w:p>
    <w:p>
      <w:pPr>
        <w:ind w:right="3219" w:firstLine="1588"/>
        <w:spacing w:after="0"/>
        <w:tabs>
          <w:tab w:leader="none" w:pos="195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constitutes the entire agreement among the parties hereto with respect to the subject matter hereof. There are no restrictions, promises, warranties or undertakings, other than those set forth or referred to herein. This Agreement supersedes all prior agreements and understandings among the parties hereto with respect to the subject matter hereof.</w:t>
      </w:r>
    </w:p>
    <w:p>
      <w:pPr>
        <w:spacing w:after="0" w:line="175"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requirements of Section 9 hereof, this Agreement shall inure to the benefit of and be binding upon the successors and assigns of each of the parties hereto.</w:t>
      </w:r>
    </w:p>
    <w:p>
      <w:pPr>
        <w:spacing w:after="0" w:line="175" w:lineRule="exact"/>
        <w:rPr>
          <w:rFonts w:ascii="Courier New" w:cs="Courier New" w:eastAsia="Courier New" w:hAnsi="Courier New"/>
          <w:sz w:val="15"/>
          <w:szCs w:val="15"/>
          <w:color w:val="auto"/>
        </w:rPr>
      </w:pPr>
    </w:p>
    <w:p>
      <w:pPr>
        <w:ind w:right="3299" w:firstLine="1588"/>
        <w:spacing w:after="0" w:line="271" w:lineRule="auto"/>
        <w:tabs>
          <w:tab w:leader="none" w:pos="1952"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pronouns and any variations thereof refer to the masculine, feminine or neuter, singular or plural, as the context may require.</w:t>
      </w:r>
    </w:p>
    <w:p>
      <w:pPr>
        <w:spacing w:after="0" w:line="153" w:lineRule="exact"/>
        <w:rPr>
          <w:rFonts w:ascii="Courier New" w:cs="Courier New" w:eastAsia="Courier New" w:hAnsi="Courier New"/>
          <w:sz w:val="14"/>
          <w:szCs w:val="14"/>
          <w:color w:val="auto"/>
        </w:rPr>
      </w:pPr>
    </w:p>
    <w:p>
      <w:pPr>
        <w:ind w:right="3579" w:firstLine="1588"/>
        <w:spacing w:after="0" w:line="271" w:lineRule="auto"/>
        <w:tabs>
          <w:tab w:leader="none" w:pos="1952"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headings in this Agreement are for convenience of reference only and shall not limit or otherwise affect the meaning hereof.</w:t>
      </w:r>
    </w:p>
    <w:p>
      <w:pPr>
        <w:spacing w:after="0" w:line="151" w:lineRule="exact"/>
        <w:rPr>
          <w:rFonts w:ascii="Courier New" w:cs="Courier New" w:eastAsia="Courier New" w:hAnsi="Courier New"/>
          <w:sz w:val="14"/>
          <w:szCs w:val="14"/>
          <w:color w:val="auto"/>
        </w:rPr>
      </w:pPr>
    </w:p>
    <w:p>
      <w:pPr>
        <w:ind w:left="1940" w:hanging="352"/>
        <w:spacing w:after="0"/>
        <w:tabs>
          <w:tab w:leader="none" w:pos="194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[Omitted]</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language used in this Agreement will be deemed to be the language chosen by the parties to express their mutual intent, and no rules of strict construction will be applied against any party.</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in two or more counterparts, each of which shall be deemed an original but all of which shall constitute one and the same agreement. This Agreement, once executed by a party, may be delivered to the other party hereto by telephone line facsimile transmission of a copy of this Agreement bearing the signature of the party so delivering this Agreement.</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73" w:name="page174"/>
    <w:bookmarkEnd w:id="173"/>
    <w:p>
      <w:pPr>
        <w:ind w:right="3399" w:firstLine="799"/>
        <w:spacing w:after="0" w:line="239" w:lineRule="auto"/>
        <w:rPr>
          <w:sz w:val="20"/>
          <w:szCs w:val="20"/>
          <w:color w:val="auto"/>
        </w:rPr>
      </w:pPr>
      <w:r>
        <w:rPr>
          <w:rFonts w:ascii="Courier New" w:cs="Courier New" w:eastAsia="Courier New" w:hAnsi="Courier New"/>
          <w:sz w:val="15"/>
          <w:szCs w:val="15"/>
          <w:color w:val="auto"/>
        </w:rPr>
        <w:t>IN WITNESS WHEREOF, the parties have caused this Registration Rights Agreement to be duly executed by their respective officers thereunto duly authorized as of day and year first above written.</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 /s/ Martin M. McGlynn</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5"/>
          <w:szCs w:val="15"/>
          <w:color w:val="auto"/>
        </w:rPr>
        <w:t>Name:</w:t>
        <w:tab/>
        <w:t>Martin M. McGlynn</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President, Chief Executive Officer</w:t>
      </w:r>
    </w:p>
    <w:p>
      <w:pPr>
        <w:spacing w:after="0" w:line="180" w:lineRule="exact"/>
        <w:rPr>
          <w:sz w:val="20"/>
          <w:szCs w:val="20"/>
          <w:color w:val="auto"/>
        </w:rPr>
      </w:pPr>
    </w:p>
    <w:p>
      <w:pPr>
        <w:ind w:left="620"/>
        <w:spacing w:after="0"/>
        <w:tabs>
          <w:tab w:leader="none" w:pos="2900" w:val="left"/>
        </w:tabs>
        <w:rPr>
          <w:sz w:val="20"/>
          <w:szCs w:val="20"/>
          <w:color w:val="auto"/>
        </w:rPr>
      </w:pPr>
      <w:r>
        <w:rPr>
          <w:rFonts w:ascii="Courier New" w:cs="Courier New" w:eastAsia="Courier New" w:hAnsi="Courier New"/>
          <w:sz w:val="15"/>
          <w:szCs w:val="15"/>
          <w:color w:val="auto"/>
        </w:rPr>
        <w:t>THE INITIAL INVESTOR:</w:t>
      </w:r>
      <w:r>
        <w:rPr>
          <w:sz w:val="20"/>
          <w:szCs w:val="20"/>
          <w:color w:val="auto"/>
        </w:rPr>
        <w:tab/>
      </w:r>
      <w:r>
        <w:rPr>
          <w:rFonts w:ascii="Courier New" w:cs="Courier New" w:eastAsia="Courier New" w:hAnsi="Courier New"/>
          <w:sz w:val="14"/>
          <w:szCs w:val="14"/>
          <w:color w:val="auto"/>
        </w:rPr>
        <w:t>MILLENNIUM PARTNERS, L.P.</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 /s/ Terry Feeny</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5"/>
          <w:szCs w:val="15"/>
          <w:color w:val="auto"/>
        </w:rPr>
        <w:t>Name:</w:t>
        <w:tab/>
        <w:t>Terry Feeny</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Title: Chief Financial Officer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174" w:name="page175"/>
    <w:bookmarkEnd w:id="174"/>
    <w:p>
      <w:pPr>
        <w:jc w:val="center"/>
        <w:ind w:left="1080"/>
        <w:spacing w:after="0"/>
        <w:rPr>
          <w:sz w:val="20"/>
          <w:szCs w:val="20"/>
          <w:color w:val="auto"/>
        </w:rPr>
      </w:pPr>
      <w:r>
        <w:rPr>
          <w:rFonts w:ascii="Courier New" w:cs="Courier New" w:eastAsia="Courier New" w:hAnsi="Courier New"/>
          <w:sz w:val="15"/>
          <w:szCs w:val="15"/>
          <w:color w:val="auto"/>
        </w:rPr>
        <w:t>EXHIBIT 1</w:t>
      </w:r>
    </w:p>
    <w:p>
      <w:pPr>
        <w:spacing w:after="0" w:line="1" w:lineRule="exact"/>
        <w:rPr>
          <w:sz w:val="20"/>
          <w:szCs w:val="20"/>
          <w:color w:val="auto"/>
        </w:rPr>
      </w:pPr>
    </w:p>
    <w:p>
      <w:pPr>
        <w:jc w:val="center"/>
        <w:ind w:left="1180"/>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4"/>
          <w:szCs w:val="14"/>
          <w:color w:val="auto"/>
        </w:rPr>
        <w:t>RIGHTS AGREEMENT</w:t>
      </w:r>
    </w:p>
    <w:p>
      <w:pPr>
        <w:spacing w:after="0" w:line="18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[Company Letterhead]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AGENT'S NAME AND ADDRESS]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This letter shall serve as our irrevocable authorization and direction to you (1) to transfer or re-register the certificates for the shares of Common Stock, $.01 par value (the "Common Stock"), of STEMCELLS, INC., a Delaware corporation (the "Company"), represented by certificate numbers _______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for an aggregate of _______ shares (the "Outstanding Shares") of Common</w:t>
      </w:r>
    </w:p>
    <w:p>
      <w:pPr>
        <w:spacing w:after="0" w:line="12"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Stock presently registered in the name of [Name of Investors] upon surrender of such certificate(s) to you, notwithstanding the legend appearing on such certificates, and (2) to issue shares (the "Warrant Shares") of Common Stock to or upon the order of the holder from time to time on exercise of the Callable Warrant, Common Stock Purchase Warrants, Class A (collectively, the "Warrants") exercisable for Common Stock issued by the Company upon receipt by you of a subscription form from such holder in the form enclosed herewith. The transfer or re-registration of the certificates for the Outstanding Shares by you should be made at such time as you are requested to do so by the record holder of the Outstanding Shares. The certificate issued upon such transfer or re-registration should be registered in such name as requested by the holder of record of the certificate surrendered to you and should not bear any legend which would restrict the transfer of the shares represented thereby. In addition, you are hereby directed to remove any stop-transfer instruction relating to the Outstanding Shares. Certificates for the Warrant Shares should not bear any restrictive legend and should not be subject to any stop-transfer restriction.</w:t>
      </w:r>
    </w:p>
    <w:p>
      <w:pPr>
        <w:spacing w:after="0" w:line="163"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Contemporaneously with the delivery of this letter, the Company is delivering to you the following:</w:t>
      </w:r>
    </w:p>
    <w:p>
      <w:pPr>
        <w:spacing w:after="0" w:line="175" w:lineRule="exact"/>
        <w:rPr>
          <w:sz w:val="20"/>
          <w:szCs w:val="20"/>
          <w:color w:val="auto"/>
        </w:rPr>
      </w:pPr>
    </w:p>
    <w:p>
      <w:pPr>
        <w:ind w:right="3299" w:firstLine="1588"/>
        <w:spacing w:after="0" w:line="239" w:lineRule="auto"/>
        <w:tabs>
          <w:tab w:leader="none" w:pos="1952"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list showing the name and address of each holder of record of the Warrants and the date of issuance, Warrant number, and, in the case of the Callable Warrant, the initial fixed number of shares issuable upon exercise thereof;</w:t>
      </w:r>
    </w:p>
    <w:p>
      <w:pPr>
        <w:spacing w:after="0" w:line="173"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subscription relating to the exercise of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and</w:t>
      </w:r>
    </w:p>
    <w:p>
      <w:pPr>
        <w:spacing w:after="0" w:line="174" w:lineRule="exact"/>
        <w:rPr>
          <w:rFonts w:ascii="Courier New" w:cs="Courier New" w:eastAsia="Courier New" w:hAnsi="Courier New"/>
          <w:sz w:val="15"/>
          <w:szCs w:val="15"/>
          <w:color w:val="auto"/>
        </w:rPr>
      </w:pPr>
    </w:p>
    <w:p>
      <w:pPr>
        <w:ind w:right="3479" w:firstLine="1588"/>
        <w:spacing w:after="0" w:line="264" w:lineRule="auto"/>
        <w:tabs>
          <w:tab w:leader="none" w:pos="1952"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Iris Brest, Vice President and General Counsel of the Company, as to registration of the Outstanding Shares and the Warrant Shares for resale under the Securities Act of 1933, as amended.</w:t>
      </w:r>
    </w:p>
    <w:p>
      <w:pPr>
        <w:sectPr>
          <w:pgSz w:w="11900" w:h="16838" w:orient="portrait"/>
          <w:cols w:equalWidth="0" w:num="1">
            <w:col w:w="10219"/>
          </w:cols>
          <w:pgMar w:left="240" w:top="628" w:right="1440" w:bottom="1440" w:gutter="0" w:footer="0" w:header="0"/>
        </w:sectPr>
      </w:pPr>
    </w:p>
    <w:bookmarkStart w:id="175" w:name="page176"/>
    <w:bookmarkEnd w:id="175"/>
    <w:p>
      <w:pPr>
        <w:ind w:left="780"/>
        <w:spacing w:after="0"/>
        <w:rPr>
          <w:sz w:val="20"/>
          <w:szCs w:val="20"/>
          <w:color w:val="auto"/>
        </w:rPr>
      </w:pPr>
      <w:r>
        <w:rPr>
          <w:rFonts w:ascii="Courier New" w:cs="Courier New" w:eastAsia="Courier New" w:hAnsi="Courier New"/>
          <w:sz w:val="15"/>
          <w:szCs w:val="15"/>
          <w:color w:val="auto"/>
        </w:rPr>
        <w:t>Should you have any questions concerning this matter, please contact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cc:</w:t>
      </w:r>
      <w:r>
        <w:rPr>
          <w:sz w:val="20"/>
          <w:szCs w:val="20"/>
          <w:color w:val="auto"/>
        </w:rPr>
        <w:tab/>
      </w:r>
      <w:r>
        <w:rPr>
          <w:rFonts w:ascii="Courier New" w:cs="Courier New" w:eastAsia="Courier New" w:hAnsi="Courier New"/>
          <w:sz w:val="15"/>
          <w:szCs w:val="15"/>
          <w:color w:val="auto"/>
        </w:rPr>
        <w:t>[Names of Investors]</w:t>
      </w:r>
    </w:p>
    <w:p>
      <w:pPr>
        <w:sectPr>
          <w:pgSz w:w="11900" w:h="16838" w:orient="portrait"/>
          <w:cols w:equalWidth="0" w:num="1">
            <w:col w:w="10219"/>
          </w:cols>
          <w:pgMar w:left="240" w:top="628" w:right="1440" w:bottom="1440" w:gutter="0" w:footer="0" w:header="0"/>
        </w:sectPr>
      </w:pPr>
    </w:p>
    <w:bookmarkStart w:id="176" w:name="page177"/>
    <w:bookmarkEnd w:id="176"/>
    <w:p>
      <w:pPr>
        <w:jc w:val="center"/>
        <w:ind w:left="1260"/>
        <w:spacing w:after="0"/>
        <w:rPr>
          <w:sz w:val="20"/>
          <w:szCs w:val="20"/>
          <w:color w:val="auto"/>
        </w:rPr>
      </w:pPr>
      <w:r>
        <w:rPr>
          <w:rFonts w:ascii="Courier New" w:cs="Courier New" w:eastAsia="Courier New" w:hAnsi="Courier New"/>
          <w:sz w:val="15"/>
          <w:szCs w:val="15"/>
          <w:color w:val="auto"/>
        </w:rPr>
        <w:t>EXHIBIT 2</w:t>
      </w:r>
    </w:p>
    <w:p>
      <w:pPr>
        <w:spacing w:after="0" w:line="1" w:lineRule="exact"/>
        <w:rPr>
          <w:sz w:val="20"/>
          <w:szCs w:val="20"/>
          <w:color w:val="auto"/>
        </w:rPr>
      </w:pPr>
    </w:p>
    <w:p>
      <w:pPr>
        <w:jc w:val="center"/>
        <w:ind w:left="1000"/>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4"/>
          <w:szCs w:val="14"/>
          <w:color w:val="auto"/>
        </w:rPr>
        <w:t>RIGHTS AGREEMENT</w:t>
      </w:r>
    </w:p>
    <w:p>
      <w:pPr>
        <w:spacing w:after="0" w:line="180"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[SEC Effective Date]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 and Addresses of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SHARES OF COMMON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I am Vice President and General Counsel of STEMCELLS, INC., a Delaware corporation (the "Company"), and I understand that the Company has sold to [Names of Investors] (the "Holders") an aggregate of ________ shares (the</w:t>
      </w:r>
    </w:p>
    <w:p>
      <w:pPr>
        <w:spacing w:after="0" w:line="1"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"Common Shares") of the Company's Common Stock, $.01 par value (the "Common Stock"), and issued to the Holders a Callable Warrant, a Common Stock Purchase Warrant, Class A (collectively, the "Warrants"). The Common Shares were sold, and the Warrants were issued, to the Holders pursuant to a Subscription Agreement, dated as of June 21, 2001, by and between Millennium Partners, L.P. (the "Initial Investor") and the Company (the "Subscription Agreement"). Pursuant to the Registration Rights Agreement, dated as of June 21, 2001, by and between the Company and the Initial Investor (the "Registration Rights Agreement") entered into in connection with the purchase by the Initial Investor of the Common Shares, the Company agreed with each Holder, among other things, to register for resale (1) the Common Shares and (2) the shares (the "Warrant Shares") of Common Stock issuable upon exercise of the Warrants under the Securities Act of 1933, as amended (the "1933 Act"), upon the terms provided in the Registration Rights Agreement. The Common Shares and the Warrant Shares are referred to herein collectively as the "Shares." Pursuant to the Registration Rights Agreement, on _______, _____ the Company filed a Registration Statement</w:t>
      </w:r>
    </w:p>
    <w:p>
      <w:pPr>
        <w:spacing w:after="0"/>
        <w:rPr>
          <w:sz w:val="20"/>
          <w:szCs w:val="20"/>
          <w:color w:val="auto"/>
        </w:rPr>
      </w:pPr>
      <w:r>
        <w:rPr>
          <w:rFonts w:ascii="Courier New" w:cs="Courier New" w:eastAsia="Courier New" w:hAnsi="Courier New"/>
          <w:sz w:val="15"/>
          <w:szCs w:val="15"/>
          <w:color w:val="auto"/>
        </w:rPr>
        <w:t>on Form ___ (File No. __________) (the "Registration Statement") with the</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Securities and Exchange Commission (the "SEC") relating to the Shares, which names the Holders as selling stockholders thereunder.</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[Other introductory and scope of examination language to be inserted]</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Based on the foregoing, I am of the opinion that:</w:t>
      </w:r>
    </w:p>
    <w:p>
      <w:pPr>
        <w:spacing w:after="0" w:line="174" w:lineRule="exact"/>
        <w:rPr>
          <w:sz w:val="20"/>
          <w:szCs w:val="20"/>
          <w:color w:val="auto"/>
        </w:rPr>
      </w:pPr>
    </w:p>
    <w:p>
      <w:pPr>
        <w:jc w:val="both"/>
        <w:ind w:right="3119" w:firstLine="790"/>
        <w:spacing w:after="0" w:line="239" w:lineRule="auto"/>
        <w:tabs>
          <w:tab w:leader="none" w:pos="115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Closing Date, the Company has timely filed with the SEC all forms, reports and other documents required to be filed with the SEC under the Securities 1934 Act of 1934, as amended (the "1934 Act"). All of such forms, reports and other documents complied,</w:t>
      </w:r>
    </w:p>
    <w:p>
      <w:pPr>
        <w:sectPr>
          <w:pgSz w:w="11900" w:h="16838" w:orient="portrait"/>
          <w:cols w:equalWidth="0" w:num="1">
            <w:col w:w="10219"/>
          </w:cols>
          <w:pgMar w:left="240" w:top="628" w:right="1440" w:bottom="1440" w:gutter="0" w:footer="0" w:header="0"/>
        </w:sectPr>
      </w:pPr>
    </w:p>
    <w:bookmarkStart w:id="177" w:name="page178"/>
    <w:bookmarkEnd w:id="177"/>
    <w:p>
      <w:pPr>
        <w:ind w:right="3399"/>
        <w:spacing w:after="0" w:line="238" w:lineRule="auto"/>
        <w:rPr>
          <w:sz w:val="20"/>
          <w:szCs w:val="20"/>
          <w:color w:val="auto"/>
        </w:rPr>
      </w:pPr>
      <w:r>
        <w:rPr>
          <w:rFonts w:ascii="Courier New" w:cs="Courier New" w:eastAsia="Courier New" w:hAnsi="Courier New"/>
          <w:sz w:val="15"/>
          <w:szCs w:val="15"/>
          <w:color w:val="auto"/>
        </w:rPr>
        <w:t>when filed, in all material respects, with all applicable requirements of the 1933 Act and the 1934 Act;</w:t>
      </w:r>
    </w:p>
    <w:p>
      <w:pPr>
        <w:spacing w:after="0" w:line="175" w:lineRule="exact"/>
        <w:rPr>
          <w:sz w:val="20"/>
          <w:szCs w:val="20"/>
          <w:color w:val="auto"/>
        </w:rPr>
      </w:pPr>
    </w:p>
    <w:p>
      <w:pPr>
        <w:ind w:right="3119" w:firstLine="790"/>
        <w:spacing w:after="0" w:line="260" w:lineRule="auto"/>
        <w:tabs>
          <w:tab w:leader="none" w:pos="1154"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contained therein (other than the financial statements and financial schedules and other financial and statistical information contained or incorporated by reference therein, as to which I have not been requested to and do not express any opinion) comply as to form in all material respects with the applicable requirements of the 1933 Act and the rules and regulations promulgated thereunder; and</w:t>
      </w:r>
    </w:p>
    <w:p>
      <w:pPr>
        <w:spacing w:after="0" w:line="163" w:lineRule="exact"/>
        <w:rPr>
          <w:rFonts w:ascii="Courier New" w:cs="Courier New" w:eastAsia="Courier New" w:hAnsi="Courier New"/>
          <w:sz w:val="14"/>
          <w:szCs w:val="14"/>
          <w:color w:val="auto"/>
        </w:rPr>
      </w:pPr>
    </w:p>
    <w:p>
      <w:pPr>
        <w:ind w:right="3119" w:firstLine="790"/>
        <w:spacing w:after="0"/>
        <w:tabs>
          <w:tab w:leader="none" w:pos="1154"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has become effective under the 1933 Act, to the best of my knowledge after due inquiry, no stop order proceedings with respect thereto have been instituted or threatened by the SEC. The Shares have been registered under the 1933 Act and may be resold by the respective Holders pursuant to the Registration Statement.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 have participated in the preparation of the Registration Statement and the Prospectus, including review and discussions with officers and other representatives of the Company, representatives of the independent public accountants for the Company, and your representatives at which the contents of the Registration Statement and the Prospectus contained therein and related matters were discussed, and, although I am not passing upon and do not assume any responsibility for the accuracy, completeness or fairness of the statements contained in the Registration Statement and the Prospectus contained therein, on the basis of the foregoing, nothing has come to my attention that leads me to believe either that the Registration Statement at the time the Registration Statement became effective contained an untrue statement of a material fact or omitted to state a material fact required to be stated therein or necessary to make the statements therein not misleading, or that the Prospectus contained in the Registration Statement, as of its date, contained an untrue statement of a material fact or omitted to state a material fact required to be stated therein or necessary to make the statements therein, in the light of the circumstances under which they were made, not misleading (it being understood that I have not been requested to and do not express any view with respect to the financial statements and schedules and other financial and statistical data included or incorporated by reference in the Registration Statement or the Prospectus contained therein).</w:t>
      </w:r>
    </w:p>
    <w:p>
      <w:pPr>
        <w:spacing w:after="0" w:line="18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Paragraph (3) of this opinion may be relied upon by ____________,</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Transfer Agent and Registrar (the "Transfer Agent"), as if addressed to the Transfer Agent.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cc:</w:t>
      </w:r>
      <w:r>
        <w:rPr>
          <w:sz w:val="20"/>
          <w:szCs w:val="20"/>
          <w:color w:val="auto"/>
        </w:rPr>
        <w:tab/>
      </w:r>
      <w:r>
        <w:rPr>
          <w:rFonts w:ascii="Courier New" w:cs="Courier New" w:eastAsia="Courier New" w:hAnsi="Courier New"/>
          <w:sz w:val="15"/>
          <w:szCs w:val="15"/>
          <w:color w:val="auto"/>
        </w:rPr>
        <w:t>[TRANSFER AGENT]</w:t>
      </w:r>
    </w:p>
    <w:p>
      <w:pPr>
        <w:sectPr>
          <w:pgSz w:w="11900" w:h="16838" w:orient="portrait"/>
          <w:cols w:equalWidth="0" w:num="1">
            <w:col w:w="10219"/>
          </w:cols>
          <w:pgMar w:left="240" w:top="631" w:right="1440" w:bottom="1440" w:gutter="0" w:footer="0" w:header="0"/>
        </w:sectPr>
      </w:pPr>
    </w:p>
    <w:bookmarkStart w:id="178" w:name="page179"/>
    <w:bookmarkEnd w:id="178"/>
    <w:p>
      <w:pPr>
        <w:jc w:val="right"/>
        <w:ind w:right="3119"/>
        <w:spacing w:after="0" w:line="271" w:lineRule="auto"/>
        <w:rPr>
          <w:sz w:val="20"/>
          <w:szCs w:val="20"/>
          <w:color w:val="auto"/>
        </w:rPr>
      </w:pPr>
      <w:r>
        <w:rPr>
          <w:rFonts w:ascii="Courier New" w:cs="Courier New" w:eastAsia="Courier New" w:hAnsi="Courier New"/>
          <w:sz w:val="14"/>
          <w:szCs w:val="14"/>
          <w:color w:val="auto"/>
        </w:rPr>
        <w:t>================================================================================ EXHIBIT 10.56</w:t>
      </w:r>
    </w:p>
    <w:p>
      <w:pPr>
        <w:spacing w:after="0" w:line="15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SUBSCRIPTION AGREEMENT</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DATED AS OF JUNE 21, 2001</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 AND BETWEEN</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MILLENNIUM PARTNERS, L.P.</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COMMON STOCK, CALLABLE WARRANTS</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COMMON STOCK PURCHASE WARRANTS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3" w:right="1440" w:bottom="1440" w:gutter="0" w:footer="0" w:header="0"/>
        </w:sectPr>
      </w:pPr>
    </w:p>
    <w:bookmarkStart w:id="179" w:name="page180"/>
    <w:bookmarkEnd w:id="179"/>
    <w:p>
      <w:pPr>
        <w:ind w:left="9" w:right="3219" w:firstLine="1597"/>
        <w:spacing w:after="0"/>
        <w:rPr>
          <w:sz w:val="20"/>
          <w:szCs w:val="20"/>
          <w:color w:val="auto"/>
        </w:rPr>
      </w:pPr>
      <w:r>
        <w:rPr>
          <w:rFonts w:ascii="Courier New" w:cs="Courier New" w:eastAsia="Courier New" w:hAnsi="Courier New"/>
          <w:sz w:val="15"/>
          <w:szCs w:val="15"/>
          <w:color w:val="auto"/>
        </w:rPr>
        <w:t>THIS SUBSCRIPTION AGREEMENT, dated as of June 21, 2001, (this "Agreement") by and between STEMCELLS, INC., a Delaware corporation (the "Company"), with headquarters located at 3155 Porter Drive, Palo Alto, California 94304, and Millennium Partners, L.P., a Cayman Islands limited partnership (the "Buyer").</w:t>
      </w:r>
    </w:p>
    <w:p>
      <w:pPr>
        <w:spacing w:after="0" w:line="172"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WHEREAS, the Buyer and the Company are parties to that certain subscription agreement, dated as of July 31, 2000 (the "Prior Subscription Agreement"), pursuant to which the Company, among other things, issued shares of the Company's Common Stock to the Buyer and granted the Buyer the option ("Option") to purchase additional shares of Common Stock pursuant to Section 5 of the Prior Subscription Agreement;</w:t>
      </w:r>
    </w:p>
    <w:p>
      <w:pPr>
        <w:spacing w:after="0" w:line="175" w:lineRule="exact"/>
        <w:rPr>
          <w:sz w:val="20"/>
          <w:szCs w:val="20"/>
          <w:color w:val="auto"/>
        </w:rPr>
      </w:pPr>
    </w:p>
    <w:p>
      <w:pPr>
        <w:ind w:left="9" w:right="3299" w:firstLine="1597"/>
        <w:spacing w:after="0" w:line="261" w:lineRule="auto"/>
        <w:rPr>
          <w:sz w:val="20"/>
          <w:szCs w:val="20"/>
          <w:color w:val="auto"/>
        </w:rPr>
      </w:pPr>
      <w:r>
        <w:rPr>
          <w:rFonts w:ascii="Courier New" w:cs="Courier New" w:eastAsia="Courier New" w:hAnsi="Courier New"/>
          <w:sz w:val="14"/>
          <w:szCs w:val="14"/>
          <w:color w:val="auto"/>
        </w:rPr>
        <w:t>WHEREAS, on June 8, 2001, the Buyer exercised all of its remaining Option to purchase, upon the terms and subject to the conditions of this Agreement and the terms of Section 5 of the Prior Subscription Agreement, shares of Common Stock, $.01 par value (the "Common Stock"), of the Company having an aggregate purchase price of Two Million Dollars ($2,000,000); and</w:t>
      </w:r>
    </w:p>
    <w:p>
      <w:pPr>
        <w:spacing w:after="0" w:line="162"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WHEREAS, the Company and the Buyer are executing and delivering this Agreement in reliance upon the exemption from securities registration afforded by Rule 506 of Regulation D as promulgated by the Securities and Exchange Commission (the "SEC") under the Securities Act of 1933, as amended (the "1933 Act");</w:t>
      </w:r>
    </w:p>
    <w:p>
      <w:pPr>
        <w:spacing w:after="0" w:line="174"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and other good and valuable consideration, the receipt and sufficiency of which are hereby acknowledged, the parties agree as follows:</w:t>
      </w:r>
    </w:p>
    <w:p>
      <w:pPr>
        <w:spacing w:after="0" w:line="174" w:lineRule="exact"/>
        <w:rPr>
          <w:sz w:val="20"/>
          <w:szCs w:val="20"/>
          <w:color w:val="auto"/>
        </w:rPr>
      </w:pPr>
    </w:p>
    <w:p>
      <w:pPr>
        <w:ind w:left="1869" w:hanging="272"/>
        <w:spacing w:after="0"/>
        <w:tabs>
          <w:tab w:leader="none" w:pos="1869"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SUBSCRIBE; PURCHASE PRICE.</w:t>
      </w:r>
    </w:p>
    <w:p>
      <w:pPr>
        <w:spacing w:after="0" w:line="174" w:lineRule="exact"/>
        <w:rPr>
          <w:rFonts w:ascii="Courier New" w:cs="Courier New" w:eastAsia="Courier New" w:hAnsi="Courier New"/>
          <w:sz w:val="15"/>
          <w:szCs w:val="15"/>
          <w:color w:val="auto"/>
        </w:rPr>
      </w:pPr>
    </w:p>
    <w:p>
      <w:pPr>
        <w:ind w:left="9" w:right="3119" w:hanging="9"/>
        <w:spacing w:after="0"/>
        <w:tabs>
          <w:tab w:leader="none" w:pos="364"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SUBSCRIPTION. The Buyer hereby agrees to purchase from the Company, and the Company hereby agrees to sell to the Buyer, the number of shares (the "Common Shares") of Common Stock set forth on the signature page of this Agreement at the price per share and for the aggregate purchase price set forth on the signature page of this Agreement (the "Purchase Price"). The Purchase Price shall be payable in United States dollars. In connection with the purchase of the Common Shares by the Buyer, the Company shall issue to the Buyer, at the closing on the Closing Date (as defined herein), (1) Callable Warrants in the form attached hereto as ANNEX I (the "Callable Warrants") to purchase the number of shares of Common Stock set forth therein (subject to adjustment as provided in the Callable Warrants) and (2) Common Stock Purchase Warrants, Class A, in the form attached hereto as ANNEX II (the "Class A Warrants") to purchase the number of shares of Common Stock set forth therein (subject to adjustment as provided in the Class A Warrants). The Callable Warrants and the Class A Warrants are referred to herein collectively as the "Warrants." The shares of Common Stock issuable upon exercise of the Warrants are referred to herein as the "Warrant Shares." The Common Shares and the Warrant Shares are referred to herein collectively as the "Shares." The Shares and the Warrants are referred to herein collectively as the "Securities."</w:t>
      </w:r>
    </w:p>
    <w:p>
      <w:pPr>
        <w:sectPr>
          <w:pgSz w:w="11900" w:h="16838" w:orient="portrait"/>
          <w:cols w:equalWidth="0" w:num="1">
            <w:col w:w="10228"/>
          </w:cols>
          <w:pgMar w:left="231" w:top="631" w:right="1440" w:bottom="1440" w:gutter="0" w:footer="0" w:header="0"/>
        </w:sectPr>
      </w:pPr>
    </w:p>
    <w:bookmarkStart w:id="180" w:name="page181"/>
    <w:bookmarkEnd w:id="180"/>
    <w:p>
      <w:pPr>
        <w:ind w:left="789" w:hanging="789"/>
        <w:spacing w:after="0"/>
        <w:tabs>
          <w:tab w:leader="none" w:pos="789"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w:t>
      </w:r>
    </w:p>
    <w:p>
      <w:pPr>
        <w:spacing w:after="0" w:line="174" w:lineRule="exact"/>
        <w:rPr>
          <w:rFonts w:ascii="Courier New" w:cs="Courier New" w:eastAsia="Courier New" w:hAnsi="Courier New"/>
          <w:sz w:val="15"/>
          <w:szCs w:val="15"/>
          <w:color w:val="auto"/>
        </w:rPr>
      </w:pPr>
    </w:p>
    <w:p>
      <w:pPr>
        <w:ind w:left="9" w:right="3399" w:firstLine="1588"/>
        <w:spacing w:after="0" w:line="261" w:lineRule="auto"/>
        <w:tabs>
          <w:tab w:leader="none" w:pos="196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TIMING. Subject to the fulfillment or waiver of the conditions set forth in Section 6 hereof, the purchase and sale of the Common Shares and Warrants shall take place at a closing (the "CLOSING") on the date hereof or such other date as the Buyer and the Company may agree upon (the "Closing Date") at the offices of Kleinberg, Kaplan, Wolff &amp; Cohen, P.C.</w:t>
      </w:r>
    </w:p>
    <w:p>
      <w:pPr>
        <w:spacing w:after="0" w:line="161" w:lineRule="exact"/>
        <w:rPr>
          <w:rFonts w:ascii="Courier New" w:cs="Courier New" w:eastAsia="Courier New" w:hAnsi="Courier New"/>
          <w:sz w:val="14"/>
          <w:szCs w:val="14"/>
          <w:color w:val="auto"/>
        </w:rPr>
      </w:pPr>
    </w:p>
    <w:p>
      <w:pPr>
        <w:ind w:left="9" w:right="3119" w:firstLine="1588"/>
        <w:spacing w:after="0" w:line="259" w:lineRule="auto"/>
        <w:tabs>
          <w:tab w:leader="none" w:pos="196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AND TIMING OF PAYMENT. The Buyer shall pay the Purchase Price for the Common Shares by delivering (A) 75% of the Purchase Price to the Company on the Closing Date and (B) 25% of the Purchase Price to the Company on the date on which the Registration Statement (as defined in the registration rights agreement, dated as of June 21, 2001, between the Company and the Buyer (the "Registration Rights Agreement")) becomes effective (or such later date which is two (2) business days after Buyer receives written notice of the date of such effectiveness). Upon Closing, the Company shall deliver (A) instructions to its registrar and transfer agent regarding the issuance of the certificates for all the Common Shares and shall cause its registrar and transfer agent to deliver such certificates to Buyer as soon as possible after Closing and (B) the Warrants, registered in the corporate securities records of the Company and on the certificates in the name of the Buyer or its nominee, to the Buyer (or Kleinberg, Kaplan, Wolff &amp; Cohen, P.C. on behalf of the Buyer).</w:t>
      </w:r>
    </w:p>
    <w:p>
      <w:pPr>
        <w:spacing w:after="0" w:line="163" w:lineRule="exact"/>
        <w:rPr>
          <w:rFonts w:ascii="Courier New" w:cs="Courier New" w:eastAsia="Courier New" w:hAnsi="Courier New"/>
          <w:sz w:val="14"/>
          <w:szCs w:val="14"/>
          <w:color w:val="auto"/>
        </w:rPr>
      </w:pPr>
    </w:p>
    <w:p>
      <w:pPr>
        <w:ind w:left="9" w:right="3119" w:hanging="9"/>
        <w:spacing w:after="0" w:line="239" w:lineRule="auto"/>
        <w:tabs>
          <w:tab w:leader="none" w:pos="36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Payment of the Purchase Price for the Common Shares shall be made in U.S. Dollars by wire transfer of funds to an account designated by the Company.</w:t>
      </w:r>
    </w:p>
    <w:p>
      <w:pPr>
        <w:spacing w:after="0" w:line="175" w:lineRule="exact"/>
        <w:rPr>
          <w:sz w:val="20"/>
          <w:szCs w:val="20"/>
          <w:color w:val="auto"/>
        </w:rPr>
      </w:pPr>
    </w:p>
    <w:p>
      <w:pPr>
        <w:ind w:left="9" w:right="3299" w:firstLine="2396"/>
        <w:spacing w:after="0" w:line="239" w:lineRule="auto"/>
        <w:rPr>
          <w:sz w:val="20"/>
          <w:szCs w:val="20"/>
          <w:color w:val="auto"/>
        </w:rPr>
      </w:pPr>
      <w:r>
        <w:rPr>
          <w:rFonts w:ascii="Courier New" w:cs="Courier New" w:eastAsia="Courier New" w:hAnsi="Courier New"/>
          <w:sz w:val="15"/>
          <w:szCs w:val="15"/>
          <w:color w:val="auto"/>
        </w:rPr>
        <w:t>As used in this Agreement, the term "Business Day" means any day other than a Saturday, Sunday or other day on which commercial banks in the City of New York are authorized or required by law to remain closed.</w:t>
      </w:r>
    </w:p>
    <w:p>
      <w:pPr>
        <w:spacing w:after="0" w:line="174" w:lineRule="exact"/>
        <w:rPr>
          <w:sz w:val="20"/>
          <w:szCs w:val="20"/>
          <w:color w:val="auto"/>
        </w:rPr>
      </w:pPr>
    </w:p>
    <w:p>
      <w:pPr>
        <w:ind w:left="2129" w:hanging="532"/>
        <w:spacing w:after="0"/>
        <w:tabs>
          <w:tab w:leader="none" w:pos="2129"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REPRESENTATIONS, WARRANTIES, ETC.</w:t>
      </w:r>
    </w:p>
    <w:p>
      <w:pPr>
        <w:spacing w:after="0" w:line="174" w:lineRule="exact"/>
        <w:rPr>
          <w:sz w:val="20"/>
          <w:szCs w:val="20"/>
          <w:color w:val="auto"/>
        </w:rPr>
      </w:pPr>
    </w:p>
    <w:p>
      <w:pPr>
        <w:ind w:left="9" w:right="3119" w:firstLine="1597"/>
        <w:spacing w:after="0" w:line="238" w:lineRule="auto"/>
        <w:rPr>
          <w:sz w:val="20"/>
          <w:szCs w:val="20"/>
          <w:color w:val="auto"/>
        </w:rPr>
      </w:pPr>
      <w:r>
        <w:rPr>
          <w:rFonts w:ascii="Courier New" w:cs="Courier New" w:eastAsia="Courier New" w:hAnsi="Courier New"/>
          <w:sz w:val="15"/>
          <w:szCs w:val="15"/>
          <w:color w:val="auto"/>
        </w:rPr>
        <w:t>The Buyer represents and warrants to, and covenants and agrees with, the Company as follows:</w:t>
      </w:r>
    </w:p>
    <w:p>
      <w:pPr>
        <w:spacing w:after="0" w:line="175" w:lineRule="exact"/>
        <w:rPr>
          <w:sz w:val="20"/>
          <w:szCs w:val="20"/>
          <w:color w:val="auto"/>
        </w:rPr>
      </w:pPr>
    </w:p>
    <w:p>
      <w:pPr>
        <w:ind w:left="789" w:right="3119" w:firstLine="808"/>
        <w:spacing w:after="0"/>
        <w:tabs>
          <w:tab w:leader="none" w:pos="1943"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BUYER STATUS; SOPHISTICATED BUYER. The Buyer is an "accredited investor" as that term is defined in Rule 501(a) of Regulation D under the 1933 Act. The Buyer has such knowledge and experience in financial and business matters that it is capable of evaluating the merits and risks of investment in the Common Shares, the Warrants and Warrant Shares.</w:t>
      </w:r>
    </w:p>
    <w:p>
      <w:pPr>
        <w:spacing w:after="0" w:line="175" w:lineRule="exact"/>
        <w:rPr>
          <w:rFonts w:ascii="Courier New" w:cs="Courier New" w:eastAsia="Courier New" w:hAnsi="Courier New"/>
          <w:sz w:val="15"/>
          <w:szCs w:val="15"/>
          <w:color w:val="auto"/>
        </w:rPr>
      </w:pPr>
    </w:p>
    <w:p>
      <w:pPr>
        <w:ind w:left="789" w:right="3119" w:firstLine="808"/>
        <w:spacing w:after="0"/>
        <w:tabs>
          <w:tab w:leader="none" w:pos="1943"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The Buyer and its advisors, if any, have been furnished with all materials relating to the business, finances and operations of the Company which have been requested and materials relating to the offer and sale of the Common Shares, the Warrants and Warrant Shares which have been requested by the Buyer. The Buyer and its advisors, if any, have been afforded the opportunity to ask questions of the Company. Neither such inquiries nor any other due diligence investigations conducted by the Buyer or its advisors, if any, or its representatives shall modify, amend or affect the Buyer's right to rely on the Company's representations and warranties contained in Section 3 below. The Buyer understands that its investment in the Common Shares, the Warrants and</w:t>
      </w:r>
    </w:p>
    <w:p>
      <w:pPr>
        <w:spacing w:after="0" w:line="34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628" w:right="1440" w:bottom="1440" w:gutter="0" w:footer="0" w:header="0"/>
        </w:sectPr>
      </w:pPr>
    </w:p>
    <w:bookmarkStart w:id="181" w:name="page182"/>
    <w:bookmarkEnd w:id="181"/>
    <w:p>
      <w:pPr>
        <w:ind w:right="3119"/>
        <w:spacing w:after="0" w:line="239" w:lineRule="auto"/>
        <w:rPr>
          <w:sz w:val="20"/>
          <w:szCs w:val="20"/>
          <w:color w:val="auto"/>
        </w:rPr>
      </w:pPr>
      <w:r>
        <w:rPr>
          <w:rFonts w:ascii="Courier New" w:cs="Courier New" w:eastAsia="Courier New" w:hAnsi="Courier New"/>
          <w:sz w:val="15"/>
          <w:szCs w:val="15"/>
          <w:color w:val="auto"/>
        </w:rPr>
        <w:t>Warrant Shares involves a high degree of risk. The Buyer has sought such accounting, legal and tax advice as it has considered necessary to make an informed investment decision with respect to its acquisition of the Common Shares, the Warrants and Warrant Shares.</w:t>
      </w:r>
    </w:p>
    <w:p>
      <w:pPr>
        <w:spacing w:after="0" w:line="176" w:lineRule="exact"/>
        <w:rPr>
          <w:sz w:val="20"/>
          <w:szCs w:val="20"/>
          <w:color w:val="auto"/>
        </w:rPr>
      </w:pPr>
    </w:p>
    <w:p>
      <w:pPr>
        <w:ind w:right="3119" w:firstLine="808"/>
        <w:spacing w:after="0"/>
        <w:tabs>
          <w:tab w:leader="none" w:pos="1154"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The Company shall issue certificates for the Common Shares, the Warrants and Warrant Shares to the Buyer without any legend except as described herein. The Buyer covenants that, in connection with any transfer of Shares by the Buyer pursuant to the registration statement contemplated by the Registration Rights Agreement, it will comply with the applicable prospectus delivery requirements of the 1933 Act, provided that copies of a current prospectus relating to such effective registration statement are or have been supplied to the Buyer.</w:t>
      </w:r>
    </w:p>
    <w:p>
      <w:pPr>
        <w:spacing w:after="0" w:line="177"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ENFORCEMENT. Each of this Agreement and the Registration Rights Agreement has been duly and validly authorized, executed and delivered on behalf of the Buyer and is a valid and binding agreement of the Buyer enforceable against the Buyer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 The Buyer has the requisite corporate power and authority to enter into and perform its obligations under this Agreement and the Registration Rights Agreement and each other agreement entered into by the parties hereto in connection with the transactions contemplated by this Agreement.</w:t>
      </w:r>
    </w:p>
    <w:p>
      <w:pPr>
        <w:spacing w:after="0" w:line="180" w:lineRule="exact"/>
        <w:rPr>
          <w:rFonts w:ascii="Courier New" w:cs="Courier New" w:eastAsia="Courier New" w:hAnsi="Courier New"/>
          <w:sz w:val="15"/>
          <w:szCs w:val="15"/>
          <w:color w:val="auto"/>
        </w:rPr>
      </w:pPr>
    </w:p>
    <w:p>
      <w:pPr>
        <w:ind w:right="3119" w:firstLine="808"/>
        <w:spacing w:after="0" w:line="261" w:lineRule="auto"/>
        <w:tabs>
          <w:tab w:leader="none" w:pos="1154"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CONFLICTS. The execution, delivery and performance of this Agreement and the Registration Rights Agreement by the Buyer and the consummation by the Buyer of the transactions contemplated hereby and thereby will not result in a violation of the certificate of incorporation, by-laws or other documents of organization of the Buyer.</w:t>
      </w:r>
    </w:p>
    <w:p>
      <w:pPr>
        <w:spacing w:after="0" w:line="161" w:lineRule="exact"/>
        <w:rPr>
          <w:rFonts w:ascii="Courier New" w:cs="Courier New" w:eastAsia="Courier New" w:hAnsi="Courier New"/>
          <w:sz w:val="14"/>
          <w:szCs w:val="14"/>
          <w:color w:val="auto"/>
        </w:rPr>
      </w:pPr>
    </w:p>
    <w:p>
      <w:pPr>
        <w:ind w:right="3119" w:firstLine="808"/>
        <w:spacing w:after="0"/>
        <w:tabs>
          <w:tab w:leader="none" w:pos="1154"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 The Buyer is purchasing the Common Shares and the Warrants for its own account and not with a view to distribution in violation of any securities laws. The Buyer has been advised and understands that neither the Common Shares, the Warrants nor the Warrant Shares issuable upon exercise thereof have been registered under the 1933 Act or under the "blue sky" laws of any jurisdiction and may be resold only if registered pursuant to the provisions of the 1933 Act or if an exemption from registration is available, except under circumstances where neither such registration nor such an exemption is required by law. The Buyer has been advised and understands that the Company, in issuing the Common Shares and the Warrant, is relying upon, among other things, the representations and warranties of the Buyer contained in this Section 3 in concluding that such issuance is a "private offering" and is exempt from the registration provisions of the 1933 Act.</w:t>
      </w:r>
    </w:p>
    <w:p>
      <w:pPr>
        <w:spacing w:after="0" w:line="35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39"/>
          </w:cols>
          <w:pgMar w:left="1020" w:top="631" w:right="1440" w:bottom="1440" w:gutter="0" w:footer="0" w:header="0"/>
        </w:sectPr>
      </w:pPr>
    </w:p>
    <w:bookmarkStart w:id="182" w:name="page183"/>
    <w:bookmarkEnd w:id="182"/>
    <w:p>
      <w:pPr>
        <w:ind w:left="780" w:right="3219" w:firstLine="808"/>
        <w:spacing w:after="0"/>
        <w:tabs>
          <w:tab w:leader="none" w:pos="1934"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144. The Buyer understands that there is no public trading market for the Warrants and that none is expected to develop. The Buyer understands that the Common Shares, the Warrants and the Warrant Shares received upon conversion or exercise thereof must be held indefinitely unless and until registered under the 1933 Act or an exemption from registration is available. The Buyer is aware of the provisions of Rule 144 promulgated under the 1933 Act.</w:t>
      </w:r>
    </w:p>
    <w:p>
      <w:pPr>
        <w:spacing w:after="0" w:line="175" w:lineRule="exact"/>
        <w:rPr>
          <w:rFonts w:ascii="Courier New" w:cs="Courier New" w:eastAsia="Courier New" w:hAnsi="Courier New"/>
          <w:sz w:val="15"/>
          <w:szCs w:val="15"/>
          <w:color w:val="auto"/>
        </w:rPr>
      </w:pPr>
    </w:p>
    <w:p>
      <w:pPr>
        <w:ind w:left="780" w:right="3119" w:firstLine="808"/>
        <w:spacing w:after="0" w:line="260" w:lineRule="auto"/>
        <w:tabs>
          <w:tab w:leader="none" w:pos="1934"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RELIANCE BY THE COMPANY. The Buyer understands that the Common Shares and the Warrants are being offered and sold in reliance on a transactional exemption from the registration requirements of Federal and state securities laws and that the Company is relying upon the truth and accuracy of the representations, warranties, agreements, acknowledgments and understandings of the Buyer set forth herein in order to determine the applicability of such exemptions and the suitability of the Buyer to acquire the Common Shares and the Warrants.</w:t>
      </w:r>
    </w:p>
    <w:p>
      <w:pPr>
        <w:spacing w:after="0" w:line="159" w:lineRule="exact"/>
        <w:rPr>
          <w:sz w:val="20"/>
          <w:szCs w:val="20"/>
          <w:color w:val="auto"/>
        </w:rPr>
      </w:pPr>
    </w:p>
    <w:p>
      <w:pPr>
        <w:ind w:left="2120" w:hanging="532"/>
        <w:spacing w:after="0"/>
        <w:tabs>
          <w:tab w:leader="none" w:pos="212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REPRESENTATIONS, WARRANTIES, ETC.</w:t>
      </w:r>
    </w:p>
    <w:p>
      <w:pPr>
        <w:spacing w:after="0" w:line="174" w:lineRule="exact"/>
        <w:rPr>
          <w:sz w:val="20"/>
          <w:szCs w:val="20"/>
          <w:color w:val="auto"/>
        </w:rPr>
      </w:pPr>
    </w:p>
    <w:p>
      <w:pPr>
        <w:ind w:right="3579" w:firstLine="1597"/>
        <w:spacing w:after="0" w:line="239" w:lineRule="auto"/>
        <w:rPr>
          <w:sz w:val="20"/>
          <w:szCs w:val="20"/>
          <w:color w:val="auto"/>
        </w:rPr>
      </w:pPr>
      <w:r>
        <w:rPr>
          <w:rFonts w:ascii="Courier New" w:cs="Courier New" w:eastAsia="Courier New" w:hAnsi="Courier New"/>
          <w:sz w:val="15"/>
          <w:szCs w:val="15"/>
          <w:color w:val="auto"/>
        </w:rPr>
        <w:t>The Company represents and warrants to, and covenants and agrees with, the Buyer that, except as set forth in the schedules attached hereto:</w:t>
      </w:r>
    </w:p>
    <w:p>
      <w:pPr>
        <w:spacing w:after="0" w:line="175" w:lineRule="exact"/>
        <w:rPr>
          <w:sz w:val="20"/>
          <w:szCs w:val="20"/>
          <w:color w:val="auto"/>
        </w:rPr>
      </w:pPr>
    </w:p>
    <w:p>
      <w:pPr>
        <w:ind w:left="780" w:right="3119" w:firstLine="808"/>
        <w:spacing w:after="0" w:line="258" w:lineRule="auto"/>
        <w:tabs>
          <w:tab w:leader="none" w:pos="1934"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QUALIFICATION; MATERIAL ADVERSE EFFECT. The Company is a corporation duly incorporated and existing in good standing under the laws of the State of Delaware and has the requisite corporate power to own its properties and to carry on its business as now being conducted. The Company does not have any Subsidiary other than StemCells California, Inc. (the "SUBSIDIARY". The Subsidiary is duly organized, and validly existing and in good standing under the laws of its jurisdiction of formation. Except where specifically indicated to the contrary, all references in this Agreement to Subsidiary shall be deemed to refer to the Subsidiary of the Company. The Company is duly qualified as a foreign corporation to do business and is in good standing in every jurisdiction in which the nature of the business conducted or property owned by it makes such qualification necessary other than those in which the failure so to qualify would not have a Material Adverse Effect. "MATERIAL ADVERSE EFFECT" means any adverse effect on the business, operations, properties, prospects or financial condition of the Company and its Subsidiary, which is (either alone or together with all other adverse effects) material to the Company and its Subsidiary, taken as a whole, and any material adverse effect on the transactions contemplated under this Agreement, the Certificate, and the Registration Rights Agreement, or any other agreement or document contemplated hereby or thereby.</w:t>
      </w:r>
    </w:p>
    <w:p>
      <w:pPr>
        <w:spacing w:after="0" w:line="344" w:lineRule="exact"/>
        <w:rPr>
          <w:rFonts w:ascii="Courier New" w:cs="Courier New" w:eastAsia="Courier New" w:hAnsi="Courier New"/>
          <w:sz w:val="14"/>
          <w:szCs w:val="14"/>
          <w:color w:val="auto"/>
        </w:rPr>
      </w:pPr>
    </w:p>
    <w:p>
      <w:pPr>
        <w:ind w:left="780" w:right="3219" w:firstLine="808"/>
        <w:spacing w:after="0"/>
        <w:tabs>
          <w:tab w:leader="none" w:pos="1934"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ENFORCEMENT. (i) The Company has all requisite corporate power and authority to enter into and perform this Agreement, the Registration Rights Agreement and the Warrants ("TRANSACTION DOCUMENTS") and to issue the Common Shares and the Warrants in accordance with the terms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83" w:name="page184"/>
    <w:bookmarkEnd w:id="183"/>
    <w:p>
      <w:pPr>
        <w:ind w:right="3119"/>
        <w:spacing w:after="0" w:line="258" w:lineRule="auto"/>
        <w:rPr>
          <w:sz w:val="20"/>
          <w:szCs w:val="20"/>
          <w:color w:val="auto"/>
        </w:rPr>
      </w:pPr>
      <w:r>
        <w:rPr>
          <w:rFonts w:ascii="Courier New" w:cs="Courier New" w:eastAsia="Courier New" w:hAnsi="Courier New"/>
          <w:sz w:val="14"/>
          <w:szCs w:val="14"/>
          <w:color w:val="auto"/>
        </w:rPr>
        <w:t>hereof, (ii) the execution and delivery of this Agreement, the Registration Rights Agreement, and the Warrants by the Company and the consummation by it of the transactions contemplated hereby and thereby, including the issuance of the Common Shares and the Warrants, have been duly authorized by all necessary corporate action, and no further consent or authorization of the Company or its Board of Directors (or any committee or subcommittee thereof) or stockholders is required,</w:t>
      </w:r>
    </w:p>
    <w:p>
      <w:pPr>
        <w:spacing w:after="0" w:line="1" w:lineRule="exact"/>
        <w:rPr>
          <w:sz w:val="20"/>
          <w:szCs w:val="20"/>
          <w:color w:val="auto"/>
        </w:rPr>
      </w:pPr>
    </w:p>
    <w:p>
      <w:pPr>
        <w:ind w:right="3119" w:firstLine="10"/>
        <w:spacing w:after="0" w:line="259" w:lineRule="auto"/>
        <w:tabs>
          <w:tab w:leader="none" w:pos="53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the Registration Rights Agreement, and the Warrants have been duly executed and delivered by the Company, (iv) this Agreement, the Registration Rights Agreement, and the Warrants constitute valid and binding obligations of the Company enforceable against the Company in accordance with their terms, except (A) as such enforceability may be limited by applicable bankruptcy, insolvency, reorganization, moratorium, liquidation or similar laws relating to, or affecting generally the enforcement of creditors' rights and remedies or by other equitable principles of general application, and (B) to the extent the indemnification provisions contained in this Agreement and the Registration Rights Agreement may be limited by applicable federal or state securities laws and (v) the Common Shares, the Warrants, and the Warrant Shares issuable upon the exercise thereof have been duly authorized and, upon issuance thereof and payment therefor in accordance with the terms of this Agreement, the Common Shares, the Warrants, and the Warrant Shares issuable upon the exercise thereof will be validly issued, fully paid and non-assessable, free and clear of any and all liens, claims and encumbrances.</w:t>
      </w:r>
    </w:p>
    <w:p>
      <w:pPr>
        <w:spacing w:after="0" w:line="333" w:lineRule="exact"/>
        <w:rPr>
          <w:rFonts w:ascii="Courier New" w:cs="Courier New" w:eastAsia="Courier New" w:hAnsi="Courier New"/>
          <w:sz w:val="14"/>
          <w:szCs w:val="14"/>
          <w:color w:val="auto"/>
        </w:rPr>
      </w:pPr>
    </w:p>
    <w:p>
      <w:pPr>
        <w:ind w:right="3119" w:firstLine="808"/>
        <w:spacing w:after="0"/>
        <w:tabs>
          <w:tab w:leader="none" w:pos="1154"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As of the date hereof, the authorized capital stock of the Company consists of (i) 45,000,000 shares of Common Stock, of which, as of May 31, 2001, 21,470,385 shares were issued and outstanding, and, as of the date hereof, 6,748,502 shares are issuable and reserved for issuance pursuant to the Company's stock option and purchase plans and committed pursuant to pending acquisitions, and, as of the date hereof, other than pursuant to the Prior Subscription Agreement and the Warrants issued in connection therewith and the Warrants issued to the Buyer on August 30, 2000, approximately 947,300 shares are issuable pursuant to securities (other than options and purchase plans referred to above), exercisable or exchangeable for, or convertible into, shares of Common Stock, and approximately 1,369,600 shares are reserved for issuance pursuant to such securities and (ii) 1,000,000 shares of preferred stock, of which, as of the date hereof, (A) 2,626 shares are currently designated as 6% Cumulative Convertible Preferred Stock, 1,500 shares of which are issued and outstanding and (B) 450,000 shares are designated as Junior Preferred Shares, none of which are issued or outstanding. All of such outstanding shares have been, or upon issuance will be, validly issued, fully paid and nonassessable. As of the date hereof, except as disclosed in SCHEDULE 3(c) or pursuant to the Prior Subscription Agreement and Warrants issued pursuant thereto, (i) no shares of the Company's capital stock are subject to preemptive rights or any other similar rights or any liens or encumbrances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w:t>
      </w:r>
    </w:p>
    <w:p>
      <w:pPr>
        <w:spacing w:after="0" w:line="36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9"/>
          </w:cols>
          <w:pgMar w:left="1020" w:top="631" w:right="1440" w:bottom="1440" w:gutter="0" w:footer="0" w:header="0"/>
        </w:sectPr>
      </w:pPr>
    </w:p>
    <w:bookmarkStart w:id="184" w:name="page185"/>
    <w:bookmarkEnd w:id="184"/>
    <w:p>
      <w:pPr>
        <w:ind w:right="3119"/>
        <w:spacing w:after="0" w:line="258" w:lineRule="auto"/>
        <w:rPr>
          <w:sz w:val="20"/>
          <w:szCs w:val="20"/>
          <w:color w:val="auto"/>
        </w:rPr>
      </w:pPr>
      <w:r>
        <w:rPr>
          <w:rFonts w:ascii="Courier New" w:cs="Courier New" w:eastAsia="Courier New" w:hAnsi="Courier New"/>
          <w:sz w:val="14"/>
          <w:szCs w:val="14"/>
          <w:color w:val="auto"/>
        </w:rPr>
        <w:t>Company or its Subsidiary, or contracts, commitments, understandings or arrangements by which the Company or its Subsidiary is or may become bound to issue additional shares of capital stock of the Company or its Subsidiary or options, warrants, scrip, rights to subscribe to, calls or commitments of any character whatsoever relating to, or securities or rights convertible into, any shares of capital stock of the Company or its Subsidiary, (iv) there are no agreements or arrangements under which the Company or its Subsidiary is obligated to register the sale of any of their securities under the Securities Act of 1933, as amended ("Securities Act" or "1933 Act") (except the Registration Rights Agreement and except as set forth on SCHEDULE 3(c)), (v) there are no outstanding securities of the Company or its Subsidiary which contain any redemption or similar provisions, and there are no contracts, commitments, understandings or arrangements by which the Company or its Subsidiary is or may become bound to redeem a security of the Company or its Subsidiary, (vi) there are no securities or instruments containing anti-dilution or similar provisions that will be triggered by the issuance of the Common Shares or the Warrants as described in this Agreement or the Warrants and (vii) the Company does not have any stock appreciation rights or "phantom stock" plans or agreements or any similar plan or agreement. The Company has furnished to the Buyer true and correct copies of the Company's Certificate of Incorporation, as amended and as in effect on the date hereof (the "CERTIFICATE OF INCORPORATION"), and the Company's By-laws, as in effect on the date hereof (the "BY-LAWS").</w:t>
      </w:r>
    </w:p>
    <w:p>
      <w:pPr>
        <w:spacing w:after="0" w:line="345" w:lineRule="exact"/>
        <w:rPr>
          <w:sz w:val="20"/>
          <w:szCs w:val="20"/>
          <w:color w:val="auto"/>
        </w:rPr>
      </w:pPr>
    </w:p>
    <w:p>
      <w:pPr>
        <w:ind w:right="3119" w:firstLine="808"/>
        <w:spacing w:after="0"/>
        <w:tabs>
          <w:tab w:leader="none" w:pos="1154"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 The execution, delivery and performance of the Transaction Documents by the Company and the consummation by the Company of the transactions contemplated hereby and thereby and the issuance of Common Shares, the Warrants, and the Warrant Shares underlying the Warrants will not (i) result in a violation of the Certificate of Incorporation, any certificate of designations, preferences and rights of any outstanding series of preferred stock of the Company or the By-laws;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Subsidiary is a party, or (iii) result in a violation of any law, rule, regulation, order, judgment or decree (including United States federal and state securities laws and regulations and the rules and regulations of the Nasdaq National Market (the "PRINCIPAL MARKET") or other principal securities exchange or trading market on which the Common Stock is traded or listed) applicable to the Company or its Subsidiary or by which any property or asset of the Company or its Subsidiary is bound or affected. Neither the Company nor its Subsidiary is in violation of any term of, or in default under, (x) its certificate of incorporation, any certificate of designations, preferences and rights of any outstanding series of preferred stock or By-laws or their organizational charter or by-laws, respectively, (y) any material contract, agreement, mortgage, indebtedness, indenture, instrument, or (z) any judgment, decree or order or any statute, rule or regulation applicable to the Company or its Subsidiary, the non-compliance with which (in the cases of (y) and (z)) would cause a Material Adverse Effect. Except as specifically contemplated by this</w:t>
      </w:r>
    </w:p>
    <w:p>
      <w:pPr>
        <w:spacing w:after="0" w:line="36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39"/>
          </w:cols>
          <w:pgMar w:left="1020" w:top="631" w:right="1440" w:bottom="1440" w:gutter="0" w:footer="0" w:header="0"/>
        </w:sectPr>
      </w:pPr>
    </w:p>
    <w:bookmarkStart w:id="185" w:name="page186"/>
    <w:bookmarkEnd w:id="185"/>
    <w:p>
      <w:pPr>
        <w:ind w:right="3119"/>
        <w:spacing w:after="0"/>
        <w:rPr>
          <w:sz w:val="20"/>
          <w:szCs w:val="20"/>
          <w:color w:val="auto"/>
        </w:rPr>
      </w:pPr>
      <w:r>
        <w:rPr>
          <w:rFonts w:ascii="Courier New" w:cs="Courier New" w:eastAsia="Courier New" w:hAnsi="Courier New"/>
          <w:sz w:val="15"/>
          <w:szCs w:val="15"/>
          <w:color w:val="auto"/>
        </w:rPr>
        <w:t>Agreement and as required under the 1933 Act or state "blue sky" laws, the Company is not required to obtain any consent, authorization or order of, or make any filing or registration with, any court, governmental agency or any regulatory or self-regulatory agency in order for it to execute, deliver or perform any of its obligations under, or contemplated by, the Transaction Documents or the issuance of the Common Shares and the Warrants in accordance with the terms hereof or thereof. All consents, authorizations, orders, filings and registrations which the Company is required to obtain pursuant to the preceding sentence have been obtained or effected on or prior to the date hereof, or in the case of post-sale filings, will be made promptly after the date hereof. The Company complies with and is not in violation of the listing requirements of the Principal Market as in effect on the date hereof in all material respects and on the Closing Date and is not aware of any existing facts which provide a basis for delisting or suspension of the Common Stock by the Principal Market.</w:t>
      </w:r>
    </w:p>
    <w:p>
      <w:pPr>
        <w:spacing w:after="0" w:line="183" w:lineRule="exact"/>
        <w:rPr>
          <w:sz w:val="20"/>
          <w:szCs w:val="20"/>
          <w:color w:val="auto"/>
        </w:rPr>
      </w:pPr>
    </w:p>
    <w:p>
      <w:pPr>
        <w:ind w:right="3119" w:firstLine="808"/>
        <w:spacing w:after="0" w:line="258" w:lineRule="auto"/>
        <w:tabs>
          <w:tab w:leader="none" w:pos="1154"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FINANCIAL STATEMENTS. Since December 31, 1998,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incorporated by reference therein being hereinafter referred to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Neither the Company nor its Subsidiary or any of their officers, directors, employees or agents have provided the Buyer with any material, nonpublic information which was not publicly disclosed prior to the date hereof.</w:t>
      </w:r>
    </w:p>
    <w:p>
      <w:pPr>
        <w:spacing w:after="0" w:line="346" w:lineRule="exact"/>
        <w:rPr>
          <w:rFonts w:ascii="Courier New" w:cs="Courier New" w:eastAsia="Courier New" w:hAnsi="Courier New"/>
          <w:sz w:val="14"/>
          <w:szCs w:val="14"/>
          <w:color w:val="auto"/>
        </w:rPr>
      </w:pPr>
    </w:p>
    <w:p>
      <w:pPr>
        <w:ind w:right="3119" w:firstLine="808"/>
        <w:spacing w:after="0" w:line="239" w:lineRule="auto"/>
        <w:tabs>
          <w:tab w:leader="none" w:pos="1154"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Except as set forth in the SEC Documents identified on Schedule 3(f) hereto, since December 31, 1998 there has been no adverse change or adverse development in the business, properties,</w:t>
      </w:r>
    </w:p>
    <w:p>
      <w:pPr>
        <w:spacing w:after="0" w:line="34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9"/>
          </w:cols>
          <w:pgMar w:left="1020" w:top="631" w:right="1440" w:bottom="1440" w:gutter="0" w:footer="0" w:header="0"/>
        </w:sectPr>
      </w:pPr>
    </w:p>
    <w:bookmarkStart w:id="186" w:name="page187"/>
    <w:bookmarkEnd w:id="186"/>
    <w:p>
      <w:pPr>
        <w:ind w:right="3119"/>
        <w:spacing w:after="0"/>
        <w:rPr>
          <w:sz w:val="20"/>
          <w:szCs w:val="20"/>
          <w:color w:val="auto"/>
        </w:rPr>
      </w:pPr>
      <w:r>
        <w:rPr>
          <w:rFonts w:ascii="Courier New" w:cs="Courier New" w:eastAsia="Courier New" w:hAnsi="Courier New"/>
          <w:sz w:val="15"/>
          <w:szCs w:val="15"/>
          <w:color w:val="auto"/>
        </w:rPr>
        <w:t>assets, operations, financial condition, prospects, liabilities or results of operations of the Company or its Subsidiary which has had or, to the knowledge of the Company or its Subsidiary, is reasonably likely to have a Material Adverse Effect. The Company has not taken any steps, and does not currently expect to take any steps, to seek protection pursuant to any bankruptcy law nor does the Company or its Subsidiary have any knowledge or reason to believe that its creditors intend to initiate involuntary bankruptcy proceedings.</w:t>
      </w:r>
    </w:p>
    <w:p>
      <w:pPr>
        <w:spacing w:after="0" w:line="177" w:lineRule="exact"/>
        <w:rPr>
          <w:sz w:val="20"/>
          <w:szCs w:val="20"/>
          <w:color w:val="auto"/>
        </w:rPr>
      </w:pPr>
    </w:p>
    <w:p>
      <w:pPr>
        <w:ind w:right="3219" w:firstLine="808"/>
        <w:spacing w:after="0"/>
        <w:tabs>
          <w:tab w:leader="none" w:pos="115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LITIGATION. There is no action, suit, proceeding, inquiry or investigation before or by any court, public board, government agency, self-regulatory organization or body pending or, to the knowledge of the Company or its Subsidiary, threatened against or affecting the Company, the Common Stock or any of the Company's Subsidiary or any of the Company's or the Company's Subsidiary's officers or directors in their capacities as such, which individually and in the aggregate, respectively, would be reasonably likely to result in liability to the Company in excess of $50,000 and $100,000, respectively.</w:t>
      </w:r>
    </w:p>
    <w:p>
      <w:pPr>
        <w:spacing w:after="0" w:line="178"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REGARDING BUYER'S PURCHASE OF SHARES. The Company acknowledges and agrees that the Buyer is acting solely in the capacity of arm's length purchaser with respect to the Transaction Documents and the transactions contemplated hereby and thereby. The Company further acknowledges that the Buyer is not acting as financial advisor or fiduciary of the Company (or in any similar capacity) with respect to the Transaction Documents and the transactions contemplated hereby and thereby, and any advice given by the Buyer or any of its respective representatives or agents in connection with the Transaction Documents and the transactions contemplated hereby and thereby is merely incidental to the Buyer's purchase of the Common Shares. The Company further represents to the Buyer that the Company's decision to enter into the Transaction Documents has been based solely on the independent evaluation by the Company and its representatives.</w:t>
      </w:r>
    </w:p>
    <w:p>
      <w:pPr>
        <w:spacing w:after="0" w:line="181" w:lineRule="exact"/>
        <w:rPr>
          <w:rFonts w:ascii="Courier New" w:cs="Courier New" w:eastAsia="Courier New" w:hAnsi="Courier New"/>
          <w:sz w:val="15"/>
          <w:szCs w:val="15"/>
          <w:color w:val="auto"/>
        </w:rPr>
      </w:pPr>
    </w:p>
    <w:p>
      <w:pPr>
        <w:ind w:right="3299" w:firstLine="808"/>
        <w:spacing w:after="0"/>
        <w:tabs>
          <w:tab w:leader="none" w:pos="115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EVENTS, LIABILITIES, DEVELOPMENTS OR CIRCUMSTANCES. No event, liability, development or circumstance has occurred or exists with respect to the Company or its Subsidiary or their respective business, properties, prospects, operations or financial condition, that would be required to be disclosed by the Company under applicable securities laws in a registration statement filed with the SEC relating to an issuance and sale by the Company of its Common Stock and which has not been publicly disclosed.</w:t>
      </w:r>
    </w:p>
    <w:p>
      <w:pPr>
        <w:spacing w:after="0" w:line="176"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INSIDE INFORMATION. The Company has not provided and, the Company shall not provide, the Buyer with any non-public information, except to the extent that the Buyer exercises its right to review a registration statement containing material non-public information (after receiving written notice of the existence of such content) and except in the case of the Buyer's exercising rights pursuant to Section 4(i) of the Prior Subscription Agreement.</w:t>
      </w:r>
    </w:p>
    <w:p>
      <w:pPr>
        <w:spacing w:after="0" w:line="34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39"/>
          </w:cols>
          <w:pgMar w:left="1020" w:top="631" w:right="1440" w:bottom="1440" w:gutter="0" w:footer="0" w:header="0"/>
        </w:sectPr>
      </w:pPr>
    </w:p>
    <w:bookmarkStart w:id="187" w:name="page188"/>
    <w:bookmarkEnd w:id="187"/>
    <w:p>
      <w:pPr>
        <w:ind w:left="-420" w:right="3299" w:firstLine="808"/>
        <w:spacing w:after="0" w:line="239" w:lineRule="auto"/>
        <w:tabs>
          <w:tab w:leader="none" w:pos="734"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SECURITIES ACT REGISTRATION. The sale and issuance of the Common Shares and Warrants in accordance with terms of this Agreement and the issuance of Warrant Shares upon exercise of the Warrants are exempt from registration under the 1933 Act.</w:t>
      </w:r>
    </w:p>
    <w:p>
      <w:pPr>
        <w:spacing w:after="0" w:line="176" w:lineRule="exact"/>
        <w:rPr>
          <w:rFonts w:ascii="Courier New" w:cs="Courier New" w:eastAsia="Courier New" w:hAnsi="Courier New"/>
          <w:sz w:val="15"/>
          <w:szCs w:val="15"/>
          <w:color w:val="auto"/>
        </w:rPr>
      </w:pPr>
    </w:p>
    <w:p>
      <w:pPr>
        <w:ind w:left="-420" w:right="3119" w:firstLine="808"/>
        <w:spacing w:after="0" w:line="259" w:lineRule="auto"/>
        <w:tabs>
          <w:tab w:leader="none" w:pos="734"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RELATIONS. Neither the Company nor its Subsidiary is involved in any labor dispute nor, to the knowledge of the Company or its Subsidiary, is any such dispute threatened, the effect of which would be reasonably likely to result in a Material Adverse Effect. Neither the Company nor its Subsidiary is a party to a collective bargaining agreement. The Company and its Subsidiary believe that relations between the Company and its Subsidiary and their respective employees are good. No executive officer (as defined in Rule 501(f) of the 1933 Act) whose departure would be adverse to the Company has notified the Company that such officer intends to leave the Company or otherwise terminate such officer's employment with the Company.</w:t>
      </w:r>
    </w:p>
    <w:p>
      <w:pPr>
        <w:spacing w:after="0" w:line="165" w:lineRule="exact"/>
        <w:rPr>
          <w:rFonts w:ascii="Courier New" w:cs="Courier New" w:eastAsia="Courier New" w:hAnsi="Courier New"/>
          <w:sz w:val="14"/>
          <w:szCs w:val="14"/>
          <w:color w:val="auto"/>
        </w:rPr>
      </w:pPr>
    </w:p>
    <w:p>
      <w:pPr>
        <w:ind w:left="-420" w:right="3119" w:firstLine="808"/>
        <w:spacing w:after="0" w:line="258" w:lineRule="auto"/>
        <w:tabs>
          <w:tab w:leader="none" w:pos="734"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RIGHTS. The Company and its Subsidiary own or possess adequate rights or licenses to use all trademarks, trade names, service marks, service mark registrations, service names, patents, patent rights, copyrights, inventions, licenses, approvals, governmental authorizations, trade secrets and rights necessary to conduct their respective businesses as now conducted. None of the Company's trademarks, trade names, service marks, service mark registrations, service names, patents, patent rights, copyrights, inventions, licenses, approvals, government authorizations, trade secrets or other intellectual property rights have expired or terminated, or are expected to expire or terminate within two (2) years from the date of this Agreement except as would not have a Material Adverse Effect. The Company and its Subsidiary do not have any knowledge of any infringement by the Company or its Subsidiary of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no claim, action or proceeding has been made or brought against, or to the Company's knowledge, is threatened against, the Company or its Subsidiary regarding trademarks, trade name rights, patents, patent rights, inventions, copyrights, licenses, service names, service marks, service mark registrations, trade secrets or other infringement. The Company and its Subsidiary have taken reasonable security measures to protect the secrecy, confidentiality and value of all of their intellectual properties.</w:t>
      </w:r>
    </w:p>
    <w:p>
      <w:pPr>
        <w:spacing w:after="0" w:line="345" w:lineRule="exact"/>
        <w:rPr>
          <w:rFonts w:ascii="Courier New" w:cs="Courier New" w:eastAsia="Courier New" w:hAnsi="Courier New"/>
          <w:sz w:val="14"/>
          <w:szCs w:val="14"/>
          <w:color w:val="auto"/>
        </w:rPr>
      </w:pPr>
    </w:p>
    <w:p>
      <w:pPr>
        <w:ind w:left="-420" w:right="3119" w:firstLine="808"/>
        <w:spacing w:after="0" w:line="259" w:lineRule="auto"/>
        <w:tabs>
          <w:tab w:leader="none" w:pos="734"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APPROVAL RULE. Other than pursuant to the Prior Subscription Agreement or the August 30, 2000 Subscription Agreement, the Company has not issued any shares of Common Stock or shares of any series of preferred stock or other securities convertible into, exchangeable for or otherwise entitling the holder to acquire shares of Common Stock which may be subject to Rule 4350(i)(1)(D) of Nasdaq as in effect from time to time or any successor, replacement or similar provision thereof or of any other market on which the Common Stock is listed for trading (the "Shareholder Approval Rule") and which</w:t>
      </w:r>
    </w:p>
    <w:p>
      <w:pPr>
        <w:spacing w:after="0" w:line="33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31" w:right="1440" w:bottom="1440" w:gutter="0" w:footer="0" w:header="0"/>
        </w:sectPr>
      </w:pPr>
    </w:p>
    <w:bookmarkStart w:id="188" w:name="page189"/>
    <w:bookmarkEnd w:id="188"/>
    <w:p>
      <w:pPr>
        <w:ind w:right="3219"/>
        <w:spacing w:after="0" w:line="239" w:lineRule="auto"/>
        <w:rPr>
          <w:sz w:val="20"/>
          <w:szCs w:val="20"/>
          <w:color w:val="auto"/>
        </w:rPr>
      </w:pPr>
      <w:r>
        <w:rPr>
          <w:rFonts w:ascii="Courier New" w:cs="Courier New" w:eastAsia="Courier New" w:hAnsi="Courier New"/>
          <w:sz w:val="15"/>
          <w:szCs w:val="15"/>
          <w:color w:val="auto"/>
        </w:rPr>
        <w:t>would be integrated with the sale of the Common Shares to the Buyer or the issuance of Warrant Shares upon exercise of the Warrants for purposes of the Shareholder Approval Rule.</w:t>
      </w:r>
    </w:p>
    <w:p>
      <w:pPr>
        <w:spacing w:after="0" w:line="175" w:lineRule="exact"/>
        <w:rPr>
          <w:sz w:val="20"/>
          <w:szCs w:val="20"/>
          <w:color w:val="auto"/>
        </w:rPr>
      </w:pPr>
    </w:p>
    <w:p>
      <w:pPr>
        <w:ind w:right="3119" w:firstLine="808"/>
        <w:spacing w:after="0"/>
        <w:tabs>
          <w:tab w:leader="none" w:pos="1154"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LAWS. The Company and its Subsidiary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 any such permit, license or approval where such noncompliance or failure to receive permits, licenses or approvals referred to in clauses (i), (ii) or (iii) above could have, individually or in the aggregate, a Material Adverse Effect.</w:t>
      </w:r>
    </w:p>
    <w:p>
      <w:pPr>
        <w:spacing w:after="0" w:line="179"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The Company and its Subsidiary have good and marketable title in fee simple to all real property and good and marketable title to all personal property owned by them which is material to the business of the Company and its Subsidiary, in each case free and clear of all liens, encumbrances and defects except such as are described in SCHEDULE 3(p) or in the SEC Documents listed in SCHEDULE 3(p) or such as do not materially and adversely affect the value of such property and do not interfere with the use made and proposed to be made of such property by the Company or its Subsidiary. Any real property and facilities held under lease by the Company or its Subsidiary are held by them under valid, subsisting and enforceable leases with such exceptions as are not material and do not interfere with the use made and proposed to be made of such property and buildings by the Company and its Subsidiary.</w:t>
      </w:r>
    </w:p>
    <w:p>
      <w:pPr>
        <w:spacing w:after="0" w:line="181"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Company and its Subsidiary are insured by insurers of recognized financial responsibility against such losses and risks and in such amounts as management of the Company believes to be prudent and customary in the businesses in which the Company and its Subsidiary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and its Subsidiary taken as a whole.</w:t>
      </w:r>
    </w:p>
    <w:p>
      <w:pPr>
        <w:spacing w:after="0" w:line="180"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PERMITS. The Company and its Subsidiary possess all material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34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39"/>
          </w:cols>
          <w:pgMar w:left="1020" w:top="631" w:right="1440" w:bottom="1440" w:gutter="0" w:footer="0" w:header="0"/>
        </w:sectPr>
      </w:pPr>
    </w:p>
    <w:bookmarkStart w:id="189" w:name="page190"/>
    <w:bookmarkEnd w:id="189"/>
    <w:p>
      <w:pPr>
        <w:ind w:left="-420" w:right="3119" w:firstLine="808"/>
        <w:spacing w:after="0" w:line="259" w:lineRule="auto"/>
        <w:tabs>
          <w:tab w:leader="none" w:pos="73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ACCOUNTING CONTROLS. The Company and its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65" w:lineRule="exact"/>
        <w:rPr>
          <w:rFonts w:ascii="Courier New" w:cs="Courier New" w:eastAsia="Courier New" w:hAnsi="Courier New"/>
          <w:sz w:val="14"/>
          <w:szCs w:val="14"/>
          <w:color w:val="auto"/>
        </w:rPr>
      </w:pPr>
    </w:p>
    <w:p>
      <w:pPr>
        <w:ind w:left="-420" w:right="3119" w:firstLine="808"/>
        <w:spacing w:after="0"/>
        <w:tabs>
          <w:tab w:leader="none" w:pos="734"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CORRUPT PRACTICES ACT. Neither the Company, nor any director, officer, agent, employee or other person acting on behalf of the Company or any Subsidiary has, in the course of acting for, or on behalf of, the Company, directly or indirectly used any corporate funds for any unlawful contribution, gift, entertainment or other unlawful expenses relating to political activity; directly or indirectly made any direct or indirect unlawful payment to any foreign or domestic government official or employee from corporate funds; violated or is in violation of any provision of the U.S. Foreign Corrupt Practices Act of 1977, as amended, or any similar treaties of the United States; or directly or indirectly made any bribe, rebate, payoff, influence payment, kickback or other unlawful payment to any foreign or domestic government or party official or employee.</w:t>
      </w:r>
    </w:p>
    <w:p>
      <w:pPr>
        <w:spacing w:after="0" w:line="180" w:lineRule="exact"/>
        <w:rPr>
          <w:rFonts w:ascii="Courier New" w:cs="Courier New" w:eastAsia="Courier New" w:hAnsi="Courier New"/>
          <w:sz w:val="15"/>
          <w:szCs w:val="15"/>
          <w:color w:val="auto"/>
        </w:rPr>
      </w:pPr>
    </w:p>
    <w:p>
      <w:pPr>
        <w:ind w:left="-420" w:right="3119" w:firstLine="808"/>
        <w:spacing w:after="0" w:line="259" w:lineRule="auto"/>
        <w:tabs>
          <w:tab w:leader="none" w:pos="73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STATUS. The Company and its Subsidiary has made or filed all United States federal and state income and all other tax returns, reports and declarations required by any jurisdiction to which it is subject and (i) has paid all taxes and other governmental assessments and charges, shown or determined to be due on such returns, reports and declarations, except those being contested in good faith and (ii) has set aside on its books provisions reasonably adequate for the payment of all taxes for periods subsequent to the periods to which such returns, reports or declarations apply. There are no unpaid taxes claimed to be due by the taxing authority of any jurisdiction, and the Company is not aware of any basis for any such claim.</w:t>
      </w:r>
    </w:p>
    <w:p>
      <w:pPr>
        <w:spacing w:after="0" w:line="165" w:lineRule="exact"/>
        <w:rPr>
          <w:rFonts w:ascii="Courier New" w:cs="Courier New" w:eastAsia="Courier New" w:hAnsi="Courier New"/>
          <w:sz w:val="14"/>
          <w:szCs w:val="14"/>
          <w:color w:val="auto"/>
        </w:rPr>
      </w:pPr>
    </w:p>
    <w:p>
      <w:pPr>
        <w:ind w:left="-420" w:right="3119" w:firstLine="808"/>
        <w:spacing w:after="0"/>
        <w:tabs>
          <w:tab w:leader="none" w:pos="734"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TRANSACTIONS. Except as set forth in the SEC Documents filed on EDGAR at least thirty (30) Trading Days prior to the date hereof and except for arm's length transactions pursuant to which the Company makes payments in the ordinary course of business upon terms no less favorable than the Company could obtain from third parties and other than the grant of stock options disclosed on SCHEDULE 3(c), none of the officers, directors or employees of the Company is presently a party to any transaction with the Company or its Subsidiary (other than for services as employees, consultants,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w:t>
      </w:r>
    </w:p>
    <w:p>
      <w:pPr>
        <w:spacing w:after="0" w:line="34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31" w:right="1440" w:bottom="1440" w:gutter="0" w:footer="0" w:header="0"/>
        </w:sectPr>
      </w:pPr>
    </w:p>
    <w:bookmarkStart w:id="190" w:name="page191"/>
    <w:bookmarkEnd w:id="190"/>
    <w:p>
      <w:pPr>
        <w:ind w:right="3399"/>
        <w:spacing w:after="0" w:line="239" w:lineRule="auto"/>
        <w:rPr>
          <w:sz w:val="20"/>
          <w:szCs w:val="20"/>
          <w:color w:val="auto"/>
        </w:rPr>
      </w:pPr>
      <w:r>
        <w:rPr>
          <w:rFonts w:ascii="Courier New" w:cs="Courier New" w:eastAsia="Courier New" w:hAnsi="Courier New"/>
          <w:sz w:val="15"/>
          <w:szCs w:val="15"/>
          <w:color w:val="auto"/>
        </w:rPr>
        <w:t>partnership, trust or other entity in which any officer, director or any such employee has a substantial interest or is an officer, director, trustee or partner.</w:t>
      </w:r>
    </w:p>
    <w:p>
      <w:pPr>
        <w:spacing w:after="0" w:line="175" w:lineRule="exact"/>
        <w:rPr>
          <w:sz w:val="20"/>
          <w:szCs w:val="20"/>
          <w:color w:val="auto"/>
        </w:rPr>
      </w:pPr>
    </w:p>
    <w:p>
      <w:pPr>
        <w:ind w:right="3119" w:firstLine="808"/>
        <w:spacing w:after="0"/>
        <w:tabs>
          <w:tab w:leader="none" w:pos="1154"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DILUTIVE EFFECT. The Company understands and acknowledges that the number of Common Shares issuable upon exercise of the Warrants purchased pursuant to this Agreement will increase in certain circumstances. The Company further acknowledges that, subject to such limitations as are expressly set forth in the Transaction Documents, its obligation to issue Common Shares upon exercise of the Warrants purchased pursuant to this Agreement, is absolute and unconditional regardless of the dilutive effect that such issuance may have on the ownership interests of other shareholders of the Company.</w:t>
      </w:r>
    </w:p>
    <w:p>
      <w:pPr>
        <w:spacing w:after="0" w:line="174" w:lineRule="exact"/>
        <w:rPr>
          <w:rFonts w:ascii="Courier New" w:cs="Courier New" w:eastAsia="Courier New" w:hAnsi="Courier New"/>
          <w:sz w:val="15"/>
          <w:szCs w:val="15"/>
          <w:color w:val="auto"/>
        </w:rPr>
      </w:pPr>
    </w:p>
    <w:p>
      <w:pPr>
        <w:ind w:left="1160" w:hanging="352"/>
        <w:spacing w:after="0"/>
        <w:tabs>
          <w:tab w:leader="none" w:pos="116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TAKEOVER PROTECTIONS. There are no</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anti-takeover provisions contained in the Company's Certificate of Incorporation or otherwise which will be triggered as a result of the transactions contemplated by this Agreement, including, without limitation, the Company's issuance of the Common Shares and the Buyer's ownership of the Common Shares.</w:t>
      </w:r>
    </w:p>
    <w:p>
      <w:pPr>
        <w:spacing w:after="0" w:line="174" w:lineRule="exact"/>
        <w:rPr>
          <w:sz w:val="20"/>
          <w:szCs w:val="20"/>
          <w:color w:val="auto"/>
        </w:rPr>
      </w:pPr>
    </w:p>
    <w:p>
      <w:pPr>
        <w:ind w:right="3119" w:firstLine="808"/>
        <w:spacing w:after="0"/>
        <w:tabs>
          <w:tab w:leader="none" w:pos="1154"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PLAN. The Company confirms that no provision of the Company's rights plan will, under any present or future circumstances, delay, prevent or interfere with the performance of any of the Company's obligations under the Transaction Documents and such plan will not be "triggered" by such performance.</w:t>
      </w:r>
    </w:p>
    <w:p>
      <w:pPr>
        <w:spacing w:after="0" w:line="174"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ABSOLUTE. Each of the Company and the Buyer agrees that, subject only to the conditions, qualifications and exceptions (if any) specifically set forth in the Transaction Documents, its obligations under the Transaction Documents are unconditional and absolute. Except to the extent (if any) specifically set forth in the Transaction Documents, each party's obligations thereunder are not subject to any right of set off, counterclaim, delay or reduction.</w:t>
      </w:r>
    </w:p>
    <w:p>
      <w:pPr>
        <w:spacing w:after="0" w:line="177" w:lineRule="exact"/>
        <w:rPr>
          <w:sz w:val="20"/>
          <w:szCs w:val="20"/>
          <w:color w:val="auto"/>
        </w:rPr>
      </w:pPr>
    </w:p>
    <w:p>
      <w:pPr>
        <w:ind w:right="3119" w:firstLine="808"/>
        <w:spacing w:after="0"/>
        <w:tabs>
          <w:tab w:leader="none" w:pos="1242"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COMMON SHARES. The Common Shares are duly authorized and reserved for issuance and, upon exercise of the Warrants in accordance with the terms thereof, such Common Shares will be validly issued, fully paid and non-assessable, free and clear of any and all liens, claims and encumbrances, and entitled to be traded on the Principal Market or the New York Stock Exchange or the American Stock Exchange, or the Nasdaq small cap market (collectively with the Principal Market, the "APPROVED MARKETS"), and the holders of such Common Shares shall be entitled to all rights and preferences accorded to a holder of Common Stock. As of the date of this Agreement, the outstanding shares of Common Stock are currently listed on the Principal Market.</w:t>
      </w:r>
    </w:p>
    <w:p>
      <w:pPr>
        <w:spacing w:after="0" w:line="179" w:lineRule="exact"/>
        <w:rPr>
          <w:rFonts w:ascii="Courier New" w:cs="Courier New" w:eastAsia="Courier New" w:hAnsi="Courier New"/>
          <w:sz w:val="15"/>
          <w:szCs w:val="15"/>
          <w:color w:val="auto"/>
        </w:rPr>
      </w:pPr>
    </w:p>
    <w:p>
      <w:pPr>
        <w:ind w:right="3119" w:firstLine="808"/>
        <w:spacing w:after="0" w:line="239" w:lineRule="auto"/>
        <w:tabs>
          <w:tab w:leader="none" w:pos="1242"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The Company has taken no action which would give rise to any claim by any person for brokerage commissions, finder's fees or similar payments by the Buyer relating to this Agreement or the transactions contemplated hereby.</w:t>
      </w:r>
    </w:p>
    <w:p>
      <w:pPr>
        <w:spacing w:after="0" w:line="34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39"/>
          </w:cols>
          <w:pgMar w:left="1020" w:top="631" w:right="1440" w:bottom="1440" w:gutter="0" w:footer="0" w:header="0"/>
        </w:sectPr>
      </w:pPr>
    </w:p>
    <w:bookmarkStart w:id="191" w:name="page192"/>
    <w:bookmarkEnd w:id="191"/>
    <w:p>
      <w:pPr>
        <w:ind w:left="2120" w:hanging="532"/>
        <w:spacing w:after="0"/>
        <w:tabs>
          <w:tab w:leader="none" w:pos="212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COVENANTS AND ACKNOWLEDGMENTS.</w:t>
      </w:r>
    </w:p>
    <w:p>
      <w:pPr>
        <w:spacing w:after="0" w:line="174" w:lineRule="exact"/>
        <w:rPr>
          <w:sz w:val="20"/>
          <w:szCs w:val="20"/>
          <w:color w:val="auto"/>
        </w:rPr>
      </w:pPr>
    </w:p>
    <w:p>
      <w:pPr>
        <w:ind w:right="3119" w:firstLine="1588"/>
        <w:spacing w:after="0"/>
        <w:tabs>
          <w:tab w:leader="none" w:pos="1952"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RESTRICTIONS. The Company and the Buyer acknowledge and agree that (A) the Shares and the Warrants have not been and are not being registered under the provisions of the 1933 Act and, except as provided in the Registration Rights Agreement with respect to the resale of the Shares, the Shares have not been and are not being registered for resale under the 1933 Act, and the Securities may not be transferred unless (i) subsequently registered for resale thereunder or (ii) the Buyer shall have delivered to the Company an opinion of counsel, reasonably satisfactory in form, scope and substance to the Company, to the effect that the Securities to be sold or transferred may be sold or transferred pursuant to an exemption from such registration (unless waived) and (B) any resale of the Securities made in reliance on Rule 144 promulgated under the 1933 Act ("Rule 144") may be made only in accordance with the terms of Rule 144 and further, if Rule 144 is not applicable, any such resale of Securities under circumstances in which the seller, or the person through whom the sale is made, may be deemed to be an underwriter, as that term is used in the 1933 Act, may require compliance with some other exemption under the 1933 Act or the rules and regulations of the SEC thereunder.</w:t>
      </w:r>
    </w:p>
    <w:p>
      <w:pPr>
        <w:spacing w:after="0" w:line="184"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LEGEND. (1) The Buyer acknowledges and agrees that the Warrants shall bear a restrictive legend in substantially the following form:</w:t>
      </w:r>
    </w:p>
    <w:p>
      <w:pPr>
        <w:spacing w:after="0" w:line="175" w:lineRule="exact"/>
        <w:rPr>
          <w:sz w:val="20"/>
          <w:szCs w:val="20"/>
          <w:color w:val="auto"/>
        </w:rPr>
      </w:pPr>
    </w:p>
    <w:p>
      <w:pPr>
        <w:ind w:left="780" w:right="3119"/>
        <w:spacing w:after="0" w:line="260" w:lineRule="auto"/>
        <w:rPr>
          <w:sz w:val="20"/>
          <w:szCs w:val="20"/>
          <w:color w:val="auto"/>
        </w:rPr>
      </w:pPr>
      <w:r>
        <w:rPr>
          <w:rFonts w:ascii="Courier New" w:cs="Courier New" w:eastAsia="Courier New" w:hAnsi="Courier New"/>
          <w:sz w:val="14"/>
          <w:szCs w:val="14"/>
          <w:color w:val="auto"/>
        </w:rPr>
        <w:t>The securities represented by this certificate have not been registered under the Securities Act of 1933, as amended. The securities have been acquired for investment and may not be resold, transferred or assigned in the absence of an effective registration statement for the securities under the Securities Act of 1933, as amended, or an opinion of counsel that registration is not required under said Act.</w:t>
      </w:r>
    </w:p>
    <w:p>
      <w:pPr>
        <w:spacing w:after="0" w:line="161" w:lineRule="exact"/>
        <w:rPr>
          <w:sz w:val="20"/>
          <w:szCs w:val="20"/>
          <w:color w:val="auto"/>
        </w:rPr>
      </w:pPr>
    </w:p>
    <w:p>
      <w:pPr>
        <w:ind w:left="2740" w:hanging="353"/>
        <w:spacing w:after="0"/>
        <w:tabs>
          <w:tab w:leader="none" w:pos="274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further acknowledges and agrees that</w:t>
      </w:r>
    </w:p>
    <w:p>
      <w:pPr>
        <w:spacing w:after="0" w:line="3" w:lineRule="exact"/>
        <w:rPr>
          <w:rFonts w:ascii="Courier New" w:cs="Courier New" w:eastAsia="Courier New" w:hAnsi="Courier New"/>
          <w:sz w:val="15"/>
          <w:szCs w:val="15"/>
          <w:color w:val="auto"/>
        </w:rPr>
      </w:pPr>
    </w:p>
    <w:p>
      <w:pPr>
        <w:ind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until such time as the Shares have been registered for resale under the 1933 Act as contemplated by the Registration Rights Agreement, the certificates for the Shares may bear a restrictive legend in substantially the following form:</w:t>
      </w:r>
    </w:p>
    <w:p>
      <w:pPr>
        <w:spacing w:after="0" w:line="175" w:lineRule="exact"/>
        <w:rPr>
          <w:sz w:val="20"/>
          <w:szCs w:val="20"/>
          <w:color w:val="auto"/>
        </w:rPr>
      </w:pPr>
    </w:p>
    <w:p>
      <w:pPr>
        <w:ind w:left="780" w:right="3119"/>
        <w:spacing w:after="0" w:line="260" w:lineRule="auto"/>
        <w:rPr>
          <w:sz w:val="20"/>
          <w:szCs w:val="20"/>
          <w:color w:val="auto"/>
        </w:rPr>
      </w:pPr>
      <w:r>
        <w:rPr>
          <w:rFonts w:ascii="Courier New" w:cs="Courier New" w:eastAsia="Courier New" w:hAnsi="Courier New"/>
          <w:sz w:val="14"/>
          <w:szCs w:val="14"/>
          <w:color w:val="auto"/>
        </w:rPr>
        <w:t>The securities represented by this certificate have not been registered under the Securities Act of 1933, as amended. The securities have been acquired for investment and may not be resold, transferred or assigned in the absence of an effective registration statement for the securities under the Securities Act of 1933, as amended, or an opinion of counsel that registration is not required under said Act.</w:t>
      </w:r>
    </w:p>
    <w:p>
      <w:pPr>
        <w:spacing w:after="0" w:line="161" w:lineRule="exact"/>
        <w:rPr>
          <w:sz w:val="20"/>
          <w:szCs w:val="20"/>
          <w:color w:val="auto"/>
        </w:rPr>
      </w:pPr>
    </w:p>
    <w:p>
      <w:pPr>
        <w:ind w:left="2740" w:hanging="353"/>
        <w:spacing w:after="0"/>
        <w:tabs>
          <w:tab w:leader="none" w:pos="27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the Registration Statement required to be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filed by the Company pursuant to Section 2 of the Registration Rights Agreement has been declared effective, thereafter (1) upon request of the Buyer the Company will substitute certificates without restrictive legend for certificates for all Shares issued prior to the date such Registration Statement is declared effective by the SEC which bear such restrictive legend and remove any stop-transfer restriction relating thereto promptly, but in no event later than three Trading Days (as defined herein) after surrender of such certificates by the Buyer and (2) the Company shall not place any restrictive legend on certificates for Warrant Shares or impose any stop-transfer restriction thereon. As used in this Agreement, "Trading Day" means a day on whichever of (x) the national securities exchange, (y) Nasdaq or (z) the Nasdaq SmallCap Market (if at the time</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8" w:right="1440" w:bottom="1440" w:gutter="0" w:footer="0" w:header="0"/>
        </w:sectPr>
      </w:pPr>
    </w:p>
    <w:bookmarkStart w:id="192" w:name="page193"/>
    <w:bookmarkEnd w:id="192"/>
    <w:p>
      <w:pPr>
        <w:ind w:right="3119"/>
        <w:spacing w:after="0" w:line="238" w:lineRule="auto"/>
        <w:rPr>
          <w:sz w:val="20"/>
          <w:szCs w:val="20"/>
          <w:color w:val="auto"/>
        </w:rPr>
      </w:pPr>
      <w:r>
        <w:rPr>
          <w:rFonts w:ascii="Courier New" w:cs="Courier New" w:eastAsia="Courier New" w:hAnsi="Courier New"/>
          <w:sz w:val="15"/>
          <w:szCs w:val="15"/>
          <w:color w:val="auto"/>
        </w:rPr>
        <w:t>such market constitutes the principal securities market for the Common Stock) is open for general trading.</w:t>
      </w:r>
    </w:p>
    <w:p>
      <w:pPr>
        <w:spacing w:after="0" w:line="175" w:lineRule="exact"/>
        <w:rPr>
          <w:sz w:val="20"/>
          <w:szCs w:val="20"/>
          <w:color w:val="auto"/>
        </w:rPr>
      </w:pPr>
    </w:p>
    <w:p>
      <w:pPr>
        <w:ind w:right="3119" w:firstLine="1588"/>
        <w:spacing w:after="0" w:line="239" w:lineRule="auto"/>
        <w:tabs>
          <w:tab w:leader="none" w:pos="195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AGREEMENT. The parties hereto agree to enter into the Registration Rights Agreement in the form attached hereto as ANNEX III on or before the Closing Date.</w:t>
      </w:r>
    </w:p>
    <w:p>
      <w:pPr>
        <w:spacing w:after="0" w:line="175" w:lineRule="exact"/>
        <w:rPr>
          <w:rFonts w:ascii="Courier New" w:cs="Courier New" w:eastAsia="Courier New" w:hAnsi="Courier New"/>
          <w:sz w:val="15"/>
          <w:szCs w:val="15"/>
          <w:color w:val="auto"/>
        </w:rPr>
      </w:pPr>
    </w:p>
    <w:p>
      <w:pPr>
        <w:ind w:right="3219" w:firstLine="1588"/>
        <w:spacing w:after="0"/>
        <w:tabs>
          <w:tab w:leader="none" w:pos="195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D. The Company agrees to file a Form D with respect to the Securities as required under Regulation D and to provide a copy thereof to the Buyer promptly after such filing. The Buyer agrees to cooperate with the Company in connection with such filing and, upon request of the Company, to provide all information relating to the Buyer reasonably required for such filing.</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FOR TRADING; REPORTING STATUS. On or before the Closing Date, the Company shall, if required, file a notification for listing of additional shares with the Nasdaq relating to the Shares and shall provide evidence of such filing to the Buyer. So long as the Buyer beneficially owns any of the Shares or the Warrants, the Company covenants to timely file (or obtain extensions in respect thereof and file within the applicable grace period) all reports required to be filed by the Company after the date hereof pursuant to Section 13(a) or 15(d) of the Exchange Act; provided, however, that if the Company is not required to file reports pursuant to such sections, it will prepare and furnish to the Purchasers and make publicly available in accordance with Rule 144(c) promulgated under the Securities Act such information as is required for the Purchasers to sell the Securities under Rule 144 promulgated under the Securities Act.</w:t>
      </w:r>
    </w:p>
    <w:p>
      <w:pPr>
        <w:spacing w:after="0" w:line="180" w:lineRule="exact"/>
        <w:rPr>
          <w:rFonts w:ascii="Courier New" w:cs="Courier New" w:eastAsia="Courier New" w:hAnsi="Courier New"/>
          <w:sz w:val="15"/>
          <w:szCs w:val="15"/>
          <w:color w:val="auto"/>
        </w:rPr>
      </w:pPr>
    </w:p>
    <w:p>
      <w:pPr>
        <w:ind w:right="3119" w:firstLine="1588"/>
        <w:spacing w:after="0" w:line="258" w:lineRule="auto"/>
        <w:tabs>
          <w:tab w:leader="none" w:pos="1952"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Neither the Company nor any Subsidiary owns or has any present intention of acquiring any "margin stock" as defined in Regulation G (12 CFR Part 207) of the Board of Governors of the Federal Reserve System ("margin stock"). The proceeds of sale of the Shares will be used for general working capital purposes and in the operation of the Company's business. None of such proceeds will be used, directly or indirectly (1) to make any loan to or investment in any other person (other than financing the Company's subsidiaries in the ordinary course of business or in connection with an acquisition of another corporation or business or assets of another corporation or business) or (2) for the purpose, whether immediate, incidental or ultimate, of purchasing or carrying any margin stock or for the purpose of maintaining, reducing or retiring any indebtedness which was originally incurred to purchase or carry any stock that is currently a margin stock or for any other purpose which might constitute the transactions contemplated by this Agreement a "purpose credit" within the meaning of such Regulation G. Neither the Company nor any agent acting on its behalf has taken or will take any action which might cause this Agreement or the transactions contemplated hereby to violate Regulation G, Regulation T or any other regulation of the Board of Governors of the Federal Reserve System or to violate the 1934 Act, in each case as in effect now or as the same may hereafter be in effect.</w:t>
      </w:r>
    </w:p>
    <w:p>
      <w:pPr>
        <w:spacing w:after="0" w:line="344"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 SKY LAWS. The Company shall take such action as shall be necessary to qualify, or to obtain an exemption for, the Common Shares for sale to the Buyer and the Warrants for issuance to the Buyer pursuant to this Agreement and the Warrant Shares for issuance to the Buyer upon exercise of the Warrants under such of the securities or "blue sky"</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93" w:name="page194"/>
    <w:bookmarkEnd w:id="193"/>
    <w:p>
      <w:pPr>
        <w:ind w:right="3219"/>
        <w:spacing w:after="0"/>
        <w:rPr>
          <w:sz w:val="20"/>
          <w:szCs w:val="20"/>
          <w:color w:val="auto"/>
        </w:rPr>
      </w:pPr>
      <w:r>
        <w:rPr>
          <w:rFonts w:ascii="Courier New" w:cs="Courier New" w:eastAsia="Courier New" w:hAnsi="Courier New"/>
          <w:sz w:val="15"/>
          <w:szCs w:val="15"/>
          <w:color w:val="auto"/>
        </w:rPr>
        <w:t>laws of jurisdictions as shall be applicable to the sale of the Common Shares and the issuance of the Warrants pursuant to this Agreement and the issuance to the Buyer of Warrant Shares upon exercise of the Warrants. The Company shall furnish copies of all filings, applications, orders and grants or confirmations of exemptions relating to such securities or "blue sky" laws.</w:t>
      </w:r>
    </w:p>
    <w:p>
      <w:pPr>
        <w:spacing w:after="0" w:line="174" w:lineRule="exact"/>
        <w:rPr>
          <w:sz w:val="20"/>
          <w:szCs w:val="20"/>
          <w:color w:val="auto"/>
        </w:rPr>
      </w:pPr>
    </w:p>
    <w:p>
      <w:pPr>
        <w:ind w:right="3119" w:firstLine="1588"/>
        <w:spacing w:after="0" w:line="259" w:lineRule="auto"/>
        <w:tabs>
          <w:tab w:leader="none" w:pos="1952"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The parties shall each bear their own expenses in connection with this Agreement, the other Transaction Documents and the transactions contemplated hereby and thereby. In addition, the Company or the Buyer, as the case may be, shall pay on demand all expenses incurred by the other party, including reasonable attorneys' fees and expenses, as a consequence of, or in connection with any default or breach of any of the defaulting or breaching party's obligations set forth in any of such agreements or instruments and the enforcement of any right of, including the collection of any payments due, the other party under any of such agreements or instruments, including any action or proceeding relating to such enforcement, or any order, injunction or other process seeking to restrain a party from paying any amount due the other party, in which the other party prevails, provided that such reimbursable legal fees and expenses do not exceed, in each instance, 35% of the amount sought in good faith to be recovered.</w:t>
      </w:r>
    </w:p>
    <w:p>
      <w:pPr>
        <w:spacing w:after="0" w:line="334"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ISSUANCES OF SECURITIES. Unless the Company obtains the approval of its stockholders as required by the Shareholder Approval Rule or a waiver thereof from Nasdaq, the Company will not issue any shares of Common Stock or shares of any series of preferred stock or other securities convertible into, exchangeable for, or otherwise entitling the holder to acquire, shares of Common Stock which would be subject to the requirements of the Shareholder Approval Rule and which would be integrated with the sale of the Common Shares and issuance of the Warrants to the Buyer or the issuance of Warrant Shares upon exercise of the Warrants for purposes of the Shareholder Approval Rule.</w:t>
      </w:r>
    </w:p>
    <w:p>
      <w:pPr>
        <w:spacing w:after="0" w:line="178"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TRADING RESTRICTIONS. The Buyer agrees that on and after the Closing Date until the Buyer no longer holds any Securities, the Buyer will not engage in any short sales or other hedging transactions (including swaps, options or derivative securities) relating to the Shares; unless at the time of any such transaction the Company is then in breach of its obligations to have the Buyer's Securities duly registered under the Registration Rights Agreement; and PROVIDED, HOWEVER, the Buyer may engage in such short sales and/or hedging activity provided that (i) after the date hereof the Buyer may not sell short a number of shares in excess of the number of Warrant Shares then issuable upon exercise of the Callable Warrants, (ii) no such short sales shall be at a per share price below $3.9375 (as such figure shall be appropriately adjusted for any stock splits, recapitalizations or similar events), and (iii) the aggregate amount of such short sales made on any one day shall not exceed 5% of the total trading volume on such day.</w:t>
      </w:r>
    </w:p>
    <w:p>
      <w:pPr>
        <w:spacing w:after="0" w:line="181"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COMMERCIALLY REASONABLE EFFORTS. Each of the parties shall use commercially reasonable efforts timely to satisfy each of the conditions to the other party's obligations to sell and purchase the Common Shares set forth in Section 7 or 8, as the case may be, of this Agreement on or before the Closing Date.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194" w:name="page195"/>
    <w:bookmarkEnd w:id="194"/>
    <w:p>
      <w:pPr>
        <w:ind w:left="2120" w:hanging="532"/>
        <w:spacing w:after="0"/>
        <w:tabs>
          <w:tab w:leader="none" w:pos="21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LEFT BLANK.</w:t>
      </w:r>
    </w:p>
    <w:p>
      <w:pPr>
        <w:spacing w:after="0" w:line="171" w:lineRule="exact"/>
        <w:rPr>
          <w:rFonts w:ascii="Courier New" w:cs="Courier New" w:eastAsia="Courier New" w:hAnsi="Courier New"/>
          <w:sz w:val="15"/>
          <w:szCs w:val="15"/>
          <w:color w:val="auto"/>
        </w:rPr>
      </w:pPr>
    </w:p>
    <w:p>
      <w:pPr>
        <w:ind w:left="2120" w:hanging="532"/>
        <w:spacing w:after="0"/>
        <w:tabs>
          <w:tab w:leader="none" w:pos="21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Subject to the satisfaction or waiver of the conditions set forth in Sections 7 and 8 below, the date and time of the issuance and sale of the Common Shares and the issuance of the Warrants shall be 12:00 noon, New York City time, on the Closing Date.</w:t>
      </w:r>
    </w:p>
    <w:p>
      <w:pPr>
        <w:spacing w:after="0" w:line="176" w:lineRule="exact"/>
        <w:rPr>
          <w:sz w:val="20"/>
          <w:szCs w:val="20"/>
          <w:color w:val="auto"/>
        </w:rPr>
      </w:pPr>
    </w:p>
    <w:p>
      <w:pPr>
        <w:ind w:left="2120" w:right="3659" w:hanging="532"/>
        <w:spacing w:after="0" w:line="238" w:lineRule="auto"/>
        <w:tabs>
          <w:tab w:leader="none" w:pos="212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THE COMPANY'S OBLIGATION TO SELL AND ISSUE.</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Buyer understands that the Company's obligation to sell the Common Shares and issue the Warrants to the Buyer pursuant to this Agreement is conditioned upon the satisfaction of the following conditions precedent on or before the Closing Date (any or all of which may be waived by the Company in its sole discretion):</w:t>
      </w:r>
    </w:p>
    <w:p>
      <w:pPr>
        <w:spacing w:after="0" w:line="174" w:lineRule="exact"/>
        <w:rPr>
          <w:sz w:val="20"/>
          <w:szCs w:val="20"/>
          <w:color w:val="auto"/>
        </w:rPr>
      </w:pPr>
    </w:p>
    <w:p>
      <w:pPr>
        <w:ind w:right="3839" w:firstLine="1588"/>
        <w:spacing w:after="0" w:line="238" w:lineRule="auto"/>
        <w:tabs>
          <w:tab w:leader="none" w:pos="1952"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Company of the Buyer's executed signature page to this Agreement;</w:t>
      </w:r>
    </w:p>
    <w:p>
      <w:pPr>
        <w:spacing w:after="0" w:line="174" w:lineRule="exact"/>
        <w:rPr>
          <w:rFonts w:ascii="Courier New" w:cs="Courier New" w:eastAsia="Courier New" w:hAnsi="Courier New"/>
          <w:sz w:val="15"/>
          <w:szCs w:val="15"/>
          <w:color w:val="auto"/>
        </w:rPr>
      </w:pPr>
    </w:p>
    <w:p>
      <w:pPr>
        <w:ind w:right="3399" w:firstLine="1588"/>
        <w:spacing w:after="0" w:line="239" w:lineRule="auto"/>
        <w:tabs>
          <w:tab w:leader="none" w:pos="1952"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by the Buyer to the Company of good funds for payment of 75% of the Purchase Price for the Common Shares in accordance with Section 1(b) hereof; and</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accuracy in all material respects on the Closing Date of the representations and warranties of the Buyer contained in this Agreement as if made on the Closing Date and the performance by the Buyer on or before the Closing Date of all covenants and agreements of the Buyer required to be performed on or before the Closing Date, and receipt by the Company of a certificate, dated the Closing Date, of a duly authorized signatory of the Buyer confirming such matters and such other matters as the Company may reasonably request.</w:t>
      </w:r>
    </w:p>
    <w:p>
      <w:pPr>
        <w:spacing w:after="0" w:line="174" w:lineRule="exact"/>
        <w:rPr>
          <w:sz w:val="20"/>
          <w:szCs w:val="20"/>
          <w:color w:val="auto"/>
        </w:rPr>
      </w:pPr>
    </w:p>
    <w:p>
      <w:pPr>
        <w:ind w:left="2120" w:hanging="532"/>
        <w:spacing w:after="0"/>
        <w:tabs>
          <w:tab w:leader="none" w:pos="212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THE BUYER'S OBLIGATION TO PURCHASE.</w:t>
      </w:r>
    </w:p>
    <w:p>
      <w:pPr>
        <w:spacing w:after="0" w:line="174"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The Company understands that the Buyer's obligation to purchase the Common Shares and acquire the Warrants on the Closing Date is conditioned upon the satisfaction of the following conditions precedent on or before the Closing Date (any or all of which may be waived by the Buyer in its sole discretion):</w:t>
      </w:r>
    </w:p>
    <w:p>
      <w:pPr>
        <w:spacing w:after="0" w:line="174" w:lineRule="exact"/>
        <w:rPr>
          <w:sz w:val="20"/>
          <w:szCs w:val="20"/>
          <w:color w:val="auto"/>
        </w:rPr>
      </w:pPr>
    </w:p>
    <w:p>
      <w:pPr>
        <w:ind w:right="3839" w:firstLine="1588"/>
        <w:spacing w:after="0" w:line="238" w:lineRule="auto"/>
        <w:tabs>
          <w:tab w:leader="none" w:pos="1952"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Buyer of the Company's executed signature page to this Agreement;</w:t>
      </w:r>
    </w:p>
    <w:p>
      <w:pPr>
        <w:spacing w:after="0" w:line="174"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by the Company to the Buyer (or its counsel) of the certificates for the Common Shares, the Callable Warrants and the Class A Warrants in accordance with this Agreement;</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accuracy in all material respects on the Closing Date of the representations and warranties of the Company contained in this Agreement as if made on the Closing Date and the performance by the Company on or before the Closing Date of all covenants and agreements of the Company required to be performed on or before the Closing Date, and receipt by the Buyer of a certificate, dated the Closing Date, of the Chief Executive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8" w:right="1440" w:bottom="1440" w:gutter="0" w:footer="0" w:header="0"/>
        </w:sectPr>
      </w:pPr>
    </w:p>
    <w:bookmarkStart w:id="195" w:name="page196"/>
    <w:bookmarkEnd w:id="195"/>
    <w:p>
      <w:pPr>
        <w:ind w:right="3479"/>
        <w:spacing w:after="0" w:line="238" w:lineRule="auto"/>
        <w:rPr>
          <w:sz w:val="20"/>
          <w:szCs w:val="20"/>
          <w:color w:val="auto"/>
        </w:rPr>
      </w:pPr>
      <w:r>
        <w:rPr>
          <w:rFonts w:ascii="Courier New" w:cs="Courier New" w:eastAsia="Courier New" w:hAnsi="Courier New"/>
          <w:sz w:val="15"/>
          <w:szCs w:val="15"/>
          <w:color w:val="auto"/>
        </w:rPr>
        <w:t>Officer of the Company confirming such matters and such other matters as the Buyer may reasonably request;</w:t>
      </w:r>
    </w:p>
    <w:p>
      <w:pPr>
        <w:spacing w:after="0" w:line="175" w:lineRule="exact"/>
        <w:rPr>
          <w:sz w:val="20"/>
          <w:szCs w:val="20"/>
          <w:color w:val="auto"/>
        </w:rPr>
      </w:pPr>
    </w:p>
    <w:p>
      <w:pPr>
        <w:ind w:right="3219" w:firstLine="1588"/>
        <w:spacing w:after="0"/>
        <w:tabs>
          <w:tab w:leader="none" w:pos="195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Buyer of a certificate, dated the Closing Date, of the Secretary of the Company certifying (1) the Certificate of Incorporation, as amended, and By-Laws of the Company as in effect on the Closing Date and (2) all resolutions of the Board of Directors (and committees thereof) of the Company relating to this Agreement and the transactions contemplated hereby (which may be the same resolutions adopted for the Prior Subscription Agreement if sufficient in the reasonable opinion of the Company's counsel);</w:t>
      </w:r>
    </w:p>
    <w:p>
      <w:pPr>
        <w:spacing w:after="0" w:line="176"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Buyer on the Closing Date of an opinion of Ropes &amp; Gray, dated the Closing Date, in such form, scope and substance reasonably satisfactory to the Buyer, to the effect set forth in ANNEX IV attached hereto.</w:t>
      </w:r>
    </w:p>
    <w:p>
      <w:pPr>
        <w:spacing w:after="0" w:line="176" w:lineRule="exact"/>
        <w:rPr>
          <w:rFonts w:ascii="Courier New" w:cs="Courier New" w:eastAsia="Courier New" w:hAnsi="Courier New"/>
          <w:sz w:val="15"/>
          <w:szCs w:val="15"/>
          <w:color w:val="auto"/>
        </w:rPr>
      </w:pPr>
    </w:p>
    <w:p>
      <w:pPr>
        <w:jc w:val="both"/>
        <w:ind w:right="3299" w:firstLine="1588"/>
        <w:spacing w:after="0" w:line="239" w:lineRule="auto"/>
        <w:tabs>
          <w:tab w:leader="none" w:pos="195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date hereof to the Closing Date, trading in the Company's Common Stock shall not have been suspended by the SEC and trading in securities generally as reported by Nasdaq shall not have been suspended or limited, and the Common Stock shall be listed on Nasdaq.</w:t>
      </w:r>
    </w:p>
    <w:p>
      <w:pPr>
        <w:spacing w:after="0" w:line="176"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 the Warrants or the Registration Rights Agreement. The NASD shall not have objected or indicated that it may object to the consummation of any of the transactions contemplated by this Agreement.</w:t>
      </w:r>
    </w:p>
    <w:p>
      <w:pPr>
        <w:spacing w:after="0" w:line="175" w:lineRule="exact"/>
        <w:rPr>
          <w:rFonts w:ascii="Courier New" w:cs="Courier New" w:eastAsia="Courier New" w:hAnsi="Courier New"/>
          <w:sz w:val="15"/>
          <w:szCs w:val="15"/>
          <w:color w:val="auto"/>
        </w:rPr>
      </w:pPr>
    </w:p>
    <w:p>
      <w:pPr>
        <w:ind w:right="3919" w:firstLine="1588"/>
        <w:spacing w:after="0" w:line="238" w:lineRule="auto"/>
        <w:tabs>
          <w:tab w:leader="none" w:pos="195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Buyer shall have executed and delivered the Registration Rights Agreement.</w:t>
      </w:r>
    </w:p>
    <w:p>
      <w:pPr>
        <w:spacing w:after="0" w:line="174"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Buyer such other documents relating to the transactions contemplated by this Agreement as the Buyer or its counsel may reasonably request.</w:t>
      </w:r>
    </w:p>
    <w:p>
      <w:pPr>
        <w:spacing w:after="0" w:line="172" w:lineRule="exact"/>
        <w:rPr>
          <w:sz w:val="20"/>
          <w:szCs w:val="20"/>
          <w:color w:val="auto"/>
        </w:rPr>
      </w:pPr>
    </w:p>
    <w:p>
      <w:pPr>
        <w:ind w:left="2120" w:hanging="532"/>
        <w:spacing w:after="0"/>
        <w:tabs>
          <w:tab w:leader="none" w:pos="212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19" w:firstLine="1588"/>
        <w:spacing w:after="0"/>
        <w:tabs>
          <w:tab w:leader="none" w:pos="1952"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corporate laws of the State of Delaware shall govern all issues concerning the relative rights of the Company and its stockholders. All other questions concerning the construction, validity, enforcement and interpretation of this Agreement shall be governed by and construed and enforced in accordance with the internal laws of the State of New York, without regard to the principles of conflicts of law thereof.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Each party hereby irrevocably waives personal service of process and consents to process being served in any such suit, action or proceeding by mailing a copy thereof via registered or certified mail or overnight delivery (with evidence of delivery) to such party at the</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196" w:name="page197"/>
    <w:bookmarkEnd w:id="196"/>
    <w:p>
      <w:pPr>
        <w:ind w:right="3219"/>
        <w:spacing w:after="0" w:line="239" w:lineRule="auto"/>
        <w:rPr>
          <w:sz w:val="20"/>
          <w:szCs w:val="20"/>
          <w:color w:val="auto"/>
        </w:rPr>
      </w:pPr>
      <w:r>
        <w:rPr>
          <w:rFonts w:ascii="Courier New" w:cs="Courier New" w:eastAsia="Courier New" w:hAnsi="Courier New"/>
          <w:sz w:val="15"/>
          <w:szCs w:val="15"/>
          <w:color w:val="auto"/>
        </w:rPr>
        <w:t>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76" w:lineRule="exact"/>
        <w:rPr>
          <w:sz w:val="20"/>
          <w:szCs w:val="20"/>
          <w:color w:val="auto"/>
        </w:rPr>
      </w:pPr>
    </w:p>
    <w:p>
      <w:pPr>
        <w:ind w:right="3119" w:firstLine="1588"/>
        <w:spacing w:after="0"/>
        <w:tabs>
          <w:tab w:leader="none" w:pos="195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counterparts and by the parties hereto on separate counterparts, all of which together shall constitute one and the same instrument. A facsimile transmission of this Agreement bearing a signature on behalf of a party hereto shall be legal and binding on such party. Although this Agreement is dated as of the date first set forth above, the actual date of execution and delivery of this Agreement by each party is the date set forth below such party's signature on the signature page hereof. Any reference in this Agreement or in any of the documents executed and delivered by the parties hereto in connection herewith to (1) the date of execution and delivery of this Agreement by the Buyer shall be deemed a reference to the date set forth below the Buyer's signature on the signature page hereof, (2) the date of execution and delivery of this Agreement by the Company shall be deemed a reference to the date set forth below the Company's signature on the signature page hereof and (3) the date of execution and delivery of this Agreement or the date of execution and delivery of this Agreement by the Buyer and the Company shall be deemed a reference to the later of the dates set forth below the signatures of the parties on the signature page hereof.</w:t>
      </w:r>
    </w:p>
    <w:p>
      <w:pPr>
        <w:spacing w:after="0" w:line="184"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ETC. The headings, captions and footers of this Agreement are for convenience of reference and shall not form part of, or affect the interpretation of, this Agreement.</w:t>
      </w:r>
    </w:p>
    <w:p>
      <w:pPr>
        <w:spacing w:after="0" w:line="175" w:lineRule="exact"/>
        <w:rPr>
          <w:rFonts w:ascii="Courier New" w:cs="Courier New" w:eastAsia="Courier New" w:hAnsi="Courier New"/>
          <w:sz w:val="15"/>
          <w:szCs w:val="15"/>
          <w:color w:val="auto"/>
        </w:rPr>
      </w:pPr>
    </w:p>
    <w:p>
      <w:pPr>
        <w:ind w:right="3219" w:firstLine="1588"/>
        <w:spacing w:after="0"/>
        <w:tabs>
          <w:tab w:leader="none" w:pos="195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shall be invalid or unenforceable in any jurisdiction, such invalidity or unenforceability shall not affect the validity or enforceability of the remainder of this Agreement or the validity or enforceability of this Agreement in any other jurisdiction.</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No amendment, modification, waiver, discharge or termination of any provision of this Agreement nor consent to any departure by the Buyer or the Company therefrom shall in any event be effective unless the same shall be in writing and signed by the party to be charged with enforcement, and then shall be effective only in the specific instance and for the purpose for which given. No course of dealing between the parties hereto shall operate as an amendment of this Agreement.</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Failure of any party to exercise any right or remedy under this Agreement or otherwise, or delay by a party in exercising such right or remedy, or any course of dealings between the parties, shall not operate as a waiver thereof or an amendment hereof, nor shall any single or partial exercise of any such right or power, or any abandonment or discontinuance of steps to enforce such a right or power, preclude any other or further exercise thereof or exercise of any other right or power.</w:t>
      </w:r>
    </w:p>
    <w:p>
      <w:pPr>
        <w:spacing w:after="0" w:line="175" w:lineRule="exact"/>
        <w:rPr>
          <w:rFonts w:ascii="Courier New" w:cs="Courier New" w:eastAsia="Courier New" w:hAnsi="Courier New"/>
          <w:sz w:val="15"/>
          <w:szCs w:val="15"/>
          <w:color w:val="auto"/>
        </w:rPr>
      </w:pPr>
    </w:p>
    <w:p>
      <w:pPr>
        <w:ind w:right="3219" w:firstLine="1588"/>
        <w:spacing w:after="0" w:line="260" w:lineRule="auto"/>
        <w:tabs>
          <w:tab w:leader="none" w:pos="1952"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notices required or permitted to be given under the terms of this Agreement shall be delivered personally (which shall include telephone line facsimile transmission with answer back confirmation) or by courier and shall be effective upon receipt, in the case of the Company addressed to the Company at its address shown in the introductory paragraph of this Agreement, Attention: Chief Executive Officer (telephone line facsimile</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197" w:name="page198"/>
    <w:bookmarkEnd w:id="197"/>
    <w:p>
      <w:pPr>
        <w:ind w:right="3119"/>
        <w:spacing w:after="0"/>
        <w:rPr>
          <w:sz w:val="20"/>
          <w:szCs w:val="20"/>
          <w:color w:val="auto"/>
        </w:rPr>
      </w:pPr>
      <w:r>
        <w:rPr>
          <w:rFonts w:ascii="Courier New" w:cs="Courier New" w:eastAsia="Courier New" w:hAnsi="Courier New"/>
          <w:sz w:val="15"/>
          <w:szCs w:val="15"/>
          <w:color w:val="auto"/>
        </w:rPr>
        <w:t>transmission number (650) 475-3101, with a copy to Ropes &amp; Gray, One International Place, Boston, Massachusetts, 02110, Attention: Geoffrey B. Davis, Esq., (facsimile number (617) 951-7050), or, in the case of the Buyer, at its address or telephone line facsimile transmission number shown on the signature page of this Agreement, with a copy to Kleinberg, Kaplan, Wolff &amp; Cohen, P.C., 551 Fifth Avenue, New York, New York 10176, Attn: Peter J. Weisman, Esq. (facsimile number: (212) 986-8866) or such other address or telephone line facsimile transmission number as a party shall have provided by notice to the other party in accordance with this provision.</w:t>
      </w:r>
    </w:p>
    <w:p>
      <w:pPr>
        <w:spacing w:after="0" w:line="177" w:lineRule="exact"/>
        <w:rPr>
          <w:sz w:val="20"/>
          <w:szCs w:val="20"/>
          <w:color w:val="auto"/>
        </w:rPr>
      </w:pPr>
    </w:p>
    <w:p>
      <w:pPr>
        <w:ind w:right="3299" w:firstLine="1588"/>
        <w:spacing w:after="0"/>
        <w:tabs>
          <w:tab w:leader="none" w:pos="1952"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Prior to the Closing Date, the Buyer may not assign its rights and obligations under this Agreement. Any transfer of the Shares or the Warrants by the Buyer after the Closing Date shall be made in accordance with Section 4. After the Closing Date, the Buyer shall have the right to assign its rights and obligations under this Agreement in connection with any transfer of the Securities upon execution by any transferee of an instrument reasonably satisfactory to the Company pursuant to which the transferee agrees with the Company to be bound as a Buyer by the terms and conditions of this Agreement.</w:t>
      </w:r>
    </w:p>
    <w:p>
      <w:pPr>
        <w:spacing w:after="0" w:line="177"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REPRESENTATIONS AND WARRANTIES. The respective representations, warranties, covenants and agreements of the Buyer and the Company contained in this Agreement or made by or on behalf of them, respectively, pursuant to this Agreement shall survive the delivery of and payment for the Common Shares and shall remain in full force and effect regardless of any investigation made by or on behalf of them or any person controlling or advising any of them.</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its Schedules and Annexes, together with the Prior Subscription Agreement and its Schedules and Annexes and the documents entered into or delivered in connection therewith or the transactions contemplated thereby set forth the entire agreement between the parties hereto with respect to the subject matter hereof.</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198" w:name="page199"/>
    <w:bookmarkEnd w:id="198"/>
    <w:p>
      <w:pPr>
        <w:ind w:left="740" w:hanging="352"/>
        <w:spacing w:after="0"/>
        <w:tabs>
          <w:tab w:leader="none" w:pos="74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LEFT BLANK].</w:t>
      </w:r>
    </w:p>
    <w:p>
      <w:pPr>
        <w:spacing w:after="0" w:line="174" w:lineRule="exact"/>
        <w:rPr>
          <w:rFonts w:ascii="Courier New" w:cs="Courier New" w:eastAsia="Courier New" w:hAnsi="Courier New"/>
          <w:sz w:val="15"/>
          <w:szCs w:val="15"/>
          <w:color w:val="auto"/>
        </w:rPr>
      </w:pPr>
    </w:p>
    <w:p>
      <w:pPr>
        <w:ind w:left="-1200" w:right="3299" w:firstLine="1588"/>
        <w:spacing w:after="0" w:line="239" w:lineRule="auto"/>
        <w:tabs>
          <w:tab w:leader="none" w:pos="75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Each party to this Agreement will perform any and all acts and execute any and all documents as may be necessary and proper under the circumstances in order to accomplish the intents and purposes of this Agreement and to carry out its provisions.</w:t>
      </w:r>
    </w:p>
    <w:p>
      <w:pPr>
        <w:spacing w:after="0" w:line="176" w:lineRule="exact"/>
        <w:rPr>
          <w:rFonts w:ascii="Courier New" w:cs="Courier New" w:eastAsia="Courier New" w:hAnsi="Courier New"/>
          <w:sz w:val="15"/>
          <w:szCs w:val="15"/>
          <w:color w:val="auto"/>
        </w:rPr>
      </w:pPr>
    </w:p>
    <w:p>
      <w:pPr>
        <w:ind w:left="-1200" w:right="3119" w:firstLine="1588"/>
        <w:spacing w:after="0"/>
        <w:tabs>
          <w:tab w:leader="none" w:pos="75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STATEMENTS, PRESS RELEASES, ETC. The Company and the Buyer shall have the right to approve before issuance any press releases or any other public statements with respect to the transactions contemplated hereby; PROVIDED, HOWEVER, that the Company shall be entitled, without the prior approval of the Buyer, to make any press release or other public disclosure with respect to such transactions as is required by applicable law or Nasdaq regulation (although the Buyer shall be consulted by the Company in connection with any such press release or other public disclosure prior to its release and shall be provided with a copy thereof).</w:t>
      </w:r>
    </w:p>
    <w:p>
      <w:pPr>
        <w:spacing w:after="0" w:line="177" w:lineRule="exact"/>
        <w:rPr>
          <w:rFonts w:ascii="Courier New" w:cs="Courier New" w:eastAsia="Courier New" w:hAnsi="Courier New"/>
          <w:sz w:val="15"/>
          <w:szCs w:val="15"/>
          <w:color w:val="auto"/>
        </w:rPr>
      </w:pPr>
    </w:p>
    <w:p>
      <w:pPr>
        <w:jc w:val="both"/>
        <w:ind w:left="-1200" w:right="3219" w:firstLine="1588"/>
        <w:spacing w:after="0" w:line="264" w:lineRule="auto"/>
        <w:tabs>
          <w:tab w:leader="none" w:pos="752"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The language used in this Agreement will be deemed to be the language chosen by the parties to express their mutual intent, and no rules of strict construction will be applied against any party.</w:t>
      </w:r>
    </w:p>
    <w:p>
      <w:pPr>
        <w:spacing w:after="0" w:line="159" w:lineRule="exact"/>
        <w:rPr>
          <w:rFonts w:ascii="Courier New" w:cs="Courier New" w:eastAsia="Courier New" w:hAnsi="Courier New"/>
          <w:sz w:val="14"/>
          <w:szCs w:val="14"/>
          <w:color w:val="auto"/>
        </w:rPr>
      </w:pPr>
    </w:p>
    <w:p>
      <w:pPr>
        <w:ind w:left="-1200" w:right="3119" w:firstLine="1588"/>
        <w:spacing w:after="0" w:line="258" w:lineRule="auto"/>
        <w:tabs>
          <w:tab w:leader="none" w:pos="752"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In consideration of the Buyer's execution and delivery of this Agreement, the Registration Rights Agreement and acquiring the Common Shares hereunder and in addition to all of the Company's other obligations under this Agreement or the transaction documents contemplated hereby, the Company shall defend, protect, indemnify and hold harmless the Buyer and all of its partners, officers, directors, employees, members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or the other transaction documents contemplated hereby or any other certificate or document contemplated hereby or thereby, (b) any breach of any covenant, agreement or obligation of the Company contained in this Agreement or the other transaction documents contemplated herein or any other certificate or document contemplated hereby or thereby, (c) any cause of action, suit or claim brought or made against such Indemnitee by a third party and arising out of or resulting from (i) the execution, delivery, performance, breach by the Company or enforcement of this Agreement or the other transaction documents contemplated hereby or any other certificate, instrument or document contemplated hereby or thereby, (ii) any transaction financed or to be financed in whole or in part, directly or indirectly, with the proceeds of the issuance of the Shares or (iii) the status of the Buyer or holder of the Shares or Warrants as an investor in the Company and (d) the enforcement of this Section. Notwithstanding the foregoing, Indemnified Liabilities shall not include any liability of any Indemnitee arising solely out of such Indemnitee's gross negligence, willful misconduct or fraudulent action(s). To the extent that the foregoing undertaking by the Company may be unenforceable for any reason, the Company shall make the maximum contribution to the</w:t>
      </w:r>
    </w:p>
    <w:p>
      <w:pPr>
        <w:spacing w:after="0" w:line="200" w:lineRule="exact"/>
        <w:rPr>
          <w:sz w:val="20"/>
          <w:szCs w:val="20"/>
          <w:color w:val="auto"/>
        </w:rPr>
      </w:pPr>
    </w:p>
    <w:p>
      <w:pPr>
        <w:spacing w:after="0" w:line="31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628" w:right="1440" w:bottom="1440" w:gutter="0" w:footer="0" w:header="0"/>
        </w:sectPr>
      </w:pPr>
    </w:p>
    <w:bookmarkStart w:id="199" w:name="page200"/>
    <w:bookmarkEnd w:id="199"/>
    <w:p>
      <w:pPr>
        <w:ind w:right="3299"/>
        <w:spacing w:after="0" w:line="260" w:lineRule="auto"/>
        <w:rPr>
          <w:sz w:val="20"/>
          <w:szCs w:val="20"/>
          <w:color w:val="auto"/>
        </w:rPr>
      </w:pPr>
      <w:r>
        <w:rPr>
          <w:rFonts w:ascii="Courier New" w:cs="Courier New" w:eastAsia="Courier New" w:hAnsi="Courier New"/>
          <w:sz w:val="14"/>
          <w:szCs w:val="14"/>
          <w:color w:val="auto"/>
        </w:rPr>
        <w:t>payment and satisfaction of each of the Indemnified Liabilities which is permissible under applicable law. Except as otherwise set forth herein, the mechanics and procedures with respect to the rights and obligations under this section shall be the same as those set forth in the Registration Rights Agreement, including, without limitation, those procedures with respect to the settlement of claims and Company's right to assume the defense of claims.</w:t>
      </w:r>
    </w:p>
    <w:p>
      <w:pPr>
        <w:spacing w:after="0" w:line="16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[SIGNATURE PAGE FOLLOWS]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200" w:name="page201"/>
    <w:bookmarkEnd w:id="200"/>
    <w:p>
      <w:pPr>
        <w:ind w:right="3219" w:firstLine="1597"/>
        <w:spacing w:after="0" w:line="264" w:lineRule="auto"/>
        <w:rPr>
          <w:sz w:val="20"/>
          <w:szCs w:val="20"/>
          <w:color w:val="auto"/>
        </w:rPr>
      </w:pPr>
      <w:r>
        <w:rPr>
          <w:rFonts w:ascii="Courier New" w:cs="Courier New" w:eastAsia="Courier New" w:hAnsi="Courier New"/>
          <w:sz w:val="14"/>
          <w:szCs w:val="14"/>
          <w:color w:val="auto"/>
        </w:rPr>
        <w:t>IN WITNESS WHEREOF, this Agreement has been duly executed by the Buyer and the Company by their respective officers or other representatives thereunto duly authorized on the respective dates set forth below.</w:t>
      </w:r>
    </w:p>
    <w:p>
      <w:pPr>
        <w:spacing w:after="0" w:line="157"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NUMBER OF SHARES:</w:t>
      </w:r>
      <w:r>
        <w:rPr>
          <w:sz w:val="20"/>
          <w:szCs w:val="20"/>
          <w:color w:val="auto"/>
        </w:rPr>
        <w:tab/>
      </w:r>
      <w:r>
        <w:rPr>
          <w:rFonts w:ascii="Courier New" w:cs="Courier New" w:eastAsia="Courier New" w:hAnsi="Courier New"/>
          <w:sz w:val="14"/>
          <w:szCs w:val="14"/>
          <w:color w:val="auto"/>
        </w:rPr>
        <w:t>457,750</w:t>
      </w:r>
    </w:p>
    <w:p>
      <w:pPr>
        <w:spacing w:after="0" w:line="17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PRICE PER SHARE:</w:t>
      </w:r>
      <w:r>
        <w:rPr>
          <w:sz w:val="20"/>
          <w:szCs w:val="20"/>
          <w:color w:val="auto"/>
        </w:rPr>
        <w:tab/>
      </w:r>
      <w:r>
        <w:rPr>
          <w:rFonts w:ascii="Courier New" w:cs="Courier New" w:eastAsia="Courier New" w:hAnsi="Courier New"/>
          <w:sz w:val="14"/>
          <w:szCs w:val="14"/>
          <w:color w:val="auto"/>
        </w:rPr>
        <w:t>$4.3692</w:t>
      </w:r>
    </w:p>
    <w:p>
      <w:pPr>
        <w:spacing w:after="0" w:line="171"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AGGREGATE PURCHASE PRICE:</w:t>
      </w:r>
      <w:r>
        <w:rPr>
          <w:sz w:val="20"/>
          <w:szCs w:val="20"/>
          <w:color w:val="auto"/>
        </w:rPr>
        <w:tab/>
      </w:r>
      <w:r>
        <w:rPr>
          <w:rFonts w:ascii="Courier New" w:cs="Courier New" w:eastAsia="Courier New" w:hAnsi="Courier New"/>
          <w:sz w:val="14"/>
          <w:szCs w:val="14"/>
          <w:color w:val="auto"/>
        </w:rPr>
        <w:t>$2,000,000.00</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MILLENNIUM PARTNERS, LP</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Terry Feeny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80"/>
        <w:spacing w:after="0"/>
        <w:tabs>
          <w:tab w:leader="none" w:pos="45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Terry Feeny</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Title: Chief Financial Officer</w:t>
      </w:r>
    </w:p>
    <w:p>
      <w:pPr>
        <w:spacing w:after="0" w:line="171" w:lineRule="exact"/>
        <w:rPr>
          <w:sz w:val="20"/>
          <w:szCs w:val="20"/>
          <w:color w:val="auto"/>
        </w:rPr>
      </w:pPr>
    </w:p>
    <w:p>
      <w:pPr>
        <w:ind w:left="3540"/>
        <w:spacing w:after="0"/>
        <w:tabs>
          <w:tab w:leader="none" w:pos="414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As of June 21, 2001</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Address: 666 Fifth Avenue</w:t>
      </w:r>
    </w:p>
    <w:p>
      <w:pPr>
        <w:spacing w:after="0" w:line="1" w:lineRule="exact"/>
        <w:rPr>
          <w:sz w:val="20"/>
          <w:szCs w:val="20"/>
          <w:color w:val="auto"/>
        </w:rPr>
      </w:pPr>
    </w:p>
    <w:p>
      <w:pPr>
        <w:ind w:left="4340"/>
        <w:spacing w:after="0"/>
        <w:tabs>
          <w:tab w:leader="none" w:pos="610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10103</w:t>
      </w:r>
    </w:p>
    <w:p>
      <w:pPr>
        <w:spacing w:after="0" w:line="1" w:lineRule="exact"/>
        <w:rPr>
          <w:sz w:val="20"/>
          <w:szCs w:val="20"/>
          <w:color w:val="auto"/>
        </w:rPr>
      </w:pPr>
    </w:p>
    <w:p>
      <w:pPr>
        <w:ind w:left="3540"/>
        <w:spacing w:after="0"/>
        <w:tabs>
          <w:tab w:leader="none" w:pos="45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(212) 841-6302</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Martin M. McGlynn</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80"/>
        <w:spacing w:after="0"/>
        <w:tabs>
          <w:tab w:leader="none" w:pos="45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Martin M. McGlynn</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Title: President, Chief</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Executive Officer</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Date: As of June 21, 2001</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5"/>
          <w:szCs w:val="15"/>
          <w:color w:val="auto"/>
        </w:rPr>
        <w:t>SCHEDULES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Disclosure Schedule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ANNEXES</w:t>
      </w:r>
    </w:p>
    <w:p>
      <w:pPr>
        <w:sectPr>
          <w:pgSz w:w="11900" w:h="16838" w:orient="portrait"/>
          <w:cols w:equalWidth="0" w:num="1">
            <w:col w:w="10219"/>
          </w:cols>
          <w:pgMar w:left="240" w:top="799"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III</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IV</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Callable Warrant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Common Stock Purchase Warrant, Class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Registration Rights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Opinion of Counsel to Be Delivered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Date</w:t>
      </w:r>
    </w:p>
    <w:p>
      <w:pPr>
        <w:spacing w:after="0" w:line="174" w:lineRule="exact"/>
        <w:rPr>
          <w:sz w:val="20"/>
          <w:szCs w:val="20"/>
          <w:color w:val="auto"/>
        </w:rPr>
      </w:pPr>
    </w:p>
    <w:p>
      <w:pPr>
        <w:sectPr>
          <w:pgSz w:w="11900" w:h="16838" w:orient="portrait"/>
          <w:cols w:equalWidth="0" w:num="2">
            <w:col w:w="1660" w:space="720"/>
            <w:col w:w="7839"/>
          </w:cols>
          <w:pgMar w:left="240" w:top="799"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3"/>
          <w:szCs w:val="13"/>
          <w:color w:val="auto"/>
        </w:rPr>
        <w:t>23</w:t>
      </w:r>
    </w:p>
    <w:p>
      <w:pPr>
        <w:sectPr>
          <w:pgSz w:w="11900" w:h="16838" w:orient="portrait"/>
          <w:cols w:equalWidth="0" w:num="1">
            <w:col w:w="10219"/>
          </w:cols>
          <w:pgMar w:left="240" w:top="799" w:right="1440" w:bottom="1440" w:gutter="0" w:footer="0" w:header="0"/>
          <w:type w:val="continuous"/>
        </w:sectPr>
      </w:pPr>
    </w:p>
    <w:bookmarkStart w:id="202" w:name="page203"/>
    <w:bookmarkEnd w:id="202"/>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consent to the reference to our firm under the captions "Selected Consolidated Financial Data" and "Experts" and to the use of our report dated February 23, 2001 in the Registration Statement (Pre-Effective Amendment No. 1 Amending Form S-1 to Form S-3) and related Prospectus of StemCells, Inc. for the registration of 10,350,000 shares of its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28, 2001</w:t>
      </w:r>
    </w:p>
    <w:sectPr>
      <w:pgSz w:w="11900" w:h="16838" w:orient="portrait"/>
      <w:cols w:equalWidth="0" w:num="1">
        <w:col w:w="10219"/>
      </w:cols>
      <w:pgMar w:left="240" w:top="3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915FF32"/>
    <w:multiLevelType w:val="hybridMultilevel"/>
    <w:lvl w:ilvl="0">
      <w:lvlJc w:val="left"/>
      <w:lvlText w:val="-"/>
      <w:numFmt w:val="bullet"/>
      <w:start w:val="1"/>
    </w:lvl>
  </w:abstractNum>
  <w:abstractNum w:abstractNumId="1">
    <w:nsid w:val="56438D15"/>
    <w:multiLevelType w:val="hybridMultilevel"/>
    <w:lvl w:ilvl="0">
      <w:lvlJc w:val="left"/>
      <w:lvlText w:val="%1"/>
      <w:numFmt w:val="decimal"/>
      <w:start w:val="1"/>
    </w:lvl>
    <w:lvl w:ilvl="1">
      <w:lvlJc w:val="left"/>
      <w:lvlText w:val="(%2)"/>
      <w:numFmt w:val="decimal"/>
      <w:start w:val="617"/>
    </w:lvl>
  </w:abstractNum>
  <w:abstractNum w:abstractNumId="2">
    <w:nsid w:val="519E3149"/>
    <w:multiLevelType w:val="hybridMultilevel"/>
    <w:lvl w:ilvl="0">
      <w:lvlJc w:val="left"/>
      <w:lvlText w:val="(%1)"/>
      <w:numFmt w:val="decimal"/>
      <w:start w:val="617"/>
    </w:lvl>
    <w:lvl w:ilvl="1">
      <w:lvlJc w:val="left"/>
      <w:lvlText w:val="%2"/>
      <w:numFmt w:val="decimal"/>
      <w:start w:val="1"/>
    </w:lvl>
  </w:abstractNum>
  <w:abstractNum w:abstractNumId="3">
    <w:nsid w:val="2C6E4AFD"/>
    <w:multiLevelType w:val="hybridMultilevel"/>
    <w:lvl w:ilvl="0">
      <w:lvlJc w:val="left"/>
      <w:lvlText w:val="(%1)"/>
      <w:numFmt w:val="decimal"/>
      <w:start w:val="1"/>
    </w:lvl>
  </w:abstractNum>
  <w:abstractNum w:abstractNumId="4">
    <w:nsid w:val="17A1B582"/>
    <w:multiLevelType w:val="hybridMultilevel"/>
    <w:lvl w:ilvl="0">
      <w:lvlJc w:val="left"/>
      <w:lvlText w:val="-"/>
      <w:numFmt w:val="bullet"/>
      <w:start w:val="1"/>
    </w:lvl>
  </w:abstractNum>
  <w:abstractNum w:abstractNumId="5">
    <w:nsid w:val="4DF72E4E"/>
    <w:multiLevelType w:val="hybridMultilevel"/>
    <w:lvl w:ilvl="0">
      <w:lvlJc w:val="left"/>
      <w:lvlText w:val="-"/>
      <w:numFmt w:val="bullet"/>
      <w:start w:val="1"/>
    </w:lvl>
  </w:abstractNum>
  <w:abstractNum w:abstractNumId="6">
    <w:nsid w:val="5046B5A9"/>
    <w:multiLevelType w:val="hybridMultilevel"/>
    <w:lvl w:ilvl="0">
      <w:lvlJc w:val="left"/>
      <w:lvlText w:val="-"/>
      <w:numFmt w:val="bullet"/>
      <w:start w:val="1"/>
    </w:lvl>
    <w:lvl w:ilvl="1">
      <w:lvlJc w:val="left"/>
      <w:lvlText w:val="%2)"/>
      <w:numFmt w:val="lowerLetter"/>
      <w:start w:val="1"/>
    </w:lvl>
  </w:abstractNum>
  <w:abstractNum w:abstractNumId="7">
    <w:nsid w:val="5D888A08"/>
    <w:multiLevelType w:val="hybridMultilevel"/>
    <w:lvl w:ilvl="0">
      <w:lvlJc w:val="left"/>
      <w:lvlText w:val="-"/>
      <w:numFmt w:val="bullet"/>
      <w:start w:val="1"/>
    </w:lvl>
  </w:abstractNum>
  <w:abstractNum w:abstractNumId="8">
    <w:nsid w:val="2A082C70"/>
    <w:multiLevelType w:val="hybridMultilevel"/>
    <w:lvl w:ilvl="0">
      <w:lvlJc w:val="left"/>
      <w:lvlText w:val="-"/>
      <w:numFmt w:val="bullet"/>
      <w:start w:val="1"/>
    </w:lvl>
  </w:abstractNum>
  <w:abstractNum w:abstractNumId="9">
    <w:nsid w:val="5EC6AFD4"/>
    <w:multiLevelType w:val="hybridMultilevel"/>
    <w:lvl w:ilvl="0">
      <w:lvlJc w:val="left"/>
      <w:lvlText w:val="-"/>
      <w:numFmt w:val="bullet"/>
      <w:start w:val="1"/>
    </w:lvl>
  </w:abstractNum>
  <w:abstractNum w:abstractNumId="10">
    <w:nsid w:val="19E21BB2"/>
    <w:multiLevelType w:val="hybridMultilevel"/>
    <w:lvl w:ilvl="0">
      <w:lvlJc w:val="left"/>
      <w:lvlText w:val="-"/>
      <w:numFmt w:val="bullet"/>
      <w:start w:val="1"/>
    </w:lvl>
  </w:abstractNum>
  <w:abstractNum w:abstractNumId="11">
    <w:nsid w:val="75E0858A"/>
    <w:multiLevelType w:val="hybridMultilevel"/>
    <w:lvl w:ilvl="0">
      <w:lvlJc w:val="left"/>
      <w:lvlText w:val="-"/>
      <w:numFmt w:val="bullet"/>
      <w:start w:val="1"/>
    </w:lvl>
  </w:abstractNum>
  <w:abstractNum w:abstractNumId="12">
    <w:nsid w:val="57A61A29"/>
    <w:multiLevelType w:val="hybridMultilevel"/>
    <w:lvl w:ilvl="0">
      <w:lvlJc w:val="left"/>
      <w:lvlText w:val="-"/>
      <w:numFmt w:val="bullet"/>
      <w:start w:val="1"/>
    </w:lvl>
  </w:abstractNum>
  <w:abstractNum w:abstractNumId="13">
    <w:nsid w:val="5399C654"/>
    <w:multiLevelType w:val="hybridMultilevel"/>
    <w:lvl w:ilvl="0">
      <w:lvlJc w:val="left"/>
      <w:lvlText w:val="(%1)"/>
      <w:numFmt w:val="decimal"/>
      <w:start w:val="1"/>
    </w:lvl>
  </w:abstractNum>
  <w:abstractNum w:abstractNumId="14">
    <w:nsid w:val="20EE1348"/>
    <w:multiLevelType w:val="hybridMultilevel"/>
    <w:lvl w:ilvl="0">
      <w:lvlJc w:val="left"/>
      <w:lvlText w:val="-"/>
      <w:numFmt w:val="bullet"/>
      <w:start w:val="1"/>
    </w:lvl>
  </w:abstractNum>
  <w:abstractNum w:abstractNumId="15">
    <w:nsid w:val="4427069A"/>
    <w:multiLevelType w:val="hybridMultilevel"/>
    <w:lvl w:ilvl="0">
      <w:lvlJc w:val="left"/>
      <w:lvlText w:val="-"/>
      <w:numFmt w:val="bullet"/>
      <w:start w:val="1"/>
    </w:lvl>
  </w:abstractNum>
  <w:abstractNum w:abstractNumId="16">
    <w:nsid w:val="B37E80A"/>
    <w:multiLevelType w:val="hybridMultilevel"/>
    <w:lvl w:ilvl="0">
      <w:lvlJc w:val="left"/>
      <w:lvlText w:val="-"/>
      <w:numFmt w:val="bullet"/>
      <w:start w:val="1"/>
    </w:lvl>
  </w:abstractNum>
  <w:abstractNum w:abstractNumId="17">
    <w:nsid w:val="2157F6BC"/>
    <w:multiLevelType w:val="hybridMultilevel"/>
    <w:lvl w:ilvl="0">
      <w:lvlJc w:val="left"/>
      <w:lvlText w:val="-"/>
      <w:numFmt w:val="bullet"/>
      <w:start w:val="1"/>
    </w:lvl>
  </w:abstractNum>
  <w:abstractNum w:abstractNumId="18">
    <w:nsid w:val="704E1DD5"/>
    <w:multiLevelType w:val="hybridMultilevel"/>
    <w:lvl w:ilvl="0">
      <w:lvlJc w:val="left"/>
      <w:lvlText w:val="-"/>
      <w:numFmt w:val="bullet"/>
      <w:start w:val="1"/>
    </w:lvl>
  </w:abstractNum>
  <w:abstractNum w:abstractNumId="19">
    <w:nsid w:val="57D2F10E"/>
    <w:multiLevelType w:val="hybridMultilevel"/>
    <w:lvl w:ilvl="0">
      <w:lvlJc w:val="left"/>
      <w:lvlText w:val="-"/>
      <w:numFmt w:val="bullet"/>
      <w:start w:val="1"/>
    </w:lvl>
  </w:abstractNum>
  <w:abstractNum w:abstractNumId="20">
    <w:nsid w:val="BFFAE18"/>
    <w:multiLevelType w:val="hybridMultilevel"/>
    <w:lvl w:ilvl="0">
      <w:lvlJc w:val="left"/>
      <w:lvlText w:val="-"/>
      <w:numFmt w:val="bullet"/>
      <w:start w:val="1"/>
    </w:lvl>
  </w:abstractNum>
  <w:abstractNum w:abstractNumId="21">
    <w:nsid w:val="E3E47A8"/>
    <w:multiLevelType w:val="hybridMultilevel"/>
    <w:lvl w:ilvl="0">
      <w:lvlJc w:val="left"/>
      <w:lvlText w:val="-"/>
      <w:numFmt w:val="bullet"/>
      <w:start w:val="1"/>
    </w:lvl>
  </w:abstractNum>
  <w:abstractNum w:abstractNumId="22">
    <w:nsid w:val="2E48F044"/>
    <w:multiLevelType w:val="hybridMultilevel"/>
    <w:lvl w:ilvl="0">
      <w:lvlJc w:val="left"/>
      <w:lvlText w:val="-"/>
      <w:numFmt w:val="bullet"/>
      <w:start w:val="1"/>
    </w:lvl>
  </w:abstractNum>
  <w:abstractNum w:abstractNumId="23">
    <w:nsid w:val="49D0FEAC"/>
    <w:multiLevelType w:val="hybridMultilevel"/>
    <w:lvl w:ilvl="0">
      <w:lvlJc w:val="left"/>
      <w:lvlText w:val="%1."/>
      <w:numFmt w:val="decimal"/>
      <w:start w:val="1"/>
    </w:lvl>
  </w:abstractNum>
  <w:abstractNum w:abstractNumId="24">
    <w:nsid w:val="4BEE5A5B"/>
    <w:multiLevelType w:val="hybridMultilevel"/>
    <w:lvl w:ilvl="0">
      <w:lvlJc w:val="left"/>
      <w:lvlText w:val="%1."/>
      <w:numFmt w:val="decimal"/>
      <w:start w:val="2"/>
    </w:lvl>
  </w:abstractNum>
  <w:abstractNum w:abstractNumId="25">
    <w:nsid w:val="5551B9F3"/>
    <w:multiLevelType w:val="hybridMultilevel"/>
    <w:lvl w:ilvl="0">
      <w:lvlJc w:val="left"/>
      <w:lvlText w:val="%1."/>
      <w:numFmt w:val="decimal"/>
      <w:start w:val="3"/>
    </w:lvl>
  </w:abstractNum>
  <w:abstractNum w:abstractNumId="26">
    <w:nsid w:val="24F6AB8E"/>
    <w:multiLevelType w:val="hybridMultilevel"/>
    <w:lvl w:ilvl="0">
      <w:lvlJc w:val="left"/>
      <w:lvlText w:val="%1."/>
      <w:numFmt w:val="decimal"/>
      <w:start w:val="4"/>
    </w:lvl>
  </w:abstractNum>
  <w:abstractNum w:abstractNumId="27">
    <w:nsid w:val="634C574C"/>
    <w:multiLevelType w:val="hybridMultilevel"/>
    <w:lvl w:ilvl="0">
      <w:lvlJc w:val="left"/>
      <w:lvlText w:val="-"/>
      <w:numFmt w:val="bullet"/>
      <w:start w:val="1"/>
    </w:lvl>
  </w:abstractNum>
  <w:abstractNum w:abstractNumId="28">
    <w:nsid w:val="24E99DD7"/>
    <w:multiLevelType w:val="hybridMultilevel"/>
    <w:lvl w:ilvl="0">
      <w:lvlJc w:val="left"/>
      <w:lvlText w:val="%1."/>
      <w:numFmt w:val="decimal"/>
      <w:start w:val="5"/>
    </w:lvl>
  </w:abstractNum>
  <w:abstractNum w:abstractNumId="29">
    <w:nsid w:val="2A31B62D"/>
    <w:multiLevelType w:val="hybridMultilevel"/>
    <w:lvl w:ilvl="0">
      <w:lvlJc w:val="left"/>
      <w:lvlText w:val="-"/>
      <w:numFmt w:val="bullet"/>
      <w:start w:val="1"/>
    </w:lvl>
  </w:abstractNum>
  <w:abstractNum w:abstractNumId="30">
    <w:nsid w:val="1849C29B"/>
    <w:multiLevelType w:val="hybridMultilevel"/>
    <w:lvl w:ilvl="0">
      <w:lvlJc w:val="left"/>
      <w:lvlText w:val="-"/>
      <w:numFmt w:val="bullet"/>
      <w:start w:val="1"/>
    </w:lvl>
  </w:abstractNum>
  <w:abstractNum w:abstractNumId="31">
    <w:nsid w:val="7DFF9D09"/>
    <w:multiLevelType w:val="hybridMultilevel"/>
    <w:lvl w:ilvl="0">
      <w:lvlJc w:val="left"/>
      <w:lvlText w:val="-"/>
      <w:numFmt w:val="bullet"/>
      <w:start w:val="1"/>
    </w:lvl>
  </w:abstractNum>
  <w:abstractNum w:abstractNumId="32">
    <w:nsid w:val="754342"/>
    <w:multiLevelType w:val="hybridMultilevel"/>
    <w:lvl w:ilvl="0">
      <w:lvlJc w:val="left"/>
      <w:lvlText w:val="-"/>
      <w:numFmt w:val="bullet"/>
      <w:start w:val="1"/>
    </w:lvl>
  </w:abstractNum>
  <w:abstractNum w:abstractNumId="33">
    <w:nsid w:val="69E7F3E5"/>
    <w:multiLevelType w:val="hybridMultilevel"/>
    <w:lvl w:ilvl="0">
      <w:lvlJc w:val="left"/>
      <w:lvlText w:val="(%1)"/>
      <w:numFmt w:val="decimal"/>
      <w:start w:val="1"/>
    </w:lvl>
  </w:abstractNum>
  <w:abstractNum w:abstractNumId="34">
    <w:nsid w:val="2A6DE806"/>
    <w:multiLevelType w:val="hybridMultilevel"/>
    <w:lvl w:ilvl="0">
      <w:lvlJc w:val="left"/>
      <w:lvlText w:val="(%1)"/>
      <w:numFmt w:val="decimal"/>
      <w:start w:val="1"/>
    </w:lvl>
  </w:abstractNum>
  <w:abstractNum w:abstractNumId="35">
    <w:nsid w:val="1816F8C4"/>
    <w:multiLevelType w:val="hybridMultilevel"/>
    <w:lvl w:ilvl="0">
      <w:lvlJc w:val="left"/>
      <w:lvlText w:val="(%1)"/>
      <w:numFmt w:val="decimal"/>
      <w:start w:val="1"/>
    </w:lvl>
  </w:abstractNum>
  <w:abstractNum w:abstractNumId="36">
    <w:nsid w:val="37DF2233"/>
    <w:multiLevelType w:val="hybridMultilevel"/>
    <w:lvl w:ilvl="0">
      <w:lvlJc w:val="left"/>
      <w:lvlText w:val="-"/>
      <w:numFmt w:val="bullet"/>
      <w:start w:val="1"/>
    </w:lvl>
  </w:abstractNum>
  <w:abstractNum w:abstractNumId="37">
    <w:nsid w:val="7AB49DAF"/>
    <w:multiLevelType w:val="hybridMultilevel"/>
    <w:lvl w:ilvl="0">
      <w:lvlJc w:val="left"/>
      <w:lvlText w:val="-"/>
      <w:numFmt w:val="bullet"/>
      <w:start w:val="1"/>
    </w:lvl>
  </w:abstractNum>
  <w:abstractNum w:abstractNumId="38">
    <w:nsid w:val="759F82CD"/>
    <w:multiLevelType w:val="hybridMultilevel"/>
    <w:lvl w:ilvl="0">
      <w:lvlJc w:val="left"/>
      <w:lvlText w:val="(%1)"/>
      <w:numFmt w:val="decimal"/>
      <w:start w:val="1"/>
    </w:lvl>
  </w:abstractNum>
  <w:abstractNum w:abstractNumId="39">
    <w:nsid w:val="61E74EA3"/>
    <w:multiLevelType w:val="hybridMultilevel"/>
    <w:lvl w:ilvl="0">
      <w:lvlJc w:val="left"/>
      <w:lvlText w:val="-"/>
      <w:numFmt w:val="bullet"/>
      <w:start w:val="1"/>
    </w:lvl>
  </w:abstractNum>
  <w:abstractNum w:abstractNumId="40">
    <w:nsid w:val="597B4D84"/>
    <w:multiLevelType w:val="hybridMultilevel"/>
    <w:lvl w:ilvl="0">
      <w:lvlJc w:val="left"/>
      <w:lvlText w:val="-"/>
      <w:numFmt w:val="bullet"/>
      <w:start w:val="1"/>
    </w:lvl>
  </w:abstractNum>
  <w:abstractNum w:abstractNumId="41">
    <w:nsid w:val="F819E7F"/>
    <w:multiLevelType w:val="hybridMultilevel"/>
    <w:lvl w:ilvl="0">
      <w:lvlJc w:val="left"/>
      <w:lvlText w:val="-"/>
      <w:numFmt w:val="bullet"/>
      <w:start w:val="1"/>
    </w:lvl>
  </w:abstractNum>
  <w:abstractNum w:abstractNumId="42">
    <w:nsid w:val="57C7D42D"/>
    <w:multiLevelType w:val="hybridMultilevel"/>
    <w:lvl w:ilvl="0">
      <w:lvlJc w:val="left"/>
      <w:lvlText w:val="-"/>
      <w:numFmt w:val="bullet"/>
      <w:start w:val="1"/>
    </w:lvl>
  </w:abstractNum>
  <w:abstractNum w:abstractNumId="43">
    <w:nsid w:val="312167AD"/>
    <w:multiLevelType w:val="hybridMultilevel"/>
    <w:lvl w:ilvl="0">
      <w:lvlJc w:val="left"/>
      <w:lvlText w:val="-"/>
      <w:numFmt w:val="bullet"/>
      <w:start w:val="1"/>
    </w:lvl>
  </w:abstractNum>
  <w:abstractNum w:abstractNumId="44">
    <w:nsid w:val="631B64D4"/>
    <w:multiLevelType w:val="hybridMultilevel"/>
    <w:lvl w:ilvl="0">
      <w:lvlJc w:val="left"/>
      <w:lvlText w:val="(%1)"/>
      <w:numFmt w:val="decimal"/>
      <w:start w:val="1"/>
    </w:lvl>
  </w:abstractNum>
  <w:abstractNum w:abstractNumId="45">
    <w:nsid w:val="78B5E776"/>
    <w:multiLevelType w:val="hybridMultilevel"/>
    <w:lvl w:ilvl="0">
      <w:lvlJc w:val="left"/>
      <w:lvlText w:val="-"/>
      <w:numFmt w:val="bullet"/>
      <w:start w:val="1"/>
    </w:lvl>
  </w:abstractNum>
  <w:abstractNum w:abstractNumId="46">
    <w:nsid w:val="75486E47"/>
    <w:multiLevelType w:val="hybridMultilevel"/>
    <w:lvl w:ilvl="0">
      <w:lvlJc w:val="left"/>
      <w:lvlText w:val="-"/>
      <w:numFmt w:val="bullet"/>
      <w:start w:val="1"/>
    </w:lvl>
  </w:abstractNum>
  <w:abstractNum w:abstractNumId="47">
    <w:nsid w:val="6E534CDE"/>
    <w:multiLevelType w:val="hybridMultilevel"/>
    <w:lvl w:ilvl="0">
      <w:lvlJc w:val="left"/>
      <w:lvlText w:val="-"/>
      <w:numFmt w:val="bullet"/>
      <w:start w:val="1"/>
    </w:lvl>
  </w:abstractNum>
  <w:abstractNum w:abstractNumId="48">
    <w:nsid w:val="1A0DDE32"/>
    <w:multiLevelType w:val="hybridMultilevel"/>
    <w:lvl w:ilvl="0">
      <w:lvlJc w:val="left"/>
      <w:lvlText w:val="-"/>
      <w:numFmt w:val="bullet"/>
      <w:start w:val="1"/>
    </w:lvl>
  </w:abstractNum>
  <w:abstractNum w:abstractNumId="49">
    <w:nsid w:val="65968C1C"/>
    <w:multiLevelType w:val="hybridMultilevel"/>
    <w:lvl w:ilvl="0">
      <w:lvlJc w:val="left"/>
      <w:lvlText w:val="-"/>
      <w:numFmt w:val="bullet"/>
      <w:start w:val="1"/>
    </w:lvl>
  </w:abstractNum>
  <w:abstractNum w:abstractNumId="50">
    <w:nsid w:val="46263DEC"/>
    <w:multiLevelType w:val="hybridMultilevel"/>
    <w:lvl w:ilvl="0">
      <w:lvlJc w:val="left"/>
      <w:lvlText w:val="-"/>
      <w:numFmt w:val="bullet"/>
      <w:start w:val="1"/>
    </w:lvl>
  </w:abstractNum>
  <w:abstractNum w:abstractNumId="51">
    <w:nsid w:val="260D8C4A"/>
    <w:multiLevelType w:val="hybridMultilevel"/>
    <w:lvl w:ilvl="0">
      <w:lvlJc w:val="left"/>
      <w:lvlText w:val="-"/>
      <w:numFmt w:val="bullet"/>
      <w:start w:val="1"/>
    </w:lvl>
  </w:abstractNum>
  <w:abstractNum w:abstractNumId="52">
    <w:nsid w:val="73D4D3C4"/>
    <w:multiLevelType w:val="hybridMultilevel"/>
    <w:lvl w:ilvl="0">
      <w:lvlJc w:val="left"/>
      <w:lvlText w:val="%1."/>
      <w:numFmt w:val="decimal"/>
      <w:start w:val="1"/>
    </w:lvl>
  </w:abstractNum>
  <w:abstractNum w:abstractNumId="53">
    <w:nsid w:val="746F2E30"/>
    <w:multiLevelType w:val="hybridMultilevel"/>
    <w:lvl w:ilvl="0">
      <w:lvlJc w:val="left"/>
      <w:lvlText w:val="%1."/>
      <w:numFmt w:val="decimal"/>
      <w:start w:val="2"/>
    </w:lvl>
  </w:abstractNum>
  <w:abstractNum w:abstractNumId="54">
    <w:nsid w:val="6FDE8AF6"/>
    <w:multiLevelType w:val="hybridMultilevel"/>
    <w:lvl w:ilvl="0">
      <w:lvlJc w:val="left"/>
      <w:lvlText w:val="%1."/>
      <w:numFmt w:val="decimal"/>
      <w:start w:val="2"/>
    </w:lvl>
  </w:abstractNum>
  <w:abstractNum w:abstractNumId="55">
    <w:nsid w:val="3FC32E20"/>
    <w:multiLevelType w:val="hybridMultilevel"/>
    <w:lvl w:ilvl="0">
      <w:lvlJc w:val="left"/>
      <w:lvlText w:val="%1."/>
      <w:numFmt w:val="decimal"/>
      <w:start w:val="2"/>
    </w:lvl>
  </w:abstractNum>
  <w:abstractNum w:abstractNumId="56">
    <w:nsid w:val="49C0E823"/>
    <w:multiLevelType w:val="hybridMultilevel"/>
    <w:lvl w:ilvl="0">
      <w:lvlJc w:val="left"/>
      <w:lvlText w:val="%1."/>
      <w:numFmt w:val="decimal"/>
      <w:start w:val="2"/>
    </w:lvl>
  </w:abstractNum>
  <w:abstractNum w:abstractNumId="57">
    <w:nsid w:val="14D53685"/>
    <w:multiLevelType w:val="hybridMultilevel"/>
    <w:lvl w:ilvl="0">
      <w:lvlJc w:val="left"/>
      <w:lvlText w:val="%1."/>
      <w:numFmt w:val="decimal"/>
      <w:start w:val="3"/>
    </w:lvl>
  </w:abstractNum>
  <w:abstractNum w:abstractNumId="58">
    <w:nsid w:val="230F856C"/>
    <w:multiLevelType w:val="hybridMultilevel"/>
    <w:lvl w:ilvl="0">
      <w:lvlJc w:val="left"/>
      <w:lvlText w:val="%1."/>
      <w:numFmt w:val="decimal"/>
      <w:start w:val="3"/>
    </w:lvl>
  </w:abstractNum>
  <w:abstractNum w:abstractNumId="59">
    <w:nsid w:val="6EAA85FB"/>
    <w:multiLevelType w:val="hybridMultilevel"/>
    <w:lvl w:ilvl="0">
      <w:lvlJc w:val="left"/>
      <w:lvlText w:val="%1."/>
      <w:numFmt w:val="decimal"/>
      <w:start w:val="3"/>
    </w:lvl>
  </w:abstractNum>
  <w:abstractNum w:abstractNumId="60">
    <w:nsid w:val="3F06ECB2"/>
    <w:multiLevelType w:val="hybridMultilevel"/>
    <w:lvl w:ilvl="0">
      <w:lvlJc w:val="left"/>
      <w:lvlText w:val="(%1)"/>
      <w:numFmt w:val="decimal"/>
      <w:start w:val="1"/>
    </w:lvl>
  </w:abstractNum>
  <w:abstractNum w:abstractNumId="61">
    <w:nsid w:val="3B594807"/>
    <w:multiLevelType w:val="hybridMultilevel"/>
    <w:lvl w:ilvl="0">
      <w:lvlJc w:val="left"/>
      <w:lvlText w:val="%1."/>
      <w:numFmt w:val="decimal"/>
      <w:start w:val="3"/>
    </w:lvl>
  </w:abstractNum>
  <w:abstractNum w:abstractNumId="62">
    <w:nsid w:val="6CAA2304"/>
    <w:multiLevelType w:val="hybridMultilevel"/>
    <w:lvl w:ilvl="0">
      <w:lvlJc w:val="left"/>
      <w:lvlText w:val="%1."/>
      <w:numFmt w:val="decimal"/>
      <w:start w:val="5"/>
    </w:lvl>
  </w:abstractNum>
  <w:abstractNum w:abstractNumId="63">
    <w:nsid w:val="3F7C2FF4"/>
    <w:multiLevelType w:val="hybridMultilevel"/>
    <w:lvl w:ilvl="0">
      <w:lvlJc w:val="left"/>
      <w:lvlText w:val="%1."/>
      <w:numFmt w:val="decimal"/>
      <w:start w:val="6"/>
    </w:lvl>
  </w:abstractNum>
  <w:abstractNum w:abstractNumId="64">
    <w:nsid w:val="25413BEC"/>
    <w:multiLevelType w:val="hybridMultilevel"/>
    <w:lvl w:ilvl="0">
      <w:lvlJc w:val="left"/>
      <w:lvlText w:val="%1."/>
      <w:numFmt w:val="decimal"/>
      <w:start w:val="6"/>
    </w:lvl>
  </w:abstractNum>
  <w:abstractNum w:abstractNumId="65">
    <w:nsid w:val="17180B0B"/>
    <w:multiLevelType w:val="hybridMultilevel"/>
    <w:lvl w:ilvl="0">
      <w:lvlJc w:val="left"/>
      <w:lvlText w:val="%1."/>
      <w:numFmt w:val="decimal"/>
      <w:start w:val="7"/>
    </w:lvl>
  </w:abstractNum>
  <w:abstractNum w:abstractNumId="66">
    <w:nsid w:val="579328B9"/>
    <w:multiLevelType w:val="hybridMultilevel"/>
    <w:lvl w:ilvl="0">
      <w:lvlJc w:val="left"/>
      <w:lvlText w:val="%1."/>
      <w:numFmt w:val="decimal"/>
      <w:start w:val="8"/>
    </w:lvl>
  </w:abstractNum>
  <w:abstractNum w:abstractNumId="67">
    <w:nsid w:val="5D205E20"/>
    <w:multiLevelType w:val="hybridMultilevel"/>
    <w:lvl w:ilvl="0">
      <w:lvlJc w:val="left"/>
      <w:lvlText w:val="%1."/>
      <w:numFmt w:val="decimal"/>
      <w:start w:val="9"/>
    </w:lvl>
  </w:abstractNum>
  <w:abstractNum w:abstractNumId="68">
    <w:nsid w:val="11CCA8BA"/>
    <w:multiLevelType w:val="hybridMultilevel"/>
    <w:lvl w:ilvl="0">
      <w:lvlJc w:val="left"/>
      <w:lvlText w:val="%1."/>
      <w:numFmt w:val="decimal"/>
      <w:start w:val="9"/>
    </w:lvl>
  </w:abstractNum>
  <w:abstractNum w:abstractNumId="69">
    <w:nsid w:val="4D32AB86"/>
    <w:multiLevelType w:val="hybridMultilevel"/>
    <w:lvl w:ilvl="0">
      <w:lvlJc w:val="left"/>
      <w:lvlText w:val="%1."/>
      <w:numFmt w:val="decimal"/>
      <w:start w:val="10"/>
    </w:lvl>
  </w:abstractNum>
  <w:abstractNum w:abstractNumId="70">
    <w:nsid w:val="3F07ACC3"/>
    <w:multiLevelType w:val="hybridMultilevel"/>
    <w:lvl w:ilvl="0">
      <w:lvlJc w:val="left"/>
      <w:lvlText w:val="%1."/>
      <w:numFmt w:val="decimal"/>
      <w:start w:val="10"/>
    </w:lvl>
  </w:abstractNum>
  <w:abstractNum w:abstractNumId="71">
    <w:nsid w:val="6B47F63E"/>
    <w:multiLevelType w:val="hybridMultilevel"/>
    <w:lvl w:ilvl="0">
      <w:lvlJc w:val="left"/>
      <w:lvlText w:val="%1."/>
      <w:numFmt w:val="decimal"/>
      <w:start w:val="10"/>
    </w:lvl>
  </w:abstractNum>
  <w:abstractNum w:abstractNumId="72">
    <w:nsid w:val="5CB44A05"/>
    <w:multiLevelType w:val="hybridMultilevel"/>
    <w:lvl w:ilvl="0">
      <w:lvlJc w:val="left"/>
      <w:lvlText w:val="%1."/>
      <w:numFmt w:val="decimal"/>
      <w:start w:val="10"/>
    </w:lvl>
  </w:abstractNum>
  <w:abstractNum w:abstractNumId="73">
    <w:nsid w:val="16CF80F1"/>
    <w:multiLevelType w:val="hybridMultilevel"/>
    <w:lvl w:ilvl="0">
      <w:lvlJc w:val="left"/>
      <w:lvlText w:val="%1."/>
      <w:numFmt w:val="decimal"/>
      <w:start w:val="10"/>
    </w:lvl>
  </w:abstractNum>
  <w:abstractNum w:abstractNumId="74">
    <w:nsid w:val="1C695DEC"/>
    <w:multiLevelType w:val="hybridMultilevel"/>
    <w:lvl w:ilvl="0">
      <w:lvlJc w:val="left"/>
      <w:lvlText w:val="%1."/>
      <w:numFmt w:val="decimal"/>
      <w:start w:val="10"/>
    </w:lvl>
  </w:abstractNum>
  <w:abstractNum w:abstractNumId="75">
    <w:nsid w:val="3FCFAED9"/>
    <w:multiLevelType w:val="hybridMultilevel"/>
    <w:lvl w:ilvl="0">
      <w:lvlJc w:val="left"/>
      <w:lvlText w:val="%1."/>
      <w:numFmt w:val="decimal"/>
      <w:start w:val="11"/>
    </w:lvl>
  </w:abstractNum>
  <w:abstractNum w:abstractNumId="76">
    <w:nsid w:val="F856867"/>
    <w:multiLevelType w:val="hybridMultilevel"/>
    <w:lvl w:ilvl="0">
      <w:lvlJc w:val="left"/>
      <w:lvlText w:val="%1."/>
      <w:numFmt w:val="decimal"/>
      <w:start w:val="11"/>
    </w:lvl>
  </w:abstractNum>
  <w:abstractNum w:abstractNumId="77">
    <w:nsid w:val="11B1CC33"/>
    <w:multiLevelType w:val="hybridMultilevel"/>
    <w:lvl w:ilvl="0">
      <w:lvlJc w:val="left"/>
      <w:lvlText w:val="%1."/>
      <w:numFmt w:val="decimal"/>
      <w:start w:val="12"/>
    </w:lvl>
  </w:abstractNum>
  <w:abstractNum w:abstractNumId="78">
    <w:nsid w:val="2E22FBB7"/>
    <w:multiLevelType w:val="hybridMultilevel"/>
    <w:lvl w:ilvl="0">
      <w:lvlJc w:val="left"/>
      <w:lvlText w:val="%1."/>
      <w:numFmt w:val="decimal"/>
      <w:start w:val="13"/>
    </w:lvl>
  </w:abstractNum>
  <w:abstractNum w:abstractNumId="79">
    <w:nsid w:val="29934699"/>
    <w:multiLevelType w:val="hybridMultilevel"/>
    <w:lvl w:ilvl="0">
      <w:lvlJc w:val="left"/>
      <w:lvlText w:val="%1."/>
      <w:numFmt w:val="decimal"/>
      <w:start w:val="14"/>
    </w:lvl>
  </w:abstractNum>
  <w:abstractNum w:abstractNumId="80">
    <w:nsid w:val="77485850"/>
    <w:multiLevelType w:val="hybridMultilevel"/>
    <w:lvl w:ilvl="0">
      <w:lvlJc w:val="left"/>
      <w:lvlText w:val="%1."/>
      <w:numFmt w:val="decimal"/>
      <w:start w:val="14"/>
    </w:lvl>
  </w:abstractNum>
  <w:abstractNum w:abstractNumId="81">
    <w:nsid w:val="744939A3"/>
    <w:multiLevelType w:val="hybridMultilevel"/>
    <w:lvl w:ilvl="0">
      <w:lvlJc w:val="left"/>
      <w:lvlText w:val="(%1)"/>
      <w:numFmt w:val="lowerLetter"/>
      <w:start w:val="9"/>
    </w:lvl>
    <w:lvl w:ilvl="1">
      <w:lvlJc w:val="left"/>
      <w:lvlText w:val="(%2)"/>
      <w:numFmt w:val="lowerLetter"/>
      <w:start w:val="1"/>
    </w:lvl>
  </w:abstractNum>
  <w:abstractNum w:abstractNumId="82">
    <w:nsid w:val="4FA0D2E3"/>
    <w:multiLevelType w:val="hybridMultilevel"/>
    <w:lvl w:ilvl="0">
      <w:lvlJc w:val="left"/>
      <w:lvlText w:val="(%1)"/>
      <w:numFmt w:val="lowerLetter"/>
      <w:start w:val="2"/>
    </w:lvl>
  </w:abstractNum>
  <w:abstractNum w:abstractNumId="83">
    <w:nsid w:val="6B1D2C14"/>
    <w:multiLevelType w:val="hybridMultilevel"/>
    <w:lvl w:ilvl="0">
      <w:lvlJc w:val="left"/>
      <w:lvlText w:val="(%1)"/>
      <w:numFmt w:val="lowerLetter"/>
      <w:start w:val="1"/>
    </w:lvl>
  </w:abstractNum>
  <w:abstractNum w:abstractNumId="84">
    <w:nsid w:val="68B867D3"/>
    <w:multiLevelType w:val="hybridMultilevel"/>
    <w:lvl w:ilvl="0">
      <w:lvlJc w:val="left"/>
      <w:lvlText w:val="++"/>
      <w:numFmt w:val="bullet"/>
      <w:start w:val="1"/>
    </w:lvl>
  </w:abstractNum>
  <w:abstractNum w:abstractNumId="85">
    <w:nsid w:val="3F7F5DD9"/>
    <w:multiLevelType w:val="hybridMultilevel"/>
    <w:lvl w:ilvl="0">
      <w:lvlJc w:val="left"/>
      <w:lvlText w:val="+++"/>
      <w:numFmt w:val="bullet"/>
      <w:start w:val="1"/>
    </w:lvl>
  </w:abstractNum>
  <w:abstractNum w:abstractNumId="86">
    <w:nsid w:val="2AE05A34"/>
    <w:multiLevelType w:val="hybridMultilevel"/>
    <w:lvl w:ilvl="0">
      <w:lvlJc w:val="left"/>
      <w:lvlText w:val="++++"/>
      <w:numFmt w:val="bullet"/>
      <w:start w:val="1"/>
    </w:lvl>
  </w:abstractNum>
  <w:abstractNum w:abstractNumId="87">
    <w:nsid w:val="32794FF7"/>
    <w:multiLevelType w:val="hybridMultilevel"/>
    <w:lvl w:ilvl="0">
      <w:lvlJc w:val="left"/>
      <w:lvlText w:val="*"/>
      <w:numFmt w:val="bullet"/>
      <w:start w:val="1"/>
    </w:lvl>
  </w:abstractNum>
  <w:abstractNum w:abstractNumId="88">
    <w:nsid w:val="5454945E"/>
    <w:multiLevelType w:val="hybridMultilevel"/>
    <w:lvl w:ilvl="0">
      <w:lvlJc w:val="left"/>
      <w:lvlText w:val="#"/>
      <w:numFmt w:val="bullet"/>
      <w:start w:val="1"/>
    </w:lvl>
  </w:abstractNum>
  <w:abstractNum w:abstractNumId="89">
    <w:nsid w:val="4DEFDFA0"/>
    <w:multiLevelType w:val="hybridMultilevel"/>
    <w:lvl w:ilvl="0">
      <w:lvlJc w:val="left"/>
      <w:lvlText w:val="**"/>
      <w:numFmt w:val="bullet"/>
      <w:start w:val="1"/>
    </w:lvl>
  </w:abstractNum>
  <w:abstractNum w:abstractNumId="90">
    <w:nsid w:val="2123D5F2"/>
    <w:multiLevelType w:val="hybridMultilevel"/>
    <w:lvl w:ilvl="0">
      <w:lvlJc w:val="left"/>
      <w:lvlText w:val="##"/>
      <w:numFmt w:val="bullet"/>
      <w:start w:val="1"/>
    </w:lvl>
  </w:abstractNum>
  <w:abstractNum w:abstractNumId="91">
    <w:nsid w:val="135B8110"/>
    <w:multiLevelType w:val="hybridMultilevel"/>
    <w:lvl w:ilvl="0">
      <w:lvlJc w:val="left"/>
      <w:lvlText w:val="+"/>
      <w:numFmt w:val="bullet"/>
      <w:start w:val="1"/>
    </w:lvl>
  </w:abstractNum>
  <w:abstractNum w:abstractNumId="92">
    <w:nsid w:val="94927A8"/>
    <w:multiLevelType w:val="hybridMultilevel"/>
    <w:lvl w:ilvl="0">
      <w:lvlJc w:val="left"/>
      <w:lvlText w:val="!"/>
      <w:numFmt w:val="bullet"/>
      <w:start w:val="1"/>
    </w:lvl>
  </w:abstractNum>
  <w:abstractNum w:abstractNumId="93">
    <w:nsid w:val="DCDF8F6"/>
    <w:multiLevelType w:val="hybridMultilevel"/>
    <w:lvl w:ilvl="0">
      <w:lvlJc w:val="left"/>
      <w:lvlText w:val="!!"/>
      <w:numFmt w:val="bullet"/>
      <w:start w:val="1"/>
    </w:lvl>
  </w:abstractNum>
  <w:abstractNum w:abstractNumId="94">
    <w:nsid w:val="52D7B105"/>
    <w:multiLevelType w:val="hybridMultilevel"/>
    <w:lvl w:ilvl="0">
      <w:lvlJc w:val="left"/>
      <w:lvlText w:val="!!!"/>
      <w:numFmt w:val="bullet"/>
      <w:start w:val="1"/>
    </w:lvl>
  </w:abstractNum>
  <w:abstractNum w:abstractNumId="95">
    <w:nsid w:val="2E8A6394"/>
    <w:multiLevelType w:val="hybridMultilevel"/>
    <w:lvl w:ilvl="0">
      <w:lvlJc w:val="left"/>
      <w:lvlText w:val="!!!!"/>
      <w:numFmt w:val="bullet"/>
      <w:start w:val="1"/>
    </w:lvl>
  </w:abstractNum>
  <w:abstractNum w:abstractNumId="96">
    <w:nsid w:val="24E60401"/>
    <w:multiLevelType w:val="hybridMultilevel"/>
    <w:lvl w:ilvl="0">
      <w:lvlJc w:val="left"/>
      <w:lvlText w:val="***"/>
      <w:numFmt w:val="bullet"/>
      <w:start w:val="1"/>
    </w:lvl>
  </w:abstractNum>
  <w:abstractNum w:abstractNumId="97">
    <w:nsid w:val="2A6AD9BE"/>
    <w:multiLevelType w:val="hybridMultilevel"/>
    <w:lvl w:ilvl="0">
      <w:lvlJc w:val="left"/>
      <w:lvlText w:val="****"/>
      <w:numFmt w:val="bullet"/>
      <w:start w:val="1"/>
    </w:lvl>
  </w:abstractNum>
  <w:abstractNum w:abstractNumId="98">
    <w:nsid w:val="BAAC1B4"/>
    <w:multiLevelType w:val="hybridMultilevel"/>
    <w:lvl w:ilvl="0">
      <w:lvlJc w:val="left"/>
      <w:lvlText w:val="###"/>
      <w:numFmt w:val="bullet"/>
      <w:start w:val="1"/>
    </w:lvl>
  </w:abstractNum>
  <w:abstractNum w:abstractNumId="99">
    <w:nsid w:val="36B2ACBC"/>
    <w:multiLevelType w:val="hybridMultilevel"/>
    <w:lvl w:ilvl="0">
      <w:lvlJc w:val="left"/>
      <w:lvlText w:val="[*]"/>
      <w:numFmt w:val="bullet"/>
      <w:start w:val="1"/>
    </w:lvl>
  </w:abstractNum>
  <w:abstractNum w:abstractNumId="100">
    <w:nsid w:val="779D8544"/>
    <w:multiLevelType w:val="hybridMultilevel"/>
    <w:lvl w:ilvl="0">
      <w:lvlJc w:val="left"/>
      <w:lvlText w:val="X"/>
      <w:numFmt w:val="bullet"/>
      <w:start w:val="1"/>
    </w:lvl>
  </w:abstractNum>
  <w:abstractNum w:abstractNumId="101">
    <w:nsid w:val="4AB26E78"/>
    <w:multiLevelType w:val="hybridMultilevel"/>
    <w:lvl w:ilvl="0">
      <w:lvlJc w:val="left"/>
      <w:lvlText w:val="%1"/>
      <w:numFmt w:val="upperLetter"/>
      <w:start w:val="50"/>
    </w:lvl>
  </w:abstractNum>
  <w:abstractNum w:abstractNumId="102">
    <w:nsid w:val="21FAA2FA"/>
    <w:multiLevelType w:val="hybridMultilevel"/>
    <w:lvl w:ilvl="0">
      <w:lvlJc w:val="left"/>
      <w:lvlText w:val="%1"/>
      <w:numFmt w:val="upperLetter"/>
      <w:start w:val="76"/>
    </w:lvl>
  </w:abstractNum>
  <w:abstractNum w:abstractNumId="103">
    <w:nsid w:val="5451CF49"/>
    <w:multiLevelType w:val="hybridMultilevel"/>
    <w:lvl w:ilvl="0">
      <w:lvlJc w:val="left"/>
      <w:lvlText w:val="(%1)"/>
      <w:numFmt w:val="lowerLetter"/>
      <w:start w:val="1"/>
    </w:lvl>
  </w:abstractNum>
  <w:abstractNum w:abstractNumId="104">
    <w:nsid w:val="6181EF69"/>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105">
    <w:nsid w:val="3E6400E6"/>
    <w:multiLevelType w:val="hybridMultilevel"/>
    <w:lvl w:ilvl="0">
      <w:lvlJc w:val="left"/>
      <w:lvlText w:val="(%1)"/>
      <w:numFmt w:val="lowerLetter"/>
      <w:start w:val="3"/>
    </w:lvl>
  </w:abstractNum>
  <w:abstractNum w:abstractNumId="106">
    <w:nsid w:val="14217E23"/>
    <w:multiLevelType w:val="hybridMultilevel"/>
    <w:lvl w:ilvl="0">
      <w:lvlJc w:val="left"/>
      <w:lvlText w:val="*"/>
      <w:numFmt w:val="bullet"/>
      <w:start w:val="1"/>
    </w:lvl>
  </w:abstractNum>
  <w:abstractNum w:abstractNumId="107">
    <w:nsid w:val="710757D0"/>
    <w:multiLevelType w:val="hybridMultilevel"/>
    <w:lvl w:ilvl="0">
      <w:lvlJc w:val="left"/>
      <w:lvlText w:val="++"/>
      <w:numFmt w:val="bullet"/>
      <w:start w:val="1"/>
    </w:lvl>
  </w:abstractNum>
  <w:abstractNum w:abstractNumId="108">
    <w:nsid w:val="5015CD1A"/>
    <w:multiLevelType w:val="hybridMultilevel"/>
    <w:lvl w:ilvl="0">
      <w:lvlJc w:val="left"/>
      <w:lvlText w:val="+++"/>
      <w:numFmt w:val="bullet"/>
      <w:start w:val="1"/>
    </w:lvl>
  </w:abstractNum>
  <w:abstractNum w:abstractNumId="109">
    <w:nsid w:val="424479DA"/>
    <w:multiLevelType w:val="hybridMultilevel"/>
    <w:lvl w:ilvl="0">
      <w:lvlJc w:val="left"/>
      <w:lvlText w:val="++++"/>
      <w:numFmt w:val="bullet"/>
      <w:start w:val="1"/>
    </w:lvl>
  </w:abstractNum>
  <w:abstractNum w:abstractNumId="110">
    <w:nsid w:val="1A9A9E69"/>
    <w:multiLevelType w:val="hybridMultilevel"/>
    <w:lvl w:ilvl="0">
      <w:lvlJc w:val="left"/>
      <w:lvlText w:val="*"/>
      <w:numFmt w:val="bullet"/>
      <w:start w:val="1"/>
    </w:lvl>
  </w:abstractNum>
  <w:abstractNum w:abstractNumId="111">
    <w:nsid w:val="475E256A"/>
    <w:multiLevelType w:val="hybridMultilevel"/>
    <w:lvl w:ilvl="0">
      <w:lvlJc w:val="left"/>
      <w:lvlText w:val="#"/>
      <w:numFmt w:val="bullet"/>
      <w:start w:val="1"/>
    </w:lvl>
  </w:abstractNum>
  <w:abstractNum w:abstractNumId="112">
    <w:nsid w:val="368DB37E"/>
    <w:multiLevelType w:val="hybridMultilevel"/>
    <w:lvl w:ilvl="0">
      <w:lvlJc w:val="left"/>
      <w:lvlText w:val="**"/>
      <w:numFmt w:val="bullet"/>
      <w:start w:val="1"/>
    </w:lvl>
  </w:abstractNum>
  <w:abstractNum w:abstractNumId="113">
    <w:nsid w:val="6A3B714C"/>
    <w:multiLevelType w:val="hybridMultilevel"/>
    <w:lvl w:ilvl="0">
      <w:lvlJc w:val="left"/>
      <w:lvlText w:val="##"/>
      <w:numFmt w:val="bullet"/>
      <w:start w:val="1"/>
    </w:lvl>
  </w:abstractNum>
  <w:abstractNum w:abstractNumId="114">
    <w:nsid w:val="327B517E"/>
    <w:multiLevelType w:val="hybridMultilevel"/>
    <w:lvl w:ilvl="0">
      <w:lvlJc w:val="left"/>
      <w:lvlText w:val="+"/>
      <w:numFmt w:val="bullet"/>
      <w:start w:val="1"/>
    </w:lvl>
  </w:abstractNum>
  <w:abstractNum w:abstractNumId="115">
    <w:nsid w:val="1F461B51"/>
    <w:multiLevelType w:val="hybridMultilevel"/>
    <w:lvl w:ilvl="0">
      <w:lvlJc w:val="left"/>
      <w:lvlText w:val="!"/>
      <w:numFmt w:val="bullet"/>
      <w:start w:val="1"/>
    </w:lvl>
  </w:abstractNum>
  <w:abstractNum w:abstractNumId="116">
    <w:nsid w:val="29BACF25"/>
    <w:multiLevelType w:val="hybridMultilevel"/>
    <w:lvl w:ilvl="0">
      <w:lvlJc w:val="left"/>
      <w:lvlText w:val="!!"/>
      <w:numFmt w:val="bullet"/>
      <w:start w:val="1"/>
    </w:lvl>
  </w:abstractNum>
  <w:abstractNum w:abstractNumId="117">
    <w:nsid w:val="5D5BABB3"/>
    <w:multiLevelType w:val="hybridMultilevel"/>
    <w:lvl w:ilvl="0">
      <w:lvlJc w:val="left"/>
      <w:lvlText w:val="!!!"/>
      <w:numFmt w:val="bullet"/>
      <w:start w:val="1"/>
    </w:lvl>
  </w:abstractNum>
  <w:abstractNum w:abstractNumId="118">
    <w:nsid w:val="51BF6B48"/>
    <w:multiLevelType w:val="hybridMultilevel"/>
    <w:lvl w:ilvl="0">
      <w:lvlJc w:val="left"/>
      <w:lvlText w:val="!!!!"/>
      <w:numFmt w:val="bullet"/>
      <w:start w:val="1"/>
    </w:lvl>
  </w:abstractNum>
  <w:abstractNum w:abstractNumId="119">
    <w:nsid w:val="7E0F6384"/>
    <w:multiLevelType w:val="hybridMultilevel"/>
    <w:lvl w:ilvl="0">
      <w:lvlJc w:val="left"/>
      <w:lvlText w:val="***"/>
      <w:numFmt w:val="bullet"/>
      <w:start w:val="1"/>
    </w:lvl>
  </w:abstractNum>
  <w:abstractNum w:abstractNumId="120">
    <w:nsid w:val="2B4B8B53"/>
    <w:multiLevelType w:val="hybridMultilevel"/>
    <w:lvl w:ilvl="0">
      <w:lvlJc w:val="left"/>
      <w:lvlText w:val="****"/>
      <w:numFmt w:val="bullet"/>
      <w:start w:val="1"/>
    </w:lvl>
  </w:abstractNum>
  <w:abstractNum w:abstractNumId="121">
    <w:nsid w:val="72E3413A"/>
    <w:multiLevelType w:val="hybridMultilevel"/>
    <w:lvl w:ilvl="0">
      <w:lvlJc w:val="left"/>
      <w:lvlText w:val="###"/>
      <w:numFmt w:val="bullet"/>
      <w:start w:val="1"/>
    </w:lvl>
  </w:abstractNum>
  <w:abstractNum w:abstractNumId="122">
    <w:nsid w:val="116AE494"/>
    <w:multiLevelType w:val="hybridMultilevel"/>
    <w:lvl w:ilvl="0">
      <w:lvlJc w:val="left"/>
      <w:lvlText w:val="[*]"/>
      <w:numFmt w:val="bullet"/>
      <w:start w:val="1"/>
    </w:lvl>
  </w:abstractNum>
  <w:abstractNum w:abstractNumId="123">
    <w:nsid w:val="3494B2FB"/>
    <w:multiLevelType w:val="hybridMultilevel"/>
    <w:lvl w:ilvl="0">
      <w:lvlJc w:val="left"/>
      <w:lvlText w:val="X"/>
      <w:numFmt w:val="bullet"/>
      <w:start w:val="1"/>
    </w:lvl>
  </w:abstractNum>
  <w:abstractNum w:abstractNumId="124">
    <w:nsid w:val="B13A31"/>
    <w:multiLevelType w:val="hybridMultilevel"/>
    <w:lvl w:ilvl="0">
      <w:lvlJc w:val="left"/>
      <w:lvlText w:val="%1"/>
      <w:numFmt w:val="upperLetter"/>
      <w:start w:val="50"/>
    </w:lvl>
  </w:abstractNum>
  <w:abstractNum w:abstractNumId="125">
    <w:nsid w:val="64429599"/>
    <w:multiLevelType w:val="hybridMultilevel"/>
    <w:lvl w:ilvl="0">
      <w:lvlJc w:val="left"/>
      <w:lvlText w:val="%1"/>
      <w:numFmt w:val="upperLetter"/>
      <w:start w:val="76"/>
    </w:lvl>
  </w:abstractNum>
  <w:abstractNum w:abstractNumId="126">
    <w:nsid w:val="631F1690"/>
    <w:multiLevelType w:val="hybridMultilevel"/>
    <w:lvl w:ilvl="0">
      <w:lvlJc w:val="left"/>
      <w:lvlText w:val="%1."/>
      <w:numFmt w:val="decimal"/>
      <w:start w:val="1"/>
    </w:lvl>
    <w:lvl w:ilvl="1">
      <w:lvlJc w:val="left"/>
      <w:lvlText w:val="(%2)"/>
      <w:numFmt w:val="lowerLetter"/>
      <w:start w:val="1"/>
    </w:lvl>
  </w:abstractNum>
  <w:abstractNum w:abstractNumId="127">
    <w:nsid w:val="25973E32"/>
    <w:multiLevelType w:val="hybridMultilevel"/>
    <w:lvl w:ilvl="0">
      <w:lvlJc w:val="left"/>
      <w:lvlText w:val="%1"/>
      <w:numFmt w:val="decimal"/>
      <w:start w:val="1"/>
    </w:lvl>
    <w:lvl w:ilvl="1">
      <w:lvlJc w:val="left"/>
      <w:lvlText w:val="(%2)"/>
      <w:numFmt w:val="lowerLetter"/>
      <w:start w:val="2"/>
    </w:lvl>
  </w:abstractNum>
  <w:abstractNum w:abstractNumId="128">
    <w:nsid w:val="EAD6F57"/>
    <w:multiLevelType w:val="hybridMultilevel"/>
    <w:lvl w:ilvl="0">
      <w:lvlJc w:val="left"/>
      <w:lvlText w:val="%1."/>
      <w:numFmt w:val="decimal"/>
      <w:start w:val="3"/>
    </w:lvl>
    <w:lvl w:ilvl="1">
      <w:lvlJc w:val="left"/>
      <w:lvlText w:val="(%2)"/>
      <w:numFmt w:val="lowerLetter"/>
      <w:start w:val="1"/>
    </w:lvl>
  </w:abstractNum>
  <w:abstractNum w:abstractNumId="129">
    <w:nsid w:val="6EC9D844"/>
    <w:multiLevelType w:val="hybridMultilevel"/>
    <w:lvl w:ilvl="0">
      <w:lvlJc w:val="left"/>
      <w:lvlText w:val="(%1)"/>
      <w:numFmt w:val="lowerLetter"/>
      <w:start w:val="3"/>
    </w:lvl>
  </w:abstractNum>
  <w:abstractNum w:abstractNumId="130">
    <w:nsid w:val="5C49EAEE"/>
    <w:multiLevelType w:val="hybridMultilevel"/>
    <w:lvl w:ilvl="0">
      <w:lvlJc w:val="left"/>
      <w:lvlText w:val="%1"/>
      <w:numFmt w:val="decimal"/>
      <w:start w:val="1"/>
    </w:lvl>
    <w:lvl w:ilvl="1">
      <w:lvlJc w:val="left"/>
      <w:lvlText w:val="(%2)"/>
      <w:numFmt w:val="lowerLetter"/>
      <w:start w:val="4"/>
    </w:lvl>
  </w:abstractNum>
  <w:abstractNum w:abstractNumId="131">
    <w:nsid w:val="64AF49B"/>
    <w:multiLevelType w:val="hybridMultilevel"/>
    <w:lvl w:ilvl="0">
      <w:lvlJc w:val="left"/>
      <w:lvlText w:val="%1."/>
      <w:numFmt w:val="decimal"/>
      <w:start w:val="4"/>
    </w:lvl>
    <w:lvl w:ilvl="1">
      <w:lvlJc w:val="left"/>
      <w:lvlText w:val="%2"/>
      <w:numFmt w:val="lowerLetter"/>
      <w:start w:val="1"/>
    </w:lvl>
  </w:abstractNum>
  <w:abstractNum w:abstractNumId="132">
    <w:nsid w:val="397C46BC"/>
    <w:multiLevelType w:val="hybridMultilevel"/>
    <w:lvl w:ilvl="0">
      <w:lvlJc w:val="left"/>
      <w:lvlText w:val="%1."/>
      <w:numFmt w:val="decimal"/>
      <w:start w:val="5"/>
    </w:lvl>
  </w:abstractNum>
  <w:abstractNum w:abstractNumId="133">
    <w:nsid w:val="7E448DE9"/>
    <w:multiLevelType w:val="hybridMultilevel"/>
    <w:lvl w:ilvl="0">
      <w:lvlJc w:val="left"/>
      <w:lvlText w:val="%1."/>
      <w:numFmt w:val="decimal"/>
      <w:start w:val="9"/>
    </w:lvl>
    <w:lvl w:ilvl="1">
      <w:lvlJc w:val="left"/>
      <w:lvlText w:val="(%2)"/>
      <w:numFmt w:val="lowerLetter"/>
      <w:start w:val="1"/>
    </w:lvl>
  </w:abstractNum>
  <w:abstractNum w:abstractNumId="134">
    <w:nsid w:val="5A9CC3E5"/>
    <w:multiLevelType w:val="hybridMultilevel"/>
    <w:lvl w:ilvl="0">
      <w:lvlJc w:val="left"/>
      <w:lvlText w:val="(%1)"/>
      <w:numFmt w:val="lowerLetter"/>
      <w:start w:val="4"/>
    </w:lvl>
  </w:abstractNum>
  <w:abstractNum w:abstractNumId="135">
    <w:nsid w:val="1AFE3625"/>
    <w:multiLevelType w:val="hybridMultilevel"/>
    <w:lvl w:ilvl="0">
      <w:lvlJc w:val="left"/>
      <w:lvlText w:val="(%1)"/>
      <w:numFmt w:val="lowerLetter"/>
      <w:start w:val="5"/>
    </w:lvl>
    <w:lvl w:ilvl="1">
      <w:lvlJc w:val="left"/>
      <w:lvlText w:val="(%2)"/>
      <w:numFmt w:val="lowerLetter"/>
      <w:start w:val="9"/>
    </w:lvl>
  </w:abstractNum>
  <w:abstractNum w:abstractNumId="136">
    <w:nsid w:val="3CA88EC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137">
    <w:nsid w:val="6EBE420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lvl w:ilvl="3">
      <w:lvlJc w:val="left"/>
      <w:lvlText w:val="%4"/>
      <w:numFmt w:val="lowerLetter"/>
      <w:start w:val="1"/>
    </w:lvl>
  </w:abstractNum>
  <w:abstractNum w:abstractNumId="138">
    <w:nsid w:val="C058DF5"/>
    <w:multiLevelType w:val="hybridMultilevel"/>
    <w:lvl w:ilvl="0">
      <w:lvlJc w:val="left"/>
      <w:lvlText w:val="(%1)"/>
      <w:numFmt w:val="lowerLetter"/>
      <w:start w:val="61"/>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139">
    <w:nsid w:val="CBE5BE9"/>
    <w:multiLevelType w:val="hybridMultilevel"/>
    <w:lvl w:ilvl="0">
      <w:lvlJc w:val="left"/>
      <w:lvlText w:val="%1."/>
      <w:numFmt w:val="decimal"/>
      <w:start w:val="11"/>
    </w:lvl>
    <w:lvl w:ilvl="1">
      <w:lvlJc w:val="left"/>
      <w:lvlText w:val="(%2)"/>
      <w:numFmt w:val="lowerLetter"/>
      <w:start w:val="1"/>
    </w:lvl>
  </w:abstractNum>
  <w:abstractNum w:abstractNumId="140">
    <w:nsid w:val="3102BBE2"/>
    <w:multiLevelType w:val="hybridMultilevel"/>
    <w:lvl w:ilvl="0">
      <w:lvlJc w:val="left"/>
      <w:lvlText w:val="(%1)"/>
      <w:numFmt w:val="lowerRoman"/>
      <w:start w:val="10"/>
    </w:lvl>
  </w:abstractNum>
  <w:abstractNum w:abstractNumId="141">
    <w:nsid w:val="26A02C5E"/>
    <w:multiLevelType w:val="hybridMultilevel"/>
    <w:lvl w:ilvl="0">
      <w:lvlJc w:val="left"/>
      <w:lvlText w:val="(%1)"/>
      <w:numFmt w:val="lowerLetter"/>
      <w:start w:val="25"/>
    </w:lvl>
  </w:abstractNum>
  <w:abstractNum w:abstractNumId="142">
    <w:nsid w:val="541C8153"/>
    <w:multiLevelType w:val="hybridMultilevel"/>
    <w:lvl w:ilvl="0">
      <w:lvlJc w:val="left"/>
      <w:lvlText w:val="%1."/>
      <w:numFmt w:val="decimal"/>
      <w:start w:val="12"/>
    </w:lvl>
  </w:abstractNum>
  <w:abstractNum w:abstractNumId="143">
    <w:nsid w:val="67906F60"/>
    <w:multiLevelType w:val="hybridMultilevel"/>
    <w:lvl w:ilvl="0">
      <w:lvlJc w:val="left"/>
      <w:lvlText w:val="%1."/>
      <w:numFmt w:val="decimal"/>
      <w:start w:val="14"/>
    </w:lvl>
    <w:lvl w:ilvl="1">
      <w:lvlJc w:val="left"/>
      <w:lvlText w:val="(%2)"/>
      <w:numFmt w:val="lowerLetter"/>
      <w:start w:val="1"/>
    </w:lvl>
  </w:abstractNum>
  <w:abstractNum w:abstractNumId="144">
    <w:nsid w:val="10DB9DAA"/>
    <w:multiLevelType w:val="hybridMultilevel"/>
    <w:lvl w:ilvl="0">
      <w:lvlJc w:val="left"/>
      <w:lvlText w:val="-"/>
      <w:numFmt w:val="bullet"/>
      <w:start w:val="1"/>
    </w:lvl>
  </w:abstractNum>
  <w:abstractNum w:abstractNumId="145">
    <w:nsid w:val="697D2D2"/>
    <w:multiLevelType w:val="hybridMultilevel"/>
    <w:lvl w:ilvl="0">
      <w:lvlJc w:val="left"/>
      <w:lvlText w:val="-"/>
      <w:numFmt w:val="bullet"/>
      <w:start w:val="1"/>
    </w:lvl>
  </w:abstractNum>
  <w:abstractNum w:abstractNumId="146">
    <w:nsid w:val="6D68AB2"/>
    <w:multiLevelType w:val="hybridMultilevel"/>
    <w:lvl w:ilvl="0">
      <w:lvlJc w:val="left"/>
      <w:lvlText w:val="-"/>
      <w:numFmt w:val="bullet"/>
      <w:start w:val="1"/>
    </w:lvl>
  </w:abstractNum>
  <w:abstractNum w:abstractNumId="147">
    <w:nsid w:val="3A966CD0"/>
    <w:multiLevelType w:val="hybridMultilevel"/>
    <w:lvl w:ilvl="0">
      <w:lvlJc w:val="left"/>
      <w:lvlText w:val="(%1)"/>
      <w:numFmt w:val="lowerRoman"/>
      <w:start w:val="1"/>
    </w:lvl>
  </w:abstractNum>
  <w:abstractNum w:abstractNumId="148">
    <w:nsid w:val="63F37E85"/>
    <w:multiLevelType w:val="hybridMultilevel"/>
    <w:lvl w:ilvl="0">
      <w:lvlJc w:val="left"/>
      <w:lvlText w:val="(%1)"/>
      <w:numFmt w:val="decimal"/>
      <w:start w:val="1"/>
    </w:lvl>
    <w:lvl w:ilvl="1">
      <w:lvlJc w:val="left"/>
      <w:lvlText w:val="(%2)"/>
      <w:numFmt w:val="lowerRoman"/>
      <w:start w:val="2"/>
    </w:lvl>
  </w:abstractNum>
  <w:abstractNum w:abstractNumId="149">
    <w:nsid w:val="5895F5FA"/>
    <w:multiLevelType w:val="hybridMultilevel"/>
    <w:lvl w:ilvl="0">
      <w:lvlJc w:val="left"/>
      <w:lvlText w:val="(%1)"/>
      <w:numFmt w:val="decimal"/>
      <w:start w:val="45"/>
    </w:lvl>
    <w:lvl w:ilvl="1">
      <w:lvlJc w:val="left"/>
      <w:lvlText w:val="(%2)"/>
      <w:numFmt w:val="lowerRoman"/>
      <w:start w:val="3"/>
    </w:lvl>
  </w:abstractNum>
  <w:abstractNum w:abstractNumId="150">
    <w:nsid w:val="38A5D054"/>
    <w:multiLevelType w:val="hybridMultilevel"/>
    <w:lvl w:ilvl="0">
      <w:lvlJc w:val="left"/>
      <w:lvlText w:val="(%1)"/>
      <w:numFmt w:val="lowerRoman"/>
      <w:start w:val="4"/>
    </w:lvl>
  </w:abstractNum>
  <w:abstractNum w:abstractNumId="151">
    <w:nsid w:val="F3F09D8"/>
    <w:multiLevelType w:val="hybridMultilevel"/>
    <w:lvl w:ilvl="0">
      <w:lvlJc w:val="left"/>
      <w:lvlText w:val="(%1)"/>
      <w:numFmt w:val="lowerRoman"/>
      <w:start w:val="2"/>
    </w:lvl>
    <w:lvl w:ilvl="1">
      <w:lvlJc w:val="left"/>
      <w:lvlText w:val="%2"/>
      <w:numFmt w:val="lowerRoman"/>
      <w:start w:val="1"/>
    </w:lvl>
  </w:abstractNum>
  <w:abstractNum w:abstractNumId="152">
    <w:nsid w:val="4B793735"/>
    <w:multiLevelType w:val="hybridMultilevel"/>
    <w:lvl w:ilvl="0">
      <w:lvlJc w:val="left"/>
      <w:lvlText w:val="(%1)"/>
      <w:numFmt w:val="lowerRoman"/>
      <w:start w:val="2"/>
    </w:lvl>
    <w:lvl w:ilvl="1">
      <w:lvlJc w:val="left"/>
      <w:lvlText w:val="(%2)"/>
      <w:numFmt w:val="lowerRoman"/>
      <w:start w:val="5"/>
    </w:lvl>
  </w:abstractNum>
  <w:abstractNum w:abstractNumId="153">
    <w:nsid w:val="4A10B4E8"/>
    <w:multiLevelType w:val="hybridMultilevel"/>
    <w:lvl w:ilvl="0">
      <w:lvlJc w:val="left"/>
      <w:lvlText w:val="(%1)"/>
      <w:numFmt w:val="lowerRoman"/>
      <w:start w:val="10"/>
    </w:lvl>
    <w:lvl w:ilvl="1">
      <w:lvlJc w:val="left"/>
      <w:lvlText w:val="(%2)"/>
      <w:numFmt w:val="lowerRoman"/>
      <w:start w:val="6"/>
    </w:lvl>
  </w:abstractNum>
  <w:abstractNum w:abstractNumId="154">
    <w:nsid w:val="43D3BCD4"/>
    <w:multiLevelType w:val="hybridMultilevel"/>
    <w:lvl w:ilvl="0">
      <w:lvlJc w:val="left"/>
      <w:lvlText w:val="(%1)"/>
      <w:numFmt w:val="lowerLetter"/>
      <w:start w:val="25"/>
    </w:lvl>
  </w:abstractNum>
  <w:abstractNum w:abstractNumId="155">
    <w:nsid w:val="4C2A7166"/>
    <w:multiLevelType w:val="hybridMultilevel"/>
    <w:lvl w:ilvl="0">
      <w:lvlJc w:val="left"/>
      <w:lvlText w:val="(%1)"/>
      <w:numFmt w:val="lowerLetter"/>
      <w:start w:val="35"/>
    </w:lvl>
    <w:lvl w:ilvl="1">
      <w:lvlJc w:val="left"/>
      <w:lvlText w:val="(%2)"/>
      <w:numFmt w:val="lowerLetter"/>
      <w:start w:val="1"/>
    </w:lvl>
  </w:abstractNum>
  <w:abstractNum w:abstractNumId="156">
    <w:nsid w:val="2E534A82"/>
    <w:multiLevelType w:val="hybridMultilevel"/>
    <w:lvl w:ilvl="0">
      <w:lvlJc w:val="left"/>
      <w:lvlText w:val="(%1)"/>
      <w:numFmt w:val="lowerLetter"/>
      <w:start w:val="2"/>
    </w:lvl>
  </w:abstractNum>
  <w:abstractNum w:abstractNumId="157">
    <w:nsid w:val="26F2D364"/>
    <w:multiLevelType w:val="hybridMultilevel"/>
    <w:lvl w:ilvl="0">
      <w:lvlJc w:val="left"/>
      <w:lvlText w:val="(%1)"/>
      <w:numFmt w:val="lowerLetter"/>
      <w:start w:val="2"/>
    </w:lvl>
  </w:abstractNum>
  <w:abstractNum w:abstractNumId="158">
    <w:nsid w:val="71C1AF98"/>
    <w:multiLevelType w:val="hybridMultilevel"/>
    <w:lvl w:ilvl="0">
      <w:lvlJc w:val="left"/>
      <w:lvlText w:val="(%1)"/>
      <w:numFmt w:val="lowerLetter"/>
      <w:start w:val="3"/>
    </w:lvl>
  </w:abstractNum>
  <w:abstractNum w:abstractNumId="159">
    <w:nsid w:val="3D00B9D9"/>
    <w:multiLevelType w:val="hybridMultilevel"/>
    <w:lvl w:ilvl="0">
      <w:lvlJc w:val="left"/>
      <w:lvlText w:val="(%1)"/>
      <w:numFmt w:val="lowerRoman"/>
      <w:start w:val="10"/>
    </w:lvl>
  </w:abstractNum>
  <w:abstractNum w:abstractNumId="160">
    <w:nsid w:val="15BCABA8"/>
    <w:multiLevelType w:val="hybridMultilevel"/>
    <w:lvl w:ilvl="0">
      <w:lvlJc w:val="left"/>
      <w:lvlText w:val="(%1)"/>
      <w:numFmt w:val="lowerLetter"/>
      <w:start w:val="25"/>
    </w:lvl>
  </w:abstractNum>
  <w:abstractNum w:abstractNumId="161">
    <w:nsid w:val="4E0B9A87"/>
    <w:multiLevelType w:val="hybridMultilevel"/>
    <w:lvl w:ilvl="0">
      <w:lvlJc w:val="left"/>
      <w:lvlText w:val="(%1)"/>
      <w:numFmt w:val="decimal"/>
      <w:start w:val="5"/>
    </w:lvl>
  </w:abstractNum>
  <w:abstractNum w:abstractNumId="162">
    <w:nsid w:val="434BAE75"/>
    <w:multiLevelType w:val="hybridMultilevel"/>
    <w:lvl w:ilvl="0">
      <w:lvlJc w:val="left"/>
      <w:lvlText w:val="(%1)"/>
      <w:numFmt w:val="lowerLetter"/>
      <w:start w:val="2"/>
    </w:lvl>
  </w:abstractNum>
  <w:abstractNum w:abstractNumId="163">
    <w:nsid w:val="4F38F265"/>
    <w:multiLevelType w:val="hybridMultilevel"/>
    <w:lvl w:ilvl="0">
      <w:lvlJc w:val="left"/>
      <w:lvlText w:val="(%1)"/>
      <w:numFmt w:val="decimal"/>
      <w:start w:val="1"/>
    </w:lvl>
  </w:abstractNum>
  <w:abstractNum w:abstractNumId="164">
    <w:nsid w:val="4C502870"/>
    <w:multiLevelType w:val="hybridMultilevel"/>
    <w:lvl w:ilvl="0">
      <w:lvlJc w:val="left"/>
      <w:lvlText w:val="(%1)"/>
      <w:numFmt w:val="lowerLetter"/>
      <w:start w:val="3"/>
    </w:lvl>
  </w:abstractNum>
  <w:abstractNum w:abstractNumId="165">
    <w:nsid w:val="1DE8725A"/>
    <w:multiLevelType w:val="hybridMultilevel"/>
    <w:lvl w:ilvl="0">
      <w:lvlJc w:val="left"/>
      <w:lvlText w:val="(%1)"/>
      <w:numFmt w:val="lowerLetter"/>
      <w:start w:val="1"/>
    </w:lvl>
  </w:abstractNum>
  <w:abstractNum w:abstractNumId="166">
    <w:nsid w:val="6A37288A"/>
    <w:multiLevelType w:val="hybridMultilevel"/>
    <w:lvl w:ilvl="0">
      <w:lvlJc w:val="left"/>
      <w:lvlText w:val="%1."/>
      <w:numFmt w:val="decimal"/>
      <w:start w:val="2"/>
    </w:lvl>
  </w:abstractNum>
  <w:abstractNum w:abstractNumId="167">
    <w:nsid w:val="8F8B73F"/>
    <w:multiLevelType w:val="hybridMultilevel"/>
    <w:lvl w:ilvl="0">
      <w:lvlJc w:val="left"/>
      <w:lvlText w:val="(%1)"/>
      <w:numFmt w:val="lowerLetter"/>
      <w:start w:val="2"/>
    </w:lvl>
  </w:abstractNum>
  <w:abstractNum w:abstractNumId="168">
    <w:nsid w:val="CA6B462"/>
    <w:multiLevelType w:val="hybridMultilevel"/>
    <w:lvl w:ilvl="0">
      <w:lvlJc w:val="left"/>
      <w:lvlText w:val="%1."/>
      <w:numFmt w:val="decimal"/>
      <w:start w:val="3"/>
    </w:lvl>
  </w:abstractNum>
  <w:abstractNum w:abstractNumId="169">
    <w:nsid w:val="763CB680"/>
    <w:multiLevelType w:val="hybridMultilevel"/>
    <w:lvl w:ilvl="0">
      <w:lvlJc w:val="left"/>
      <w:lvlText w:val="(%1)"/>
      <w:numFmt w:val="lowerLetter"/>
      <w:start w:val="2"/>
    </w:lvl>
  </w:abstractNum>
  <w:abstractNum w:abstractNumId="170">
    <w:nsid w:val="15B71329"/>
    <w:multiLevelType w:val="hybridMultilevel"/>
    <w:lvl w:ilvl="0">
      <w:lvlJc w:val="left"/>
      <w:lvlText w:val="%1"/>
      <w:numFmt w:val="decimal"/>
      <w:start w:val="1"/>
    </w:lvl>
    <w:lvl w:ilvl="1">
      <w:lvlJc w:val="left"/>
      <w:lvlText w:val="%2."/>
      <w:numFmt w:val="decimal"/>
      <w:start w:val="4"/>
    </w:lvl>
  </w:abstractNum>
  <w:abstractNum w:abstractNumId="171">
    <w:nsid w:val="3DA97044"/>
    <w:multiLevelType w:val="hybridMultilevel"/>
    <w:lvl w:ilvl="0">
      <w:lvlJc w:val="left"/>
      <w:lvlText w:val="(%1)"/>
      <w:numFmt w:val="decimal"/>
      <w:start w:val="3"/>
    </w:lvl>
    <w:lvl w:ilvl="1">
      <w:lvlJc w:val="left"/>
      <w:lvlText w:val="%2"/>
      <w:numFmt w:val="decimal"/>
      <w:start w:val="1"/>
    </w:lvl>
  </w:abstractNum>
  <w:abstractNum w:abstractNumId="172">
    <w:nsid w:val="1CDCE2DE"/>
    <w:multiLevelType w:val="hybridMultilevel"/>
    <w:lvl w:ilvl="0">
      <w:lvlJc w:val="left"/>
      <w:lvlText w:val="%1."/>
      <w:numFmt w:val="decimal"/>
      <w:start w:val="5"/>
    </w:lvl>
  </w:abstractNum>
  <w:abstractNum w:abstractNumId="173">
    <w:nsid w:val="69D3947C"/>
    <w:multiLevelType w:val="hybridMultilevel"/>
    <w:lvl w:ilvl="0">
      <w:lvlJc w:val="left"/>
      <w:lvlText w:val="(%1)"/>
      <w:numFmt w:val="lowerLetter"/>
      <w:start w:val="1"/>
    </w:lvl>
  </w:abstractNum>
  <w:abstractNum w:abstractNumId="174">
    <w:nsid w:val="2539DFA5"/>
    <w:multiLevelType w:val="hybridMultilevel"/>
    <w:lvl w:ilvl="0">
      <w:lvlJc w:val="left"/>
      <w:lvlText w:val="%1."/>
      <w:numFmt w:val="decimal"/>
      <w:start w:val="8"/>
    </w:lvl>
  </w:abstractNum>
  <w:abstractNum w:abstractNumId="175">
    <w:nsid w:val="2DB88089"/>
    <w:multiLevelType w:val="hybridMultilevel"/>
    <w:lvl w:ilvl="0">
      <w:lvlJc w:val="left"/>
      <w:lvlText w:val="%1."/>
      <w:numFmt w:val="decimal"/>
      <w:start w:val="10"/>
    </w:lvl>
  </w:abstractNum>
  <w:abstractNum w:abstractNumId="176">
    <w:nsid w:val="706B674E"/>
    <w:multiLevelType w:val="hybridMultilevel"/>
    <w:lvl w:ilvl="0">
      <w:lvlJc w:val="left"/>
      <w:lvlText w:val="%1."/>
      <w:numFmt w:val="decimal"/>
      <w:start w:val="17"/>
    </w:lvl>
  </w:abstractNum>
  <w:abstractNum w:abstractNumId="177">
    <w:nsid w:val="2C106A57"/>
    <w:multiLevelType w:val="hybridMultilevel"/>
    <w:lvl w:ilvl="0">
      <w:lvlJc w:val="left"/>
      <w:lvlText w:val="%1."/>
      <w:numFmt w:val="decimal"/>
      <w:start w:val="1"/>
    </w:lvl>
  </w:abstractNum>
  <w:abstractNum w:abstractNumId="178">
    <w:nsid w:val="684EED59"/>
    <w:multiLevelType w:val="hybridMultilevel"/>
    <w:lvl w:ilvl="0">
      <w:lvlJc w:val="left"/>
      <w:lvlText w:val="%1."/>
      <w:numFmt w:val="decimal"/>
      <w:start w:val="5"/>
    </w:lvl>
  </w:abstractNum>
  <w:abstractNum w:abstractNumId="179">
    <w:nsid w:val="545EE5D3"/>
    <w:multiLevelType w:val="hybridMultilevel"/>
    <w:lvl w:ilvl="0">
      <w:lvlJc w:val="left"/>
      <w:lvlText w:val="(%1)"/>
      <w:numFmt w:val="decimal"/>
      <w:start w:val="1"/>
    </w:lvl>
  </w:abstractNum>
  <w:abstractNum w:abstractNumId="180">
    <w:nsid w:val="4A66051"/>
    <w:multiLevelType w:val="hybridMultilevel"/>
    <w:lvl w:ilvl="0">
      <w:lvlJc w:val="left"/>
      <w:lvlText w:val="(%1)"/>
      <w:numFmt w:val="decimal"/>
      <w:start w:val="2"/>
    </w:lvl>
  </w:abstractNum>
  <w:abstractNum w:abstractNumId="181">
    <w:nsid w:val="20F4BDAD"/>
    <w:multiLevelType w:val="hybridMultilevel"/>
    <w:lvl w:ilvl="0">
      <w:lvlJc w:val="left"/>
      <w:lvlText w:val="(%1)"/>
      <w:numFmt w:val="lowerLetter"/>
      <w:start w:val="1"/>
    </w:lvl>
  </w:abstractNum>
  <w:abstractNum w:abstractNumId="182">
    <w:nsid w:val="639DEFAC"/>
    <w:multiLevelType w:val="hybridMultilevel"/>
    <w:lvl w:ilvl="0">
      <w:lvlJc w:val="left"/>
      <w:lvlText w:val="(%1)"/>
      <w:numFmt w:val="lowerLetter"/>
      <w:start w:val="3"/>
    </w:lvl>
  </w:abstractNum>
  <w:abstractNum w:abstractNumId="183">
    <w:nsid w:val="501F9786"/>
    <w:multiLevelType w:val="hybridMultilevel"/>
    <w:lvl w:ilvl="0">
      <w:lvlJc w:val="left"/>
      <w:lvlText w:val="(%1)"/>
      <w:numFmt w:val="decimal"/>
      <w:start w:val="3"/>
    </w:lvl>
  </w:abstractNum>
  <w:abstractNum w:abstractNumId="184">
    <w:nsid w:val="6B057295"/>
    <w:multiLevelType w:val="hybridMultilevel"/>
    <w:lvl w:ilvl="0">
      <w:lvlJc w:val="left"/>
      <w:lvlText w:val="%1."/>
      <w:numFmt w:val="decimal"/>
      <w:start w:val="1"/>
    </w:lvl>
    <w:lvl w:ilvl="1">
      <w:lvlJc w:val="left"/>
      <w:lvlText w:val="(%2)"/>
      <w:numFmt w:val="lowerLetter"/>
      <w:start w:val="1"/>
    </w:lvl>
  </w:abstractNum>
  <w:abstractNum w:abstractNumId="185">
    <w:nsid w:val="2771AC80"/>
    <w:multiLevelType w:val="hybridMultilevel"/>
    <w:lvl w:ilvl="0">
      <w:lvlJc w:val="left"/>
      <w:lvlText w:val="(%1)"/>
      <w:numFmt w:val="lowerRoman"/>
      <w:start w:val="10"/>
    </w:lvl>
  </w:abstractNum>
  <w:abstractNum w:abstractNumId="186">
    <w:nsid w:val="1C4A08EC"/>
    <w:multiLevelType w:val="hybridMultilevel"/>
    <w:lvl w:ilvl="0">
      <w:lvlJc w:val="left"/>
      <w:lvlText w:val="(%1)"/>
      <w:numFmt w:val="lowerRoman"/>
      <w:start w:val="3"/>
    </w:lvl>
  </w:abstractNum>
  <w:abstractNum w:abstractNumId="187">
    <w:nsid w:val="1958BD17"/>
    <w:multiLevelType w:val="hybridMultilevel"/>
    <w:lvl w:ilvl="0">
      <w:lvlJc w:val="left"/>
      <w:lvlText w:val="(%1)"/>
      <w:numFmt w:val="lowerRoman"/>
      <w:start w:val="2"/>
    </w:lvl>
  </w:abstractNum>
  <w:abstractNum w:abstractNumId="188">
    <w:nsid w:val="4E647FE4"/>
    <w:multiLevelType w:val="hybridMultilevel"/>
    <w:lvl w:ilvl="0">
      <w:lvlJc w:val="left"/>
      <w:lvlText w:val="%1"/>
      <w:numFmt w:val="decimal"/>
      <w:start w:val="1"/>
    </w:lvl>
    <w:lvl w:ilvl="1">
      <w:lvlJc w:val="left"/>
      <w:lvlText w:val="(%2)"/>
      <w:numFmt w:val="lowerLetter"/>
      <w:start w:val="2"/>
    </w:lvl>
  </w:abstractNum>
  <w:abstractNum w:abstractNumId="189">
    <w:nsid w:val="E0BB885"/>
    <w:multiLevelType w:val="hybridMultilevel"/>
    <w:lvl w:ilvl="0">
      <w:lvlJc w:val="left"/>
      <w:lvlText w:val="%1."/>
      <w:numFmt w:val="decimal"/>
      <w:start w:val="2"/>
    </w:lvl>
    <w:lvl w:ilvl="1">
      <w:lvlJc w:val="left"/>
      <w:lvlText w:val="(%2)"/>
      <w:numFmt w:val="lowerLetter"/>
      <w:start w:val="1"/>
    </w:lvl>
  </w:abstractNum>
  <w:abstractNum w:abstractNumId="190">
    <w:nsid w:val="565976F1"/>
    <w:multiLevelType w:val="hybridMultilevel"/>
    <w:lvl w:ilvl="0">
      <w:lvlJc w:val="left"/>
      <w:lvlText w:val="(%1)"/>
      <w:numFmt w:val="decimal"/>
      <w:start w:val="2"/>
    </w:lvl>
  </w:abstractNum>
  <w:abstractNum w:abstractNumId="191">
    <w:nsid w:val="64212B8C"/>
    <w:multiLevelType w:val="hybridMultilevel"/>
    <w:lvl w:ilvl="0">
      <w:lvlJc w:val="left"/>
      <w:lvlText w:val="(%1)"/>
      <w:numFmt w:val="upperLetter"/>
      <w:start w:val="1"/>
    </w:lvl>
    <w:lvl w:ilvl="1">
      <w:lvlJc w:val="left"/>
      <w:lvlText w:val="(%2)"/>
      <w:numFmt w:val="lowerLetter"/>
      <w:start w:val="2"/>
    </w:lvl>
  </w:abstractNum>
  <w:abstractNum w:abstractNumId="192">
    <w:nsid w:val="5C17530C"/>
    <w:multiLevelType w:val="hybridMultilevel"/>
    <w:lvl w:ilvl="0">
      <w:lvlJc w:val="left"/>
      <w:lvlText w:val="(%1)"/>
      <w:numFmt w:val="lowerLetter"/>
      <w:start w:val="4"/>
    </w:lvl>
  </w:abstractNum>
  <w:abstractNum w:abstractNumId="193">
    <w:nsid w:val="19A52566"/>
    <w:multiLevelType w:val="hybridMultilevel"/>
    <w:lvl w:ilvl="0">
      <w:lvlJc w:val="left"/>
      <w:lvlText w:val="%1"/>
      <w:numFmt w:val="decimal"/>
      <w:start w:val="1"/>
    </w:lvl>
    <w:lvl w:ilvl="1">
      <w:lvlJc w:val="left"/>
      <w:lvlText w:val="(%2)"/>
      <w:numFmt w:val="lowerLetter"/>
      <w:start w:val="5"/>
    </w:lvl>
  </w:abstractNum>
  <w:abstractNum w:abstractNumId="194">
    <w:nsid w:val="335A1DF1"/>
    <w:multiLevelType w:val="hybridMultilevel"/>
    <w:lvl w:ilvl="0">
      <w:lvlJc w:val="left"/>
      <w:lvlText w:val="%1."/>
      <w:numFmt w:val="decimal"/>
      <w:start w:val="3"/>
    </w:lvl>
    <w:lvl w:ilvl="1">
      <w:lvlJc w:val="left"/>
      <w:lvlText w:val="(%2)"/>
      <w:numFmt w:val="lowerLetter"/>
      <w:start w:val="1"/>
    </w:lvl>
  </w:abstractNum>
  <w:abstractNum w:abstractNumId="195">
    <w:nsid w:val="28677B7C"/>
    <w:multiLevelType w:val="hybridMultilevel"/>
    <w:lvl w:ilvl="0">
      <w:lvlJc w:val="left"/>
      <w:lvlText w:val="(%1)"/>
      <w:numFmt w:val="lowerLetter"/>
      <w:start w:val="3"/>
    </w:lvl>
  </w:abstractNum>
  <w:abstractNum w:abstractNumId="196">
    <w:nsid w:val="378D97C0"/>
    <w:multiLevelType w:val="hybridMultilevel"/>
    <w:lvl w:ilvl="0">
      <w:lvlJc w:val="left"/>
      <w:lvlText w:val="%1"/>
      <w:numFmt w:val="lowerLetter"/>
      <w:start w:val="1"/>
    </w:lvl>
    <w:lvl w:ilvl="1">
      <w:lvlJc w:val="left"/>
      <w:lvlText w:val="(%2)"/>
      <w:numFmt w:val="lowerLetter"/>
      <w:start w:val="7"/>
    </w:lvl>
  </w:abstractNum>
  <w:abstractNum w:abstractNumId="197">
    <w:nsid w:val="1D91467C"/>
    <w:multiLevelType w:val="hybridMultilevel"/>
    <w:lvl w:ilvl="0">
      <w:lvlJc w:val="left"/>
      <w:lvlText w:val="(%1)"/>
      <w:numFmt w:val="lowerLetter"/>
      <w:start w:val="9"/>
    </w:lvl>
    <w:lvl w:ilvl="1">
      <w:lvlJc w:val="left"/>
      <w:lvlText w:val="%2"/>
      <w:numFmt w:val="lowerLetter"/>
      <w:start w:val="1"/>
    </w:lvl>
  </w:abstractNum>
  <w:abstractNum w:abstractNumId="198">
    <w:nsid w:val="316032BB"/>
    <w:multiLevelType w:val="hybridMultilevel"/>
    <w:lvl w:ilvl="0">
      <w:lvlJc w:val="left"/>
      <w:lvlText w:val="(%1)"/>
      <w:numFmt w:val="lowerLetter"/>
      <w:start w:val="12"/>
    </w:lvl>
  </w:abstractNum>
  <w:abstractNum w:abstractNumId="199">
    <w:nsid w:val="44344C22"/>
    <w:multiLevelType w:val="hybridMultilevel"/>
    <w:lvl w:ilvl="0">
      <w:lvlJc w:val="left"/>
      <w:lvlText w:val="%1"/>
      <w:numFmt w:val="decimal"/>
      <w:start w:val="1"/>
    </w:lvl>
    <w:lvl w:ilvl="1">
      <w:lvlJc w:val="left"/>
      <w:lvlText w:val="(%2)"/>
      <w:numFmt w:val="lowerLetter"/>
      <w:start w:val="16"/>
    </w:lvl>
  </w:abstractNum>
  <w:abstractNum w:abstractNumId="200">
    <w:nsid w:val="13CDFCFC"/>
    <w:multiLevelType w:val="hybridMultilevel"/>
    <w:lvl w:ilvl="0">
      <w:lvlJc w:val="left"/>
      <w:lvlText w:val="%1."/>
      <w:numFmt w:val="decimal"/>
      <w:start w:val="4"/>
    </w:lvl>
    <w:lvl w:ilvl="1">
      <w:lvlJc w:val="left"/>
      <w:lvlText w:val="(%2)"/>
      <w:numFmt w:val="lowerLetter"/>
      <w:start w:val="1"/>
    </w:lvl>
  </w:abstractNum>
  <w:abstractNum w:abstractNumId="201">
    <w:nsid w:val="471745E4"/>
    <w:multiLevelType w:val="hybridMultilevel"/>
    <w:lvl w:ilvl="0">
      <w:lvlJc w:val="left"/>
      <w:lvlText w:val="%1"/>
      <w:numFmt w:val="decimal"/>
      <w:start w:val="1"/>
    </w:lvl>
    <w:lvl w:ilvl="1">
      <w:lvlJc w:val="left"/>
      <w:lvlText w:val="(%2)"/>
      <w:numFmt w:val="lowerLetter"/>
      <w:start w:val="6"/>
    </w:lvl>
  </w:abstractNum>
  <w:abstractNum w:abstractNumId="202">
    <w:nsid w:val="1DDBC66"/>
    <w:multiLevelType w:val="hybridMultilevel"/>
    <w:lvl w:ilvl="0">
      <w:lvlJc w:val="left"/>
      <w:lvlText w:val="%1."/>
      <w:numFmt w:val="decimal"/>
      <w:start w:val="5"/>
    </w:lvl>
    <w:lvl w:ilvl="1">
      <w:lvlJc w:val="left"/>
      <w:lvlText w:val="(%2)"/>
      <w:numFmt w:val="lowerLetter"/>
      <w:start w:val="1"/>
    </w:lvl>
  </w:abstractNum>
  <w:abstractNum w:abstractNumId="203">
    <w:nsid w:val="30AADFDA"/>
    <w:multiLevelType w:val="hybridMultilevel"/>
    <w:lvl w:ilvl="0">
      <w:lvlJc w:val="left"/>
      <w:lvlText w:val="(%1)"/>
      <w:numFmt w:val="lowerLetter"/>
      <w:start w:val="61"/>
    </w:lvl>
    <w:lvl w:ilvl="1">
      <w:lvlJc w:val="left"/>
      <w:lvlText w:val="(%2)"/>
      <w:numFmt w:val="lowerLetter"/>
      <w:start w:val="2"/>
    </w:lvl>
  </w:abstractNum>
  <w:abstractNum w:abstractNumId="204">
    <w:nsid w:val="30EADA61"/>
    <w:multiLevelType w:val="hybridMultilevel"/>
    <w:lvl w:ilvl="0">
      <w:lvlJc w:val="left"/>
      <w:lvlText w:val="%1"/>
      <w:numFmt w:val="decimal"/>
      <w:start w:val="1"/>
    </w:lvl>
    <w:lvl w:ilvl="1">
      <w:lvlJc w:val="left"/>
      <w:lvlText w:val="(%2)"/>
      <w:numFmt w:val="lowerLetter"/>
      <w:start w:val="3"/>
    </w:lvl>
  </w:abstractNum>
  <w:abstractNum w:abstractNumId="205">
    <w:nsid w:val="27179C0B"/>
    <w:multiLevelType w:val="hybridMultilevel"/>
    <w:lvl w:ilvl="0">
      <w:lvlJc w:val="left"/>
      <w:lvlText w:val="%1."/>
      <w:numFmt w:val="decimal"/>
      <w:start w:val="7"/>
    </w:lvl>
    <w:lvl w:ilvl="1">
      <w:lvlJc w:val="left"/>
      <w:lvlText w:val="%2"/>
      <w:numFmt w:val="lowerLetter"/>
      <w:start w:val="1"/>
    </w:lvl>
  </w:abstractNum>
  <w:abstractNum w:abstractNumId="206">
    <w:nsid w:val="5E636063"/>
    <w:multiLevelType w:val="hybridMultilevel"/>
    <w:lvl w:ilvl="0">
      <w:lvlJc w:val="left"/>
      <w:lvlText w:val="%1."/>
      <w:numFmt w:val="decimal"/>
      <w:start w:val="8"/>
    </w:lvl>
    <w:lvl w:ilvl="1">
      <w:lvlJc w:val="left"/>
      <w:lvlText w:val="(%2)"/>
      <w:numFmt w:val="lowerLetter"/>
      <w:start w:val="1"/>
    </w:lvl>
  </w:abstractNum>
  <w:abstractNum w:abstractNumId="207">
    <w:nsid w:val="215641AF"/>
    <w:multiLevelType w:val="hybridMultilevel"/>
    <w:lvl w:ilvl="0">
      <w:lvlJc w:val="left"/>
      <w:lvlText w:val="%1."/>
      <w:numFmt w:val="decimal"/>
      <w:start w:val="10"/>
    </w:lvl>
  </w:abstractNum>
  <w:abstractNum w:abstractNumId="208">
    <w:nsid w:val="53280662"/>
    <w:multiLevelType w:val="hybridMultilevel"/>
    <w:lvl w:ilvl="0">
      <w:lvlJc w:val="left"/>
      <w:lvlText w:val="%1."/>
      <w:numFmt w:val="decimal"/>
      <w:start w:val="11"/>
    </w:lvl>
    <w:lvl w:ilvl="1">
      <w:lvlJc w:val="left"/>
      <w:lvlText w:val="(%2)"/>
      <w:numFmt w:val="lowerLetter"/>
      <w:start w:val="1"/>
    </w:lvl>
  </w:abstractNum>
  <w:abstractNum w:abstractNumId="209">
    <w:nsid w:val="46B24DBC"/>
    <w:multiLevelType w:val="hybridMultilevel"/>
    <w:lvl w:ilvl="0">
      <w:lvlJc w:val="left"/>
      <w:lvlText w:val="(%1)"/>
      <w:numFmt w:val="lowerLetter"/>
      <w:start w:val="7"/>
    </w:lvl>
  </w:abstractNum>
  <w:abstractNum w:abstractNumId="210">
    <w:nsid w:val="75B52783"/>
    <w:multiLevelType w:val="hybridMultilevel"/>
    <w:lvl w:ilvl="0">
      <w:lvlJc w:val="left"/>
      <w:lvlText w:val="(%1)"/>
      <w:numFmt w:val="lowerLetter"/>
      <w:start w:val="1"/>
    </w:lvl>
  </w:abstractNum>
  <w:abstractNum w:abstractNumId="211">
    <w:nsid w:val="57CE66B4"/>
    <w:multiLevelType w:val="hybridMultilevel"/>
    <w:lvl w:ilvl="0">
      <w:lvlJc w:val="left"/>
      <w:lvlText w:val="(%1)"/>
      <w:numFmt w:val="decimal"/>
      <w:start w:val="1"/>
    </w:lvl>
  </w:abstractNum>
  <w:abstractNum w:abstractNumId="212">
    <w:nsid w:val="67A70B69"/>
    <w:multiLevelType w:val="hybridMultilevel"/>
    <w:lvl w:ilvl="0">
      <w:lvlJc w:val="left"/>
      <w:lvlText w:val="(%1)"/>
      <w:numFmt w:val="decimal"/>
      <w:start w:val="2"/>
    </w:lvl>
  </w:abstractNum>
  <w:abstractNum w:abstractNumId="213">
    <w:nsid w:val="5953172F"/>
    <w:multiLevelType w:val="hybridMultilevel"/>
    <w:lvl w:ilvl="0">
      <w:lvlJc w:val="left"/>
      <w:lvlText w:val="%1"/>
      <w:numFmt w:val="lowerLetter"/>
      <w:start w:val="1"/>
    </w:lvl>
    <w:lvl w:ilvl="1">
      <w:lvlJc w:val="left"/>
      <w:lvlText w:val="%2."/>
      <w:numFmt w:val="decimal"/>
      <w:start w:val="1"/>
    </w:lvl>
  </w:abstractNum>
  <w:abstractNum w:abstractNumId="214">
    <w:nsid w:val="27EDFE3A"/>
    <w:multiLevelType w:val="hybridMultilevel"/>
    <w:lvl w:ilvl="0">
      <w:lvlJc w:val="left"/>
      <w:lvlText w:val="(%1)"/>
      <w:numFmt w:val="lowerLetter"/>
      <w:start w:val="1"/>
    </w:lvl>
    <w:lvl w:ilvl="1">
      <w:lvlJc w:val="left"/>
      <w:lvlText w:val="%2"/>
      <w:numFmt w:val="decimal"/>
      <w:start w:val="1"/>
    </w:lvl>
  </w:abstractNum>
  <w:abstractNum w:abstractNumId="215">
    <w:nsid w:val="52AC7DFF"/>
    <w:multiLevelType w:val="hybridMultilevel"/>
    <w:lvl w:ilvl="0">
      <w:lvlJc w:val="left"/>
      <w:lvlText w:val="(%1)"/>
      <w:numFmt w:val="lowerLetter"/>
      <w:start w:val="2"/>
    </w:lvl>
    <w:lvl w:ilvl="1">
      <w:lvlJc w:val="left"/>
      <w:lvlText w:val="(%2)"/>
      <w:numFmt w:val="decimal"/>
      <w:start w:val="1"/>
    </w:lvl>
  </w:abstractNum>
  <w:abstractNum w:abstractNumId="216">
    <w:nsid w:val="C4C3AF"/>
    <w:multiLevelType w:val="hybridMultilevel"/>
    <w:lvl w:ilvl="0">
      <w:lvlJc w:val="left"/>
      <w:lvlText w:val="%1."/>
      <w:numFmt w:val="decimal"/>
      <w:start w:val="2"/>
    </w:lvl>
  </w:abstractNum>
  <w:abstractNum w:abstractNumId="217">
    <w:nsid w:val="44380727"/>
    <w:multiLevelType w:val="hybridMultilevel"/>
    <w:lvl w:ilvl="0">
      <w:lvlJc w:val="left"/>
      <w:lvlText w:val="(%1)"/>
      <w:numFmt w:val="lowerLetter"/>
      <w:start w:val="1"/>
    </w:lvl>
  </w:abstractNum>
  <w:abstractNum w:abstractNumId="218">
    <w:nsid w:val="6C053B16"/>
    <w:multiLevelType w:val="hybridMultilevel"/>
    <w:lvl w:ilvl="0">
      <w:lvlJc w:val="left"/>
      <w:lvlText w:val="(%1)"/>
      <w:numFmt w:val="lowerLetter"/>
      <w:start w:val="3"/>
    </w:lvl>
  </w:abstractNum>
  <w:abstractNum w:abstractNumId="219">
    <w:nsid w:val="4F294393"/>
    <w:multiLevelType w:val="hybridMultilevel"/>
    <w:lvl w:ilvl="0">
      <w:lvlJc w:val="left"/>
      <w:lvlText w:val="(%1)"/>
      <w:numFmt w:val="lowerLetter"/>
      <w:start w:val="7"/>
    </w:lvl>
  </w:abstractNum>
  <w:abstractNum w:abstractNumId="220">
    <w:nsid w:val="5243BFAC"/>
    <w:multiLevelType w:val="hybridMultilevel"/>
    <w:lvl w:ilvl="0">
      <w:lvlJc w:val="left"/>
      <w:lvlText w:val="%1."/>
      <w:numFmt w:val="decimal"/>
      <w:start w:val="3"/>
    </w:lvl>
  </w:abstractNum>
  <w:abstractNum w:abstractNumId="221">
    <w:nsid w:val="425EB207"/>
    <w:multiLevelType w:val="hybridMultilevel"/>
    <w:lvl w:ilvl="0">
      <w:lvlJc w:val="left"/>
      <w:lvlText w:val="(%1)"/>
      <w:numFmt w:val="lowerLetter"/>
      <w:start w:val="1"/>
    </w:lvl>
  </w:abstractNum>
  <w:abstractNum w:abstractNumId="222">
    <w:nsid w:val="334A6F1F"/>
    <w:multiLevelType w:val="hybridMultilevel"/>
    <w:lvl w:ilvl="0">
      <w:lvlJc w:val="left"/>
      <w:lvlText w:val="(%1)"/>
      <w:numFmt w:val="lowerLetter"/>
      <w:start w:val="61"/>
    </w:lvl>
    <w:lvl w:ilvl="1">
      <w:lvlJc w:val="left"/>
      <w:lvlText w:val="(%2)"/>
      <w:numFmt w:val="lowerLetter"/>
      <w:start w:val="3"/>
    </w:lvl>
  </w:abstractNum>
  <w:abstractNum w:abstractNumId="223">
    <w:nsid w:val="2E5B12B8"/>
    <w:multiLevelType w:val="hybridMultilevel"/>
    <w:lvl w:ilvl="0">
      <w:lvlJc w:val="left"/>
      <w:lvlText w:val="(%1)"/>
      <w:numFmt w:val="lowerLetter"/>
      <w:start w:val="4"/>
    </w:lvl>
  </w:abstractNum>
  <w:abstractNum w:abstractNumId="224">
    <w:nsid w:val="5C03D76D"/>
    <w:multiLevelType w:val="hybridMultilevel"/>
    <w:lvl w:ilvl="0">
      <w:lvlJc w:val="left"/>
      <w:lvlText w:val="(%1)"/>
      <w:numFmt w:val="lowerLetter"/>
      <w:start w:val="5"/>
    </w:lvl>
  </w:abstractNum>
  <w:abstractNum w:abstractNumId="225">
    <w:nsid w:val="66A48D11"/>
    <w:multiLevelType w:val="hybridMultilevel"/>
    <w:lvl w:ilvl="0">
      <w:lvlJc w:val="left"/>
      <w:lvlText w:val="(%1)"/>
      <w:numFmt w:val="lowerLetter"/>
      <w:start w:val="7"/>
    </w:lvl>
  </w:abstractNum>
  <w:abstractNum w:abstractNumId="226">
    <w:nsid w:val="56C28E34"/>
    <w:multiLevelType w:val="hybridMultilevel"/>
    <w:lvl w:ilvl="0">
      <w:lvlJc w:val="left"/>
      <w:lvlText w:val="(%1)"/>
      <w:numFmt w:val="lowerLetter"/>
      <w:start w:val="11"/>
    </w:lvl>
  </w:abstractNum>
  <w:abstractNum w:abstractNumId="227">
    <w:nsid w:val="13916F2D"/>
    <w:multiLevelType w:val="hybridMultilevel"/>
    <w:lvl w:ilvl="0">
      <w:lvlJc w:val="left"/>
      <w:lvlText w:val="(%1)"/>
      <w:numFmt w:val="lowerLetter"/>
      <w:start w:val="15"/>
    </w:lvl>
  </w:abstractNum>
  <w:abstractNum w:abstractNumId="228">
    <w:nsid w:val="435D38D"/>
    <w:multiLevelType w:val="hybridMultilevel"/>
    <w:lvl w:ilvl="0">
      <w:lvlJc w:val="left"/>
      <w:lvlText w:val="(%1)"/>
      <w:numFmt w:val="lowerLetter"/>
      <w:start w:val="19"/>
    </w:lvl>
  </w:abstractNum>
  <w:abstractNum w:abstractNumId="229">
    <w:nsid w:val="822C0EF"/>
    <w:multiLevelType w:val="hybridMultilevel"/>
    <w:lvl w:ilvl="0">
      <w:lvlJc w:val="left"/>
      <w:lvlText w:val="(%1)"/>
      <w:numFmt w:val="lowerLetter"/>
      <w:start w:val="23"/>
    </w:lvl>
  </w:abstractNum>
  <w:abstractNum w:abstractNumId="230">
    <w:nsid w:val="57C5BB4F"/>
    <w:multiLevelType w:val="hybridMultilevel"/>
    <w:lvl w:ilvl="0">
      <w:lvlJc w:val="left"/>
      <w:lvlText w:val="(%1)"/>
      <w:numFmt w:val="lowerLetter"/>
      <w:start w:val="25"/>
    </w:lvl>
  </w:abstractNum>
  <w:abstractNum w:abstractNumId="231">
    <w:nsid w:val="1803D089"/>
    <w:multiLevelType w:val="hybridMultilevel"/>
    <w:lvl w:ilvl="0">
      <w:lvlJc w:val="left"/>
      <w:lvlText w:val="(%1)"/>
      <w:numFmt w:val="lowerLetter"/>
      <w:start w:val="27"/>
    </w:lvl>
  </w:abstractNum>
  <w:abstractNum w:abstractNumId="232">
    <w:nsid w:val="4F3A06D4"/>
    <w:multiLevelType w:val="hybridMultilevel"/>
    <w:lvl w:ilvl="0">
      <w:lvlJc w:val="left"/>
      <w:lvlText w:val="%1."/>
      <w:numFmt w:val="decimal"/>
      <w:start w:val="4"/>
    </w:lvl>
  </w:abstractNum>
  <w:abstractNum w:abstractNumId="233">
    <w:nsid w:val="59A377B6"/>
    <w:multiLevelType w:val="hybridMultilevel"/>
    <w:lvl w:ilvl="0">
      <w:lvlJc w:val="left"/>
      <w:lvlText w:val="(%1)"/>
      <w:numFmt w:val="lowerLetter"/>
      <w:start w:val="1"/>
    </w:lvl>
  </w:abstractNum>
  <w:abstractNum w:abstractNumId="234">
    <w:nsid w:val="48AEB063"/>
    <w:multiLevelType w:val="hybridMultilevel"/>
    <w:lvl w:ilvl="0">
      <w:lvlJc w:val="left"/>
      <w:lvlText w:val="(%1)"/>
      <w:numFmt w:val="decimal"/>
      <w:start w:val="2"/>
    </w:lvl>
  </w:abstractNum>
  <w:abstractNum w:abstractNumId="235">
    <w:nsid w:val="24E135"/>
    <w:multiLevelType w:val="hybridMultilevel"/>
    <w:lvl w:ilvl="0">
      <w:lvlJc w:val="left"/>
      <w:lvlText w:val="(%1)"/>
      <w:numFmt w:val="decimal"/>
      <w:start w:val="3"/>
    </w:lvl>
  </w:abstractNum>
  <w:abstractNum w:abstractNumId="236">
    <w:nsid w:val="BB13C1"/>
    <w:multiLevelType w:val="hybridMultilevel"/>
    <w:lvl w:ilvl="0">
      <w:lvlJc w:val="left"/>
      <w:lvlText w:val="(%1)"/>
      <w:numFmt w:val="lowerLetter"/>
      <w:start w:val="3"/>
    </w:lvl>
  </w:abstractNum>
  <w:abstractNum w:abstractNumId="237">
    <w:nsid w:val="271210C7"/>
    <w:multiLevelType w:val="hybridMultilevel"/>
    <w:lvl w:ilvl="0">
      <w:lvlJc w:val="left"/>
      <w:lvlText w:val="(%1)"/>
      <w:numFmt w:val="lowerLetter"/>
      <w:start w:val="8"/>
    </w:lvl>
  </w:abstractNum>
  <w:abstractNum w:abstractNumId="238">
    <w:nsid w:val="217B22E4"/>
    <w:multiLevelType w:val="hybridMultilevel"/>
    <w:lvl w:ilvl="0">
      <w:lvlJc w:val="left"/>
      <w:lvlText w:val="%1."/>
      <w:numFmt w:val="decimal"/>
      <w:start w:val="5"/>
    </w:lvl>
  </w:abstractNum>
  <w:abstractNum w:abstractNumId="239">
    <w:nsid w:val="53E31A24"/>
    <w:multiLevelType w:val="hybridMultilevel"/>
    <w:lvl w:ilvl="0">
      <w:lvlJc w:val="left"/>
      <w:lvlText w:val="%1."/>
      <w:numFmt w:val="decimal"/>
      <w:start w:val="7"/>
    </w:lvl>
  </w:abstractNum>
  <w:abstractNum w:abstractNumId="240">
    <w:nsid w:val="6DC45E83"/>
    <w:multiLevelType w:val="hybridMultilevel"/>
    <w:lvl w:ilvl="0">
      <w:lvlJc w:val="left"/>
      <w:lvlText w:val="(%1)"/>
      <w:numFmt w:val="lowerLetter"/>
      <w:start w:val="1"/>
    </w:lvl>
  </w:abstractNum>
  <w:abstractNum w:abstractNumId="241">
    <w:nsid w:val="17304A67"/>
    <w:multiLevelType w:val="hybridMultilevel"/>
    <w:lvl w:ilvl="0">
      <w:lvlJc w:val="left"/>
      <w:lvlText w:val="%1."/>
      <w:numFmt w:val="decimal"/>
      <w:start w:val="8"/>
    </w:lvl>
  </w:abstractNum>
  <w:abstractNum w:abstractNumId="242">
    <w:nsid w:val="2BB180D8"/>
    <w:multiLevelType w:val="hybridMultilevel"/>
    <w:lvl w:ilvl="0">
      <w:lvlJc w:val="left"/>
      <w:lvlText w:val="(%1)"/>
      <w:numFmt w:val="lowerLetter"/>
      <w:start w:val="1"/>
    </w:lvl>
  </w:abstractNum>
  <w:abstractNum w:abstractNumId="243">
    <w:nsid w:val="556B69ED"/>
    <w:multiLevelType w:val="hybridMultilevel"/>
    <w:lvl w:ilvl="0">
      <w:lvlJc w:val="left"/>
      <w:lvlText w:val="(%1)"/>
      <w:numFmt w:val="lowerLetter"/>
      <w:start w:val="4"/>
    </w:lvl>
  </w:abstractNum>
  <w:abstractNum w:abstractNumId="244">
    <w:nsid w:val="70836196"/>
    <w:multiLevelType w:val="hybridMultilevel"/>
    <w:lvl w:ilvl="0">
      <w:lvlJc w:val="left"/>
      <w:lvlText w:val="%1."/>
      <w:numFmt w:val="decimal"/>
      <w:start w:val="9"/>
    </w:lvl>
  </w:abstractNum>
  <w:abstractNum w:abstractNumId="245">
    <w:nsid w:val="539F7F12"/>
    <w:multiLevelType w:val="hybridMultilevel"/>
    <w:lvl w:ilvl="0">
      <w:lvlJc w:val="left"/>
      <w:lvlText w:val="(%1)"/>
      <w:numFmt w:val="lowerLetter"/>
      <w:start w:val="1"/>
    </w:lvl>
  </w:abstractNum>
  <w:abstractNum w:abstractNumId="246">
    <w:nsid w:val="2817E7EC"/>
    <w:multiLevelType w:val="hybridMultilevel"/>
    <w:lvl w:ilvl="0">
      <w:lvlJc w:val="left"/>
      <w:lvlText w:val="(%1)"/>
      <w:numFmt w:val="lowerLetter"/>
      <w:start w:val="2"/>
    </w:lvl>
  </w:abstractNum>
  <w:abstractNum w:abstractNumId="247">
    <w:nsid w:val="71482545"/>
    <w:multiLevelType w:val="hybridMultilevel"/>
    <w:lvl w:ilvl="0">
      <w:lvlJc w:val="left"/>
      <w:lvlText w:val="(%1)"/>
      <w:numFmt w:val="lowerLetter"/>
      <w:start w:val="8"/>
    </w:lvl>
  </w:abstractNum>
  <w:abstractNum w:abstractNumId="248">
    <w:nsid w:val="17D78639"/>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2019-12-11T21:04:07Z</dcterms:created>
  <dcterms:modified xsi:type="dcterms:W3CDTF">2019-12-11T21:04:07Z</dcterms:modified>
</cp:coreProperties>
</file>