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29, 2005</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July 29, 2005, StemCells, Inc. issued a press release announcing its financial results for the second quarter ended June 30, 2005. The full text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25" w:right="6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August 3, 2005</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Judi 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Judi Lum</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15"/>
                <w:szCs w:val="15"/>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w:t>
            </w:r>
          </w:p>
        </w:tc>
      </w:tr>
    </w:tbl>
    <w:p>
      <w:pPr>
        <w:sectPr>
          <w:pgSz w:w="11900" w:h="16838" w:orient="portrait"/>
          <w:cols w:equalWidth="0" w:num="1">
            <w:col w:w="10219"/>
          </w:cols>
          <w:pgMar w:left="240" w:top="125" w:right="1440" w:bottom="1440" w:gutter="0" w:footer="0" w:header="0"/>
        </w:sectPr>
      </w:pPr>
    </w:p>
    <w:bookmarkStart w:id="4" w:name="page5"/>
    <w:bookmarkEnd w:id="4"/>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466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Company Contact:</w:t>
            </w:r>
          </w:p>
        </w:tc>
        <w:tc>
          <w:tcPr>
            <w:tcW w:w="540" w:type="dxa"/>
            <w:vAlign w:val="bottom"/>
          </w:tcPr>
          <w:p>
            <w:pPr>
              <w:spacing w:after="0"/>
              <w:rPr>
                <w:sz w:val="23"/>
                <w:szCs w:val="23"/>
                <w:color w:val="auto"/>
              </w:rPr>
            </w:pPr>
          </w:p>
        </w:tc>
        <w:tc>
          <w:tcPr>
            <w:tcW w:w="5640" w:type="dxa"/>
            <w:vAlign w:val="bottom"/>
            <w:tcBorders>
              <w:bottom w:val="single" w:sz="8" w:color="auto"/>
            </w:tcBorders>
          </w:tcPr>
          <w:p>
            <w:pPr>
              <w:ind w:left="2100"/>
              <w:spacing w:after="0"/>
              <w:rPr>
                <w:sz w:val="20"/>
                <w:szCs w:val="20"/>
                <w:color w:val="auto"/>
              </w:rPr>
            </w:pPr>
            <w:r>
              <w:rPr>
                <w:rFonts w:ascii="Arial" w:cs="Arial" w:eastAsia="Arial" w:hAnsi="Arial"/>
                <w:sz w:val="22"/>
                <w:szCs w:val="22"/>
                <w:b w:val="1"/>
                <w:bCs w:val="1"/>
                <w:color w:val="auto"/>
              </w:rPr>
              <w:t>Media Contact:</w:t>
            </w:r>
          </w:p>
        </w:tc>
      </w:tr>
      <w:tr>
        <w:trPr>
          <w:trHeight w:val="215"/>
        </w:trPr>
        <w:tc>
          <w:tcPr>
            <w:tcW w:w="4660" w:type="dxa"/>
            <w:vAlign w:val="bottom"/>
          </w:tcPr>
          <w:p>
            <w:pPr>
              <w:spacing w:after="0" w:line="216" w:lineRule="exact"/>
              <w:rPr>
                <w:sz w:val="20"/>
                <w:szCs w:val="20"/>
                <w:color w:val="auto"/>
              </w:rPr>
            </w:pPr>
            <w:r>
              <w:rPr>
                <w:rFonts w:ascii="Arial" w:cs="Arial" w:eastAsia="Arial" w:hAnsi="Arial"/>
                <w:sz w:val="22"/>
                <w:szCs w:val="22"/>
                <w:color w:val="auto"/>
              </w:rPr>
              <w:t>Judi Lum</w:t>
            </w:r>
          </w:p>
        </w:tc>
        <w:tc>
          <w:tcPr>
            <w:tcW w:w="540" w:type="dxa"/>
            <w:vAlign w:val="bottom"/>
          </w:tcPr>
          <w:p>
            <w:pPr>
              <w:spacing w:after="0"/>
              <w:rPr>
                <w:sz w:val="18"/>
                <w:szCs w:val="18"/>
                <w:color w:val="auto"/>
              </w:rPr>
            </w:pPr>
          </w:p>
        </w:tc>
        <w:tc>
          <w:tcPr>
            <w:tcW w:w="5640" w:type="dxa"/>
            <w:vAlign w:val="bottom"/>
          </w:tcPr>
          <w:p>
            <w:pPr>
              <w:spacing w:after="0" w:line="216" w:lineRule="exact"/>
              <w:rPr>
                <w:sz w:val="20"/>
                <w:szCs w:val="20"/>
                <w:color w:val="auto"/>
              </w:rPr>
            </w:pPr>
            <w:r>
              <w:rPr>
                <w:rFonts w:ascii="Arial" w:cs="Arial" w:eastAsia="Arial" w:hAnsi="Arial"/>
                <w:sz w:val="22"/>
                <w:szCs w:val="22"/>
                <w:color w:val="auto"/>
              </w:rPr>
              <w:t>Schwartz Communications, Inc.</w:t>
            </w:r>
          </w:p>
        </w:tc>
      </w:tr>
      <w:tr>
        <w:trPr>
          <w:trHeight w:val="243"/>
        </w:trPr>
        <w:tc>
          <w:tcPr>
            <w:tcW w:w="4660" w:type="dxa"/>
            <w:vAlign w:val="bottom"/>
          </w:tcPr>
          <w:p>
            <w:pPr>
              <w:spacing w:after="0" w:line="243" w:lineRule="exact"/>
              <w:rPr>
                <w:sz w:val="20"/>
                <w:szCs w:val="20"/>
                <w:color w:val="auto"/>
              </w:rPr>
            </w:pPr>
            <w:r>
              <w:rPr>
                <w:rFonts w:ascii="Arial" w:cs="Arial" w:eastAsia="Arial" w:hAnsi="Arial"/>
                <w:sz w:val="22"/>
                <w:szCs w:val="22"/>
                <w:color w:val="auto"/>
              </w:rPr>
              <w:t>Chief Financial Officer</w:t>
            </w:r>
          </w:p>
        </w:tc>
        <w:tc>
          <w:tcPr>
            <w:tcW w:w="6180" w:type="dxa"/>
            <w:vAlign w:val="bottom"/>
            <w:gridSpan w:val="2"/>
          </w:tcPr>
          <w:p>
            <w:pPr>
              <w:ind w:left="540"/>
              <w:spacing w:after="0" w:line="243" w:lineRule="exact"/>
              <w:rPr>
                <w:sz w:val="20"/>
                <w:szCs w:val="20"/>
                <w:color w:val="auto"/>
              </w:rPr>
            </w:pPr>
            <w:r>
              <w:rPr>
                <w:rFonts w:ascii="Arial" w:cs="Arial" w:eastAsia="Arial" w:hAnsi="Arial"/>
                <w:sz w:val="22"/>
                <w:szCs w:val="22"/>
                <w:color w:val="auto"/>
              </w:rPr>
              <w:t>(781) 684-0770 or (415) 512-0770</w:t>
            </w:r>
          </w:p>
        </w:tc>
      </w:tr>
      <w:tr>
        <w:trPr>
          <w:trHeight w:val="275"/>
        </w:trPr>
        <w:tc>
          <w:tcPr>
            <w:tcW w:w="4660" w:type="dxa"/>
            <w:vAlign w:val="bottom"/>
          </w:tcPr>
          <w:p>
            <w:pPr>
              <w:spacing w:after="0"/>
              <w:rPr>
                <w:sz w:val="20"/>
                <w:szCs w:val="20"/>
                <w:color w:val="auto"/>
              </w:rPr>
            </w:pPr>
            <w:r>
              <w:rPr>
                <w:rFonts w:ascii="Arial" w:cs="Arial" w:eastAsia="Arial" w:hAnsi="Arial"/>
                <w:sz w:val="22"/>
                <w:szCs w:val="22"/>
                <w:color w:val="auto"/>
              </w:rPr>
              <w:t>(650) 475-3100</w:t>
            </w:r>
          </w:p>
        </w:tc>
        <w:tc>
          <w:tcPr>
            <w:tcW w:w="6180" w:type="dxa"/>
            <w:vAlign w:val="bottom"/>
            <w:gridSpan w:val="2"/>
          </w:tcPr>
          <w:p>
            <w:pPr>
              <w:ind w:left="540"/>
              <w:spacing w:after="0"/>
              <w:rPr>
                <w:sz w:val="20"/>
                <w:szCs w:val="20"/>
                <w:color w:val="auto"/>
              </w:rPr>
            </w:pPr>
            <w:r>
              <w:rPr>
                <w:rFonts w:ascii="Arial" w:cs="Arial" w:eastAsia="Arial" w:hAnsi="Arial"/>
                <w:sz w:val="22"/>
                <w:szCs w:val="22"/>
                <w:color w:val="auto"/>
              </w:rPr>
              <w:t>stemcells@schwartz-pr.com</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STEMCELLS ANNOUNCES SECOND QUARTER 2005 FINANCIAL RESULTS</w:t>
      </w:r>
    </w:p>
    <w:p>
      <w:pPr>
        <w:spacing w:after="0" w:line="212"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PALO ALTO, Calif., July 29, 2005 – StemCells, Inc. (NASDAQ: STEM) today reported its financial results for the second quarter ended June 30, 2005.</w:t>
      </w:r>
    </w:p>
    <w:p>
      <w:pPr>
        <w:spacing w:after="0" w:line="173"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The Company reported a net loss of $3,868,000, or $0.06 per share, for the second quarter ended June 30, 2005, compared to a net loss of $3,303,000, or $0.08 per share, for the second quarter ended June 30, 2004. Total revenue for the second quarter of 2005 and 2004 was $36,000 and $6,000 respectively. Revenue for 2005 and 2004 was primarily from grants and licensing agreements. Cash and cash equivalents were $36,396,000 at the end of June 30, 2005, compared with $26,022,000 at the end of June 30, 2004.</w:t>
      </w:r>
    </w:p>
    <w:p>
      <w:pPr>
        <w:spacing w:after="0" w:line="143"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The increase in net loss from 2004 to 2005 for the quarter reported was primarily attributed to the effect of increasing estimated reserve for the exit cost obligation related to the Company’s former corporate headquarters in Rhode Island and expenses related to an increase in head count. The increase in expenses was partially offset by an increase in interest income attributed to a higher investment balance in the second quarter of 2005 as compared to the same period in 2004.</w:t>
      </w:r>
    </w:p>
    <w:p>
      <w:pPr>
        <w:spacing w:after="0" w:line="174"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“Since the filing of our 10-Q for the first quarter of 2005, the Company entered into a license agreement with ReNeuron, a privately-owned corporation that we regard as the foremost stem cell company in the UK,” said Martin McGlynn, chief executive officer of StemCells. “Under the agreement, we received an equity interest in ReNeuron and a cross-license to ReNeuron’s technology for conditions of special interest to us, as well as potential royalties and milestone payments. I’m pleased to note that ReNeuron has since announced its intention to list on the AIM market in the UK via an institutional placing.”</w:t>
      </w:r>
    </w:p>
    <w:p>
      <w:pPr>
        <w:spacing w:after="0" w:line="14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“As we previously announced, the Company filed an Investigational New Drug application (IND) with the U.S. Food and Drug Administration (FDA) to begin a clinical trial of our human neural stem cells for the treatment of Batten disease, a rare and fatal neurodegenerative genetic condition afflicting infants and children,” Mr. McGlynn added. “The trial is on clinical hold pending an IND amendment acceptable to the FDA. In May, we announced that we expected to file our response in Q3, and I am pleased to say that we remain on track to do so.”</w:t>
      </w:r>
    </w:p>
    <w:p>
      <w:pPr>
        <w:spacing w:after="0" w:line="195" w:lineRule="exact"/>
        <w:rPr>
          <w:sz w:val="20"/>
          <w:szCs w:val="20"/>
          <w:color w:val="auto"/>
        </w:rPr>
      </w:pPr>
    </w:p>
    <w:p>
      <w:pPr>
        <w:ind w:right="120"/>
        <w:spacing w:after="0" w:line="222" w:lineRule="auto"/>
        <w:rPr>
          <w:sz w:val="20"/>
          <w:szCs w:val="20"/>
          <w:color w:val="auto"/>
        </w:rPr>
      </w:pPr>
      <w:r>
        <w:rPr>
          <w:rFonts w:ascii="Arial" w:cs="Arial" w:eastAsia="Arial" w:hAnsi="Arial"/>
          <w:sz w:val="20"/>
          <w:szCs w:val="20"/>
          <w:color w:val="auto"/>
        </w:rPr>
        <w:t>StemCells has been added to the Russell 3000</w:t>
      </w:r>
      <w:r>
        <w:rPr>
          <w:rFonts w:ascii="Arial" w:cs="Arial" w:eastAsia="Arial" w:hAnsi="Arial"/>
          <w:sz w:val="33"/>
          <w:szCs w:val="33"/>
          <w:color w:val="auto"/>
          <w:vertAlign w:val="superscript"/>
        </w:rPr>
        <w:t>Ò</w:t>
      </w:r>
      <w:r>
        <w:rPr>
          <w:rFonts w:ascii="Arial" w:cs="Arial" w:eastAsia="Arial" w:hAnsi="Arial"/>
          <w:sz w:val="20"/>
          <w:szCs w:val="20"/>
          <w:color w:val="auto"/>
        </w:rPr>
        <w:t xml:space="preserve"> Index, which measures the performance of the 3,000 largest U.S. companies based on total market capitalization, and has also become a founding member of NASDAQ’s new Health Care Index.</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StemCells, Inc.</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9"/>
          <w:szCs w:val="19"/>
          <w:color w:val="auto"/>
        </w:rPr>
        <w:t>StemCells, Inc. is a development stage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StemCells is the first company to directly identify and isolate human neural stem cells from normal brain tissue. These stem cells are expandable into cell banks for therapeutic use, which demonstrates the feasibility of using normal, non-genetically modified cells as cell-based therapies. StemCells is the only publicly traded company solely focused on stem cell research and development and has more than 40 U.S. and 100 non-U.S. patents, as well as 100 patent applications pending worldwide. Further information about the Company is available on its web site at: www.stemcellsinc.com.</w:t>
      </w:r>
    </w:p>
    <w:p>
      <w:pPr>
        <w:spacing w:after="0" w:line="158" w:lineRule="exact"/>
        <w:rPr>
          <w:sz w:val="20"/>
          <w:szCs w:val="20"/>
          <w:color w:val="auto"/>
        </w:rPr>
      </w:pPr>
    </w:p>
    <w:p>
      <w:pPr>
        <w:ind w:right="140"/>
        <w:spacing w:after="0" w:line="270" w:lineRule="auto"/>
        <w:rPr>
          <w:sz w:val="20"/>
          <w:szCs w:val="20"/>
          <w:color w:val="auto"/>
        </w:rPr>
      </w:pPr>
      <w:r>
        <w:rPr>
          <w:rFonts w:ascii="Arial" w:cs="Arial" w:eastAsia="Arial" w:hAnsi="Arial"/>
          <w:sz w:val="19"/>
          <w:szCs w:val="19"/>
          <w:color w:val="auto"/>
        </w:rPr>
        <w:t>Apart from statements of historical facts, the text of this press release constitutes forward-looking statements regarding, among other things, the Company’s beliefs regarding the progress made in its discussions with the FDA, attitudes expressed by the FDA and expectations regarding FDA actions and the Company’s response to these actions, the Company’s ability to resolve questions raised by the FDA and to initiate clinical trials, the timing of such trials, financial resources needed to and other future operations of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uncertainty as to whether the FDA will remove the clinical hold on the Company’s proposed initial clinical trial and permit the Company to proceed to clinical testing despite the novel and unproven nature of the Company’s technology; uncertainties regarding the Company’s ability to satisfy the FDA’s concerns, if at all, or without conducting extensive and time consuming additional preclinical studies; uncertainty whether the FDA may at some point raise other concerns not included in its written notification to the Company of the clinical hold on the proposed trial; the risk that, even if approved, the Company’s initial clinical trial could be substantially delayed beyond its expected dates; uncertainties regarding the Company’s financial ability to continue its current research and development operations and to conduct the research and its ability to obtain the additional capital resources needed to do so, preclinical development and clinical trials necessary for regulatory approvals; the uncertainty regarding the outcome of the Phase I clinical trial and any other trials the Company may conduct in the future; the uncertainty regarding the validity and enforceability of issued patents; the uncertainty whether any products that may be generated in the Company’s stem cell programs will prove clinically effective and not cause tumors or other side effects; the uncertainty whether the Company will achieve revenues from product sales or become profitable; uncertainties regarding the Company’s obligations in regard to its former encapsulated cell therapy facilities in Rhode Island; and other factors</w:t>
      </w:r>
    </w:p>
    <w:p>
      <w:pPr>
        <w:sectPr>
          <w:pgSz w:w="11900" w:h="16838" w:orient="portrait"/>
          <w:cols w:equalWidth="0" w:num="1">
            <w:col w:w="11420"/>
          </w:cols>
          <w:pgMar w:left="240" w:top="355" w:right="239" w:bottom="0" w:gutter="0" w:footer="0" w:header="0"/>
        </w:sectPr>
      </w:pPr>
    </w:p>
    <w:bookmarkStart w:id="5" w:name="page6"/>
    <w:bookmarkEnd w:id="5"/>
    <w:p>
      <w:pPr>
        <w:ind w:right="100"/>
        <w:spacing w:after="0" w:line="251" w:lineRule="auto"/>
        <w:rPr>
          <w:sz w:val="20"/>
          <w:szCs w:val="20"/>
          <w:color w:val="auto"/>
        </w:rPr>
      </w:pPr>
      <w:r>
        <w:rPr>
          <w:rFonts w:ascii="Arial" w:cs="Arial" w:eastAsia="Arial" w:hAnsi="Arial"/>
          <w:sz w:val="22"/>
          <w:szCs w:val="22"/>
          <w:color w:val="auto"/>
        </w:rPr>
        <w:t>that are described in the Company’s Annual Report on Form 10-K under the heading “Cautionary Factors Relevant to Forward-Looking Statements.”</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-more-</w:t>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StemCells,Inc.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-3175</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ind w:left="300"/>
        <w:spacing w:after="0" w:line="237" w:lineRule="auto"/>
        <w:rPr>
          <w:sz w:val="20"/>
          <w:szCs w:val="20"/>
          <w:color w:val="auto"/>
        </w:rPr>
      </w:pPr>
      <w:r>
        <w:rPr>
          <w:rFonts w:ascii="Arial" w:cs="Arial" w:eastAsia="Arial" w:hAnsi="Arial"/>
          <w:sz w:val="22"/>
          <w:szCs w:val="22"/>
          <w:b w:val="1"/>
          <w:bCs w:val="1"/>
          <w:color w:val="auto"/>
        </w:rPr>
        <w:t>(in thousands, except share and per share amounts)</w:t>
      </w:r>
    </w:p>
    <w:p>
      <w:pPr>
        <w:spacing w:after="0" w:line="20"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2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right="100"/>
              <w:spacing w:after="0" w:line="230" w:lineRule="exact"/>
              <w:rPr>
                <w:sz w:val="20"/>
                <w:szCs w:val="20"/>
                <w:color w:val="auto"/>
              </w:rPr>
            </w:pPr>
            <w:r>
              <w:rPr>
                <w:rFonts w:ascii="Arial" w:cs="Arial" w:eastAsia="Arial" w:hAnsi="Arial"/>
                <w:sz w:val="22"/>
                <w:szCs w:val="22"/>
                <w:color w:val="auto"/>
                <w:w w:val="86"/>
              </w:rPr>
              <w:t>Three months ended</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10"/>
          </w:tcPr>
          <w:p>
            <w:pPr>
              <w:jc w:val="right"/>
              <w:ind w:right="1200"/>
              <w:spacing w:after="0" w:line="230" w:lineRule="exact"/>
              <w:rPr>
                <w:sz w:val="20"/>
                <w:szCs w:val="20"/>
                <w:color w:val="auto"/>
              </w:rPr>
            </w:pPr>
            <w:r>
              <w:rPr>
                <w:rFonts w:ascii="Arial" w:cs="Arial" w:eastAsia="Arial" w:hAnsi="Arial"/>
                <w:sz w:val="22"/>
                <w:szCs w:val="22"/>
                <w:color w:val="auto"/>
              </w:rPr>
              <w:t>Six months ended</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spacing w:after="0" w:line="250" w:lineRule="exact"/>
              <w:rPr>
                <w:sz w:val="20"/>
                <w:szCs w:val="20"/>
                <w:color w:val="auto"/>
              </w:rPr>
            </w:pPr>
            <w:r>
              <w:rPr>
                <w:rFonts w:ascii="Arial" w:cs="Arial" w:eastAsia="Arial" w:hAnsi="Arial"/>
                <w:sz w:val="22"/>
                <w:szCs w:val="22"/>
                <w:color w:val="auto"/>
                <w:w w:val="85"/>
              </w:rPr>
              <w:t>June 30,</w:t>
            </w: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3"/>
          </w:tcPr>
          <w:p>
            <w:pPr>
              <w:jc w:val="right"/>
              <w:ind w:right="160"/>
              <w:spacing w:after="0" w:line="250" w:lineRule="exact"/>
              <w:rPr>
                <w:sz w:val="20"/>
                <w:szCs w:val="20"/>
                <w:color w:val="auto"/>
              </w:rPr>
            </w:pPr>
            <w:r>
              <w:rPr>
                <w:rFonts w:ascii="Arial" w:cs="Arial" w:eastAsia="Arial" w:hAnsi="Arial"/>
                <w:sz w:val="22"/>
                <w:szCs w:val="22"/>
                <w:color w:val="auto"/>
                <w:w w:val="92"/>
              </w:rPr>
              <w:t>June 30,</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60" w:type="dxa"/>
            <w:vAlign w:val="bottom"/>
            <w:gridSpan w:val="3"/>
            <w:vMerge w:val="restart"/>
          </w:tcPr>
          <w:p>
            <w:pPr>
              <w:spacing w:after="0"/>
              <w:rPr>
                <w:sz w:val="20"/>
                <w:szCs w:val="20"/>
                <w:color w:val="auto"/>
              </w:rPr>
            </w:pPr>
            <w:r>
              <w:rPr>
                <w:rFonts w:ascii="Arial" w:cs="Arial" w:eastAsia="Arial" w:hAnsi="Arial"/>
                <w:sz w:val="22"/>
                <w:szCs w:val="22"/>
                <w:color w:val="auto"/>
              </w:rPr>
              <w:t>Revenue from grants and</w:t>
            </w:r>
          </w:p>
        </w:tc>
        <w:tc>
          <w:tcPr>
            <w:tcW w:w="120" w:type="dxa"/>
            <w:vAlign w:val="bottom"/>
          </w:tcPr>
          <w:p>
            <w:pPr>
              <w:spacing w:after="0"/>
              <w:rPr>
                <w:sz w:val="21"/>
                <w:szCs w:val="21"/>
                <w:color w:val="auto"/>
              </w:rPr>
            </w:pP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2005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right"/>
              <w:spacing w:after="0" w:line="250" w:lineRule="exact"/>
              <w:rPr>
                <w:sz w:val="20"/>
                <w:szCs w:val="20"/>
                <w:color w:val="auto"/>
              </w:rPr>
            </w:pPr>
            <w:r>
              <w:rPr>
                <w:rFonts w:ascii="Arial" w:cs="Arial" w:eastAsia="Arial" w:hAnsi="Arial"/>
                <w:sz w:val="22"/>
                <w:szCs w:val="22"/>
                <w:color w:val="auto"/>
              </w:rPr>
              <w:t>2004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50" w:lineRule="exact"/>
              <w:rPr>
                <w:sz w:val="20"/>
                <w:szCs w:val="20"/>
                <w:color w:val="auto"/>
              </w:rPr>
            </w:pPr>
            <w:r>
              <w:rPr>
                <w:rFonts w:ascii="Arial" w:cs="Arial" w:eastAsia="Arial" w:hAnsi="Arial"/>
                <w:sz w:val="22"/>
                <w:szCs w:val="22"/>
                <w:color w:val="auto"/>
              </w:rPr>
              <w:t>2005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jc w:val="right"/>
              <w:spacing w:after="0" w:line="250" w:lineRule="exact"/>
              <w:rPr>
                <w:sz w:val="20"/>
                <w:szCs w:val="20"/>
                <w:color w:val="auto"/>
              </w:rPr>
            </w:pPr>
            <w:r>
              <w:rPr>
                <w:rFonts w:ascii="Arial" w:cs="Arial" w:eastAsia="Arial" w:hAnsi="Arial"/>
                <w:sz w:val="22"/>
                <w:szCs w:val="22"/>
                <w:color w:val="auto"/>
              </w:rPr>
              <w:t>2004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licensing agreements</w:t>
            </w:r>
          </w:p>
        </w:tc>
        <w:tc>
          <w:tcPr>
            <w:tcW w:w="120" w:type="dxa"/>
            <w:vAlign w:val="bottom"/>
          </w:tcPr>
          <w:p>
            <w:pPr>
              <w:jc w:val="right"/>
              <w:spacing w:after="0" w:line="243" w:lineRule="exact"/>
              <w:rPr>
                <w:sz w:val="20"/>
                <w:szCs w:val="20"/>
                <w:color w:val="auto"/>
              </w:rPr>
            </w:pPr>
            <w:r>
              <w:rPr>
                <w:rFonts w:ascii="Arial" w:cs="Arial" w:eastAsia="Arial" w:hAnsi="Arial"/>
                <w:sz w:val="22"/>
                <w:szCs w:val="22"/>
                <w:color w:val="auto"/>
                <w:w w:val="81"/>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36</w:t>
            </w:r>
          </w:p>
        </w:tc>
        <w:tc>
          <w:tcPr>
            <w:tcW w:w="120" w:type="dxa"/>
            <w:vAlign w:val="bottom"/>
          </w:tcPr>
          <w:p>
            <w:pPr>
              <w:spacing w:after="0"/>
              <w:rPr>
                <w:sz w:val="21"/>
                <w:szCs w:val="21"/>
                <w:color w:val="auto"/>
              </w:rPr>
            </w:pPr>
          </w:p>
        </w:tc>
        <w:tc>
          <w:tcPr>
            <w:tcW w:w="96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6</w:t>
            </w:r>
          </w:p>
        </w:tc>
        <w:tc>
          <w:tcPr>
            <w:tcW w:w="140" w:type="dxa"/>
            <w:vAlign w:val="bottom"/>
          </w:tcPr>
          <w:p>
            <w:pPr>
              <w:spacing w:after="0"/>
              <w:rPr>
                <w:sz w:val="21"/>
                <w:szCs w:val="21"/>
                <w:color w:val="auto"/>
              </w:rPr>
            </w:pPr>
          </w:p>
        </w:tc>
        <w:tc>
          <w:tcPr>
            <w:tcW w:w="940" w:type="dxa"/>
            <w:vAlign w:val="bottom"/>
            <w:gridSpan w:val="6"/>
          </w:tcPr>
          <w:p>
            <w:pPr>
              <w:ind w:left="840"/>
              <w:spacing w:after="0"/>
              <w:rPr>
                <w:sz w:val="20"/>
                <w:szCs w:val="20"/>
                <w:color w:val="auto"/>
              </w:rPr>
            </w:pPr>
            <w:r>
              <w:rPr>
                <w:rFonts w:ascii="Arial" w:cs="Arial" w:eastAsia="Arial" w:hAnsi="Arial"/>
                <w:sz w:val="19"/>
                <w:szCs w:val="19"/>
                <w:color w:val="auto"/>
                <w:w w:val="75"/>
              </w:rPr>
              <w:t>$</w:t>
            </w: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72</w:t>
            </w:r>
          </w:p>
        </w:tc>
        <w:tc>
          <w:tcPr>
            <w:tcW w:w="140" w:type="dxa"/>
            <w:vAlign w:val="bottom"/>
          </w:tcPr>
          <w:p>
            <w:pPr>
              <w:spacing w:after="0"/>
              <w:rPr>
                <w:sz w:val="21"/>
                <w:szCs w:val="21"/>
                <w:color w:val="auto"/>
              </w:rPr>
            </w:pPr>
          </w:p>
        </w:tc>
        <w:tc>
          <w:tcPr>
            <w:tcW w:w="96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99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Operating Expenses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Research and development</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2,102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1,939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3,927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3,807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General &amp; administrative</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821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877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2,121</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1,741</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Wind-down expenses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related to our former</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260"/>
              <w:spacing w:after="0" w:line="243" w:lineRule="exact"/>
              <w:rPr>
                <w:sz w:val="20"/>
                <w:szCs w:val="20"/>
                <w:color w:val="auto"/>
              </w:rPr>
            </w:pPr>
            <w:r>
              <w:rPr>
                <w:rFonts w:ascii="Arial" w:cs="Arial" w:eastAsia="Arial" w:hAnsi="Arial"/>
                <w:sz w:val="22"/>
                <w:szCs w:val="22"/>
                <w:color w:val="auto"/>
              </w:rPr>
              <w:t>corporate headquarters</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1,197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1,718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598</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Total operating expenses</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4,120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3,284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7,766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6,146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Loss from operations</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(4,084)</w:t>
            </w:r>
          </w:p>
        </w:tc>
        <w:tc>
          <w:tcPr>
            <w:tcW w:w="9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(3,278)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(7,694)</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(6,047)</w:t>
            </w: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Other income (expense)</w:t>
            </w:r>
          </w:p>
        </w:tc>
        <w:tc>
          <w:tcPr>
            <w:tcW w:w="12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216</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377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(26)</w:t>
            </w: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Net loss per share applicable</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to common shareholders;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basic and diluted</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($3,868)</w:t>
            </w:r>
          </w:p>
        </w:tc>
        <w:tc>
          <w:tcPr>
            <w:tcW w:w="9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($3,302)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($7,317)</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($6,073)</w:t>
            </w: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Net loss per share applicable</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to common shareholders;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basic and diluted</w:t>
            </w:r>
          </w:p>
        </w:tc>
        <w:tc>
          <w:tcPr>
            <w:tcW w:w="120" w:type="dxa"/>
            <w:vAlign w:val="bottom"/>
          </w:tcPr>
          <w:p>
            <w:pPr>
              <w:spacing w:after="0"/>
              <w:rPr>
                <w:sz w:val="21"/>
                <w:szCs w:val="21"/>
                <w:color w:val="auto"/>
              </w:rPr>
            </w:pPr>
          </w:p>
        </w:tc>
        <w:tc>
          <w:tcPr>
            <w:tcW w:w="110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($0.06)</w:t>
            </w:r>
          </w:p>
        </w:tc>
        <w:tc>
          <w:tcPr>
            <w:tcW w:w="9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gridSpan w:val="4"/>
          </w:tcPr>
          <w:p>
            <w:pPr>
              <w:jc w:val="right"/>
              <w:ind w:right="80"/>
              <w:spacing w:after="0" w:line="243" w:lineRule="exact"/>
              <w:rPr>
                <w:sz w:val="20"/>
                <w:szCs w:val="20"/>
                <w:color w:val="auto"/>
              </w:rPr>
            </w:pPr>
            <w:r>
              <w:rPr>
                <w:rFonts w:ascii="Arial" w:cs="Arial" w:eastAsia="Arial" w:hAnsi="Arial"/>
                <w:sz w:val="22"/>
                <w:szCs w:val="22"/>
                <w:color w:val="auto"/>
              </w:rPr>
              <w:t>($0.12)</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5"/>
          </w:tcPr>
          <w:p>
            <w:pPr>
              <w:jc w:val="right"/>
              <w:ind w:right="420"/>
              <w:spacing w:after="0" w:line="243" w:lineRule="exact"/>
              <w:rPr>
                <w:sz w:val="20"/>
                <w:szCs w:val="20"/>
                <w:color w:val="auto"/>
              </w:rPr>
            </w:pPr>
            <w:r>
              <w:rPr>
                <w:rFonts w:ascii="Arial" w:cs="Arial" w:eastAsia="Arial" w:hAnsi="Arial"/>
                <w:sz w:val="22"/>
                <w:szCs w:val="22"/>
                <w:color w:val="auto"/>
              </w:rPr>
              <w:t>($0.14)</w:t>
            </w: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Weighted average shares –</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060" w:type="dxa"/>
            <w:vAlign w:val="bottom"/>
            <w:gridSpan w:val="3"/>
          </w:tcPr>
          <w:p>
            <w:pPr>
              <w:ind w:left="140"/>
              <w:spacing w:after="0"/>
              <w:rPr>
                <w:sz w:val="20"/>
                <w:szCs w:val="20"/>
                <w:color w:val="auto"/>
              </w:rPr>
            </w:pPr>
            <w:r>
              <w:rPr>
                <w:rFonts w:ascii="Arial" w:cs="Arial" w:eastAsia="Arial" w:hAnsi="Arial"/>
                <w:sz w:val="22"/>
                <w:szCs w:val="22"/>
                <w:color w:val="auto"/>
              </w:rPr>
              <w:t>basic and diluted</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85"/>
              </w:rPr>
              <w:t>63,072,873</w:t>
            </w: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22"/>
                <w:szCs w:val="22"/>
                <w:color w:val="auto"/>
                <w:w w:val="87"/>
              </w:rPr>
              <w:t>43,066,807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gridSpan w:val="3"/>
          </w:tcPr>
          <w:p>
            <w:pPr>
              <w:jc w:val="right"/>
              <w:spacing w:after="0"/>
              <w:rPr>
                <w:sz w:val="20"/>
                <w:szCs w:val="20"/>
                <w:color w:val="auto"/>
              </w:rPr>
            </w:pPr>
            <w:r>
              <w:rPr>
                <w:rFonts w:ascii="Arial" w:cs="Arial" w:eastAsia="Arial" w:hAnsi="Arial"/>
                <w:sz w:val="22"/>
                <w:szCs w:val="22"/>
                <w:color w:val="auto"/>
                <w:w w:val="87"/>
              </w:rPr>
              <w:t>62,741,639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Arial" w:cs="Arial" w:eastAsia="Arial" w:hAnsi="Arial"/>
                <w:sz w:val="22"/>
                <w:szCs w:val="22"/>
                <w:color w:val="auto"/>
                <w:w w:val="87"/>
              </w:rPr>
              <w:t>42,038,437</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6"/>
        </w:trPr>
        <w:tc>
          <w:tcPr>
            <w:tcW w:w="306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rPr>
              <w:t>StemCells, Inc.</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280" w:type="dxa"/>
            <w:vAlign w:val="bottom"/>
            <w:tcBorders>
              <w:bottom w:val="single" w:sz="8" w:color="auto"/>
            </w:tcBorders>
            <w:gridSpan w:val="6"/>
          </w:tcPr>
          <w:p>
            <w:pPr>
              <w:spacing w:after="0" w:line="237" w:lineRule="exact"/>
              <w:rPr>
                <w:sz w:val="20"/>
                <w:szCs w:val="20"/>
                <w:color w:val="auto"/>
              </w:rPr>
            </w:pPr>
            <w:r>
              <w:rPr>
                <w:rFonts w:ascii="Arial" w:cs="Arial" w:eastAsia="Arial" w:hAnsi="Arial"/>
                <w:sz w:val="22"/>
                <w:szCs w:val="22"/>
                <w:b w:val="1"/>
                <w:bCs w:val="1"/>
                <w:color w:val="auto"/>
                <w:w w:val="98"/>
              </w:rPr>
              <w:t>Condensed Consolidated Balance Sheets</w:t>
            </w:r>
          </w:p>
        </w:tc>
        <w:tc>
          <w:tcPr>
            <w:tcW w:w="9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7"/>
          </w:tcPr>
          <w:p>
            <w:pPr>
              <w:ind w:left="320"/>
              <w:spacing w:after="0" w:line="237" w:lineRule="exact"/>
              <w:rPr>
                <w:sz w:val="20"/>
                <w:szCs w:val="20"/>
                <w:color w:val="auto"/>
              </w:rPr>
            </w:pPr>
            <w:r>
              <w:rPr>
                <w:rFonts w:ascii="Arial" w:cs="Arial" w:eastAsia="Arial" w:hAnsi="Arial"/>
                <w:sz w:val="22"/>
                <w:szCs w:val="22"/>
                <w:color w:val="auto"/>
              </w:rPr>
              <w:t>June 30,</w:t>
            </w:r>
          </w:p>
        </w:tc>
        <w:tc>
          <w:tcPr>
            <w:tcW w:w="30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220"/>
              <w:spacing w:after="0" w:line="237" w:lineRule="exact"/>
              <w:rPr>
                <w:sz w:val="20"/>
                <w:szCs w:val="20"/>
                <w:color w:val="auto"/>
              </w:rPr>
            </w:pPr>
            <w:r>
              <w:rPr>
                <w:rFonts w:ascii="Arial" w:cs="Arial" w:eastAsia="Arial" w:hAnsi="Arial"/>
                <w:sz w:val="22"/>
                <w:szCs w:val="22"/>
                <w:color w:val="auto"/>
                <w:w w:val="86"/>
              </w:rPr>
              <w:t>December 31,</w:t>
            </w:r>
          </w:p>
        </w:tc>
        <w:tc>
          <w:tcPr>
            <w:tcW w:w="0" w:type="dxa"/>
            <w:vAlign w:val="bottom"/>
          </w:tcPr>
          <w:p>
            <w:pPr>
              <w:spacing w:after="0"/>
              <w:rPr>
                <w:sz w:val="1"/>
                <w:szCs w:val="1"/>
                <w:color w:val="auto"/>
              </w:rPr>
            </w:pPr>
          </w:p>
        </w:tc>
      </w:tr>
      <w:tr>
        <w:trPr>
          <w:trHeight w:val="215"/>
        </w:trPr>
        <w:tc>
          <w:tcPr>
            <w:tcW w:w="306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(in thousands)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line="216" w:lineRule="exact"/>
              <w:rPr>
                <w:sz w:val="20"/>
                <w:szCs w:val="20"/>
                <w:color w:val="auto"/>
              </w:rPr>
            </w:pPr>
            <w:r>
              <w:rPr>
                <w:rFonts w:ascii="Arial" w:cs="Arial" w:eastAsia="Arial" w:hAnsi="Arial"/>
                <w:sz w:val="22"/>
                <w:szCs w:val="22"/>
                <w:color w:val="auto"/>
                <w:w w:val="98"/>
              </w:rPr>
              <w:t>2005</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3"/>
          </w:tcPr>
          <w:p>
            <w:pPr>
              <w:jc w:val="right"/>
              <w:spacing w:after="0" w:line="216" w:lineRule="exact"/>
              <w:rPr>
                <w:sz w:val="20"/>
                <w:szCs w:val="20"/>
                <w:color w:val="auto"/>
              </w:rPr>
            </w:pPr>
            <w:r>
              <w:rPr>
                <w:rFonts w:ascii="Arial" w:cs="Arial" w:eastAsia="Arial" w:hAnsi="Arial"/>
                <w:sz w:val="22"/>
                <w:szCs w:val="22"/>
                <w:color w:val="auto"/>
              </w:rPr>
              <w:t>2004</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6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60" w:type="dxa"/>
            <w:vAlign w:val="bottom"/>
            <w:gridSpan w:val="10"/>
          </w:tcPr>
          <w:p>
            <w:pPr>
              <w:jc w:val="right"/>
              <w:ind w:right="1000"/>
              <w:spacing w:after="0" w:line="243" w:lineRule="exact"/>
              <w:rPr>
                <w:sz w:val="20"/>
                <w:szCs w:val="20"/>
                <w:color w:val="auto"/>
              </w:rPr>
            </w:pPr>
            <w:r>
              <w:rPr>
                <w:rFonts w:ascii="Arial" w:cs="Arial" w:eastAsia="Arial" w:hAnsi="Arial"/>
                <w:sz w:val="22"/>
                <w:szCs w:val="22"/>
                <w:color w:val="auto"/>
                <w:w w:val="93"/>
              </w:rPr>
              <w:t>(unaudited)</w:t>
            </w: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ind w:right="620"/>
              <w:spacing w:after="0" w:line="243" w:lineRule="exact"/>
              <w:rPr>
                <w:sz w:val="20"/>
                <w:szCs w:val="20"/>
                <w:color w:val="auto"/>
              </w:rPr>
            </w:pPr>
            <w:r>
              <w:rPr>
                <w:rFonts w:ascii="Arial" w:cs="Arial" w:eastAsia="Arial" w:hAnsi="Arial"/>
                <w:sz w:val="22"/>
                <w:szCs w:val="22"/>
                <w:color w:val="auto"/>
              </w:rPr>
              <w:t>(a)</w:t>
            </w: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ind w:left="140"/>
              <w:spacing w:after="0" w:line="243" w:lineRule="exact"/>
              <w:rPr>
                <w:sz w:val="20"/>
                <w:szCs w:val="20"/>
                <w:color w:val="auto"/>
              </w:rPr>
            </w:pPr>
            <w:r>
              <w:rPr>
                <w:rFonts w:ascii="Arial" w:cs="Arial" w:eastAsia="Arial" w:hAnsi="Arial"/>
                <w:sz w:val="22"/>
                <w:szCs w:val="22"/>
                <w:color w:val="auto"/>
              </w:rPr>
              <w:t>Cash &amp; cash equivalents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8"/>
          </w:tcPr>
          <w:p>
            <w:pPr>
              <w:jc w:val="right"/>
              <w:spacing w:after="0" w:line="243" w:lineRule="exact"/>
              <w:rPr>
                <w:sz w:val="20"/>
                <w:szCs w:val="20"/>
                <w:color w:val="auto"/>
              </w:rPr>
            </w:pPr>
            <w:r>
              <w:rPr>
                <w:rFonts w:ascii="Arial" w:cs="Arial" w:eastAsia="Arial" w:hAnsi="Arial"/>
                <w:sz w:val="22"/>
                <w:szCs w:val="22"/>
                <w:color w:val="auto"/>
              </w:rPr>
              <w:t>$36,396</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$41,060</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060" w:type="dxa"/>
            <w:vAlign w:val="bottom"/>
            <w:gridSpan w:val="3"/>
          </w:tcPr>
          <w:p>
            <w:pPr>
              <w:ind w:left="140"/>
              <w:spacing w:after="0"/>
              <w:rPr>
                <w:sz w:val="20"/>
                <w:szCs w:val="20"/>
                <w:color w:val="auto"/>
              </w:rPr>
            </w:pPr>
            <w:r>
              <w:rPr>
                <w:rFonts w:ascii="Arial" w:cs="Arial" w:eastAsia="Arial" w:hAnsi="Arial"/>
                <w:sz w:val="22"/>
                <w:szCs w:val="22"/>
                <w:color w:val="auto"/>
              </w:rPr>
              <w:t>Other current assets</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22"/>
                <w:szCs w:val="22"/>
                <w:color w:val="auto"/>
              </w:rPr>
              <w:t>692</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390</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60" w:type="dxa"/>
            <w:vAlign w:val="bottom"/>
            <w:gridSpan w:val="3"/>
          </w:tcPr>
          <w:p>
            <w:pPr>
              <w:spacing w:after="0" w:line="228" w:lineRule="exact"/>
              <w:rPr>
                <w:sz w:val="20"/>
                <w:szCs w:val="20"/>
                <w:color w:val="auto"/>
              </w:rPr>
            </w:pPr>
            <w:r>
              <w:rPr>
                <w:rFonts w:ascii="Arial" w:cs="Arial" w:eastAsia="Arial" w:hAnsi="Arial"/>
                <w:sz w:val="22"/>
                <w:szCs w:val="22"/>
                <w:color w:val="auto"/>
              </w:rPr>
              <w:t>Total current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line="228" w:lineRule="exact"/>
              <w:rPr>
                <w:sz w:val="20"/>
                <w:szCs w:val="20"/>
                <w:color w:val="auto"/>
              </w:rPr>
            </w:pPr>
            <w:r>
              <w:rPr>
                <w:rFonts w:ascii="Arial" w:cs="Arial" w:eastAsia="Arial" w:hAnsi="Arial"/>
                <w:sz w:val="22"/>
                <w:szCs w:val="22"/>
                <w:color w:val="auto"/>
                <w:w w:val="83"/>
              </w:rPr>
              <w:t>37,088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80" w:type="dxa"/>
            <w:vAlign w:val="bottom"/>
            <w:tcBorders>
              <w:top w:val="single" w:sz="8" w:color="auto"/>
            </w:tcBorders>
          </w:tcPr>
          <w:p>
            <w:pPr>
              <w:jc w:val="right"/>
              <w:spacing w:after="0" w:line="228" w:lineRule="exact"/>
              <w:rPr>
                <w:sz w:val="20"/>
                <w:szCs w:val="20"/>
                <w:color w:val="auto"/>
              </w:rPr>
            </w:pPr>
            <w:r>
              <w:rPr>
                <w:rFonts w:ascii="Arial" w:cs="Arial" w:eastAsia="Arial" w:hAnsi="Arial"/>
                <w:sz w:val="22"/>
                <w:szCs w:val="22"/>
                <w:color w:val="auto"/>
                <w:w w:val="83"/>
              </w:rPr>
              <w:t>41,450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w w:val="96"/>
              </w:rPr>
              <w:t>Property, plant &amp; equipment, net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0"/>
              </w:rPr>
              <w:t>3,175</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3,424</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060" w:type="dxa"/>
            <w:vAlign w:val="bottom"/>
            <w:gridSpan w:val="3"/>
          </w:tcPr>
          <w:p>
            <w:pPr>
              <w:spacing w:after="0"/>
              <w:rPr>
                <w:sz w:val="20"/>
                <w:szCs w:val="20"/>
                <w:color w:val="auto"/>
              </w:rPr>
            </w:pPr>
            <w:r>
              <w:rPr>
                <w:rFonts w:ascii="Arial" w:cs="Arial" w:eastAsia="Arial" w:hAnsi="Arial"/>
                <w:sz w:val="22"/>
                <w:szCs w:val="22"/>
                <w:color w:val="auto"/>
              </w:rPr>
              <w:t>Other assets, net</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22"/>
                <w:szCs w:val="22"/>
                <w:color w:val="auto"/>
                <w:w w:val="90"/>
              </w:rPr>
              <w:t>2,683</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2,753</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060" w:type="dxa"/>
            <w:vAlign w:val="bottom"/>
            <w:gridSpan w:val="3"/>
          </w:tcPr>
          <w:p>
            <w:pPr>
              <w:spacing w:after="0" w:line="228" w:lineRule="exact"/>
              <w:rPr>
                <w:sz w:val="20"/>
                <w:szCs w:val="20"/>
                <w:color w:val="auto"/>
              </w:rPr>
            </w:pPr>
            <w:r>
              <w:rPr>
                <w:rFonts w:ascii="Arial" w:cs="Arial" w:eastAsia="Arial" w:hAnsi="Arial"/>
                <w:sz w:val="22"/>
                <w:szCs w:val="22"/>
                <w:color w:val="auto"/>
              </w:rPr>
              <w:t>Total assets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gridSpan w:val="3"/>
          </w:tcPr>
          <w:p>
            <w:pPr>
              <w:jc w:val="right"/>
              <w:spacing w:after="0" w:line="228" w:lineRule="exact"/>
              <w:rPr>
                <w:sz w:val="20"/>
                <w:szCs w:val="20"/>
                <w:color w:val="auto"/>
              </w:rPr>
            </w:pPr>
            <w:r>
              <w:rPr>
                <w:rFonts w:ascii="Arial" w:cs="Arial" w:eastAsia="Arial" w:hAnsi="Arial"/>
                <w:sz w:val="22"/>
                <w:szCs w:val="22"/>
                <w:color w:val="auto"/>
                <w:w w:val="83"/>
              </w:rPr>
              <w:t>42,946</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580" w:type="dxa"/>
            <w:vAlign w:val="bottom"/>
            <w:tcBorders>
              <w:top w:val="single" w:sz="8" w:color="auto"/>
            </w:tcBorders>
          </w:tcPr>
          <w:p>
            <w:pPr>
              <w:jc w:val="right"/>
              <w:spacing w:after="0" w:line="228" w:lineRule="exact"/>
              <w:rPr>
                <w:sz w:val="20"/>
                <w:szCs w:val="20"/>
                <w:color w:val="auto"/>
              </w:rPr>
            </w:pPr>
            <w:r>
              <w:rPr>
                <w:rFonts w:ascii="Arial" w:cs="Arial" w:eastAsia="Arial" w:hAnsi="Arial"/>
                <w:sz w:val="22"/>
                <w:szCs w:val="22"/>
                <w:color w:val="auto"/>
                <w:w w:val="83"/>
              </w:rPr>
              <w:t>47,627</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w w:val="91"/>
              </w:rPr>
              <w:t>Liabilities and stockholders’ equity</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Current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0"/>
              </w:rPr>
              <w:t>2,759</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3,383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gridSpan w:val="3"/>
          </w:tcPr>
          <w:p>
            <w:pPr>
              <w:spacing w:after="0" w:line="243" w:lineRule="exact"/>
              <w:rPr>
                <w:sz w:val="20"/>
                <w:szCs w:val="20"/>
                <w:color w:val="auto"/>
              </w:rPr>
            </w:pPr>
            <w:r>
              <w:rPr>
                <w:rFonts w:ascii="Arial" w:cs="Arial" w:eastAsia="Arial" w:hAnsi="Arial"/>
                <w:sz w:val="22"/>
                <w:szCs w:val="22"/>
                <w:color w:val="auto"/>
              </w:rPr>
              <w:t>Non-current liabilities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0"/>
              </w:rPr>
              <w:t>8,173</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spacing w:after="0" w:line="243" w:lineRule="exact"/>
              <w:rPr>
                <w:sz w:val="20"/>
                <w:szCs w:val="20"/>
                <w:color w:val="auto"/>
              </w:rPr>
            </w:pPr>
            <w:r>
              <w:rPr>
                <w:rFonts w:ascii="Arial" w:cs="Arial" w:eastAsia="Arial" w:hAnsi="Arial"/>
                <w:sz w:val="22"/>
                <w:szCs w:val="22"/>
                <w:color w:val="auto"/>
              </w:rPr>
              <w:t>7,295</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3060" w:type="dxa"/>
            <w:vAlign w:val="bottom"/>
            <w:gridSpan w:val="3"/>
          </w:tcPr>
          <w:p>
            <w:pPr>
              <w:spacing w:after="0"/>
              <w:rPr>
                <w:sz w:val="20"/>
                <w:szCs w:val="20"/>
                <w:color w:val="auto"/>
              </w:rPr>
            </w:pPr>
            <w:r>
              <w:rPr>
                <w:rFonts w:ascii="Arial" w:cs="Arial" w:eastAsia="Arial" w:hAnsi="Arial"/>
                <w:sz w:val="22"/>
                <w:szCs w:val="22"/>
                <w:color w:val="auto"/>
              </w:rPr>
              <w:t>Stockholders’ equity</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gridSpan w:val="8"/>
          </w:tcPr>
          <w:p>
            <w:pPr>
              <w:jc w:val="right"/>
              <w:spacing w:after="0"/>
              <w:rPr>
                <w:sz w:val="20"/>
                <w:szCs w:val="20"/>
                <w:color w:val="auto"/>
              </w:rPr>
            </w:pPr>
            <w:r>
              <w:rPr>
                <w:rFonts w:ascii="Arial" w:cs="Arial" w:eastAsia="Arial" w:hAnsi="Arial"/>
                <w:sz w:val="22"/>
                <w:szCs w:val="22"/>
                <w:color w:val="auto"/>
              </w:rPr>
              <w:t>32,014</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22"/>
                <w:szCs w:val="22"/>
                <w:color w:val="auto"/>
              </w:rPr>
              <w:t>36,949</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4280" w:type="dxa"/>
            <w:vAlign w:val="bottom"/>
            <w:gridSpan w:val="6"/>
          </w:tcPr>
          <w:p>
            <w:pPr>
              <w:spacing w:after="0"/>
              <w:rPr>
                <w:sz w:val="20"/>
                <w:szCs w:val="20"/>
                <w:color w:val="auto"/>
              </w:rPr>
            </w:pPr>
            <w:r>
              <w:rPr>
                <w:rFonts w:ascii="Arial" w:cs="Arial" w:eastAsia="Arial" w:hAnsi="Arial"/>
                <w:sz w:val="22"/>
                <w:szCs w:val="22"/>
                <w:color w:val="auto"/>
              </w:rPr>
              <w:t>Total liabilities and stockholders’ equity</w:t>
            </w:r>
          </w:p>
        </w:tc>
        <w:tc>
          <w:tcPr>
            <w:tcW w:w="9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22"/>
                <w:szCs w:val="22"/>
                <w:u w:val="single" w:color="auto"/>
                <w:color w:val="auto"/>
                <w:w w:val="86"/>
              </w:rPr>
              <w:t>42,946</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22"/>
                <w:szCs w:val="22"/>
                <w:u w:val="single" w:color="auto"/>
                <w:color w:val="auto"/>
                <w:w w:val="83"/>
              </w:rPr>
              <w:t>47,627</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00" w:right="4240" w:hanging="2"/>
        <w:spacing w:after="0" w:line="239" w:lineRule="auto"/>
        <w:tabs>
          <w:tab w:leader="none" w:pos="594" w:val="left"/>
        </w:tabs>
        <w:numPr>
          <w:ilvl w:val="0"/>
          <w:numId w:val="2"/>
        </w:numPr>
        <w:rPr>
          <w:rFonts w:ascii="Arial" w:cs="Arial" w:eastAsia="Arial" w:hAnsi="Arial"/>
          <w:sz w:val="22"/>
          <w:szCs w:val="22"/>
          <w:color w:val="auto"/>
        </w:rPr>
      </w:pPr>
      <w:r>
        <w:rPr>
          <w:rFonts w:ascii="Arial" w:cs="Arial" w:eastAsia="Arial" w:hAnsi="Arial"/>
          <w:sz w:val="22"/>
          <w:szCs w:val="22"/>
          <w:color w:val="auto"/>
        </w:rPr>
        <w:t>Derived from audited financial statements included in StemCells’ annual report on form 10-K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SOURCE: StemCells, Inc.</w:t>
      </w:r>
    </w:p>
    <w:sectPr>
      <w:pgSz w:w="11900" w:h="16838" w:orient="portrait"/>
      <w:cols w:equalWidth="0" w:num="1">
        <w:col w:w="11140"/>
      </w:cols>
      <w:pgMar w:left="240" w:top="11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2019-12-11T22:44:31Z</dcterms:created>
  <dcterms:modified xsi:type="dcterms:W3CDTF">2019-12-11T22:44:31Z</dcterms:modified>
</cp:coreProperties>
</file>