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281305</wp:posOffset>
            </wp:positionV>
            <wp:extent cx="714121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337185</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ind w:left="458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SCHEDULE 14A</w:t>
      </w:r>
    </w:p>
    <w:p>
      <w:pPr>
        <w:spacing w:after="0" w:line="222" w:lineRule="exact"/>
        <w:rPr>
          <w:sz w:val="24"/>
          <w:szCs w:val="24"/>
          <w:color w:val="auto"/>
        </w:rPr>
      </w:pPr>
    </w:p>
    <w:p>
      <w:pPr>
        <w:ind w:left="2680"/>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 Securities Exchange Act of 1934</w:t>
      </w:r>
    </w:p>
    <w:p>
      <w:pPr>
        <w:spacing w:after="0" w:line="17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p>
    <w:p>
      <w:pPr>
        <w:spacing w:after="0" w:line="5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Check the appropriate box:</w:t>
      </w:r>
    </w:p>
    <w:p>
      <w:pPr>
        <w:spacing w:after="0" w:line="212" w:lineRule="exact"/>
        <w:rPr>
          <w:sz w:val="24"/>
          <w:szCs w:val="24"/>
          <w:color w:val="auto"/>
        </w:rPr>
      </w:pPr>
    </w:p>
    <w:p>
      <w:pPr>
        <w:ind w:left="300" w:hanging="299"/>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24" w:lineRule="exact"/>
        <w:rPr>
          <w:rFonts w:ascii="MS PGothic" w:cs="MS PGothic" w:eastAsia="MS PGothic" w:hAnsi="MS PGothic"/>
          <w:sz w:val="17"/>
          <w:szCs w:val="17"/>
          <w:color w:val="auto"/>
        </w:rPr>
      </w:pPr>
    </w:p>
    <w:p>
      <w:pPr>
        <w:ind w:right="4299" w:firstLine="1"/>
        <w:spacing w:after="0" w:line="202" w:lineRule="exact"/>
        <w:tabs>
          <w:tab w:leader="none" w:pos="303"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Confidential, for Use of the Commissions Only (as permitted by Rule 14a-6(e)(2))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Proxy Statement</w:t>
      </w:r>
    </w:p>
    <w:p>
      <w:pPr>
        <w:spacing w:after="0" w:line="1" w:lineRule="exact"/>
        <w:rPr>
          <w:rFonts w:ascii="MS PGothic" w:cs="MS PGothic" w:eastAsia="MS PGothic" w:hAnsi="MS PGothic"/>
          <w:sz w:val="17"/>
          <w:szCs w:val="17"/>
          <w:color w:val="auto"/>
        </w:rPr>
      </w:pPr>
    </w:p>
    <w:p>
      <w:pPr>
        <w:ind w:left="300" w:hanging="299"/>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6" w:lineRule="exact"/>
        <w:rPr>
          <w:rFonts w:ascii="MS PGothic" w:cs="MS PGothic" w:eastAsia="MS PGothic" w:hAnsi="MS PGothic"/>
          <w:sz w:val="17"/>
          <w:szCs w:val="17"/>
          <w:color w:val="auto"/>
        </w:rPr>
      </w:pPr>
    </w:p>
    <w:p>
      <w:pPr>
        <w:ind w:left="300" w:hanging="299"/>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Section 240.14a-12</w:t>
      </w:r>
    </w:p>
    <w:p>
      <w:pPr>
        <w:spacing w:after="0" w:line="1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MICROBOT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7141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18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N/A</w:t>
      </w:r>
    </w:p>
    <w:p>
      <w:pPr>
        <w:spacing w:after="0" w:line="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71412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Payment of Filing Fee (Check all boxes that apply):</w:t>
      </w:r>
    </w:p>
    <w:p>
      <w:pPr>
        <w:spacing w:after="0" w:line="212" w:lineRule="exact"/>
        <w:rPr>
          <w:sz w:val="24"/>
          <w:szCs w:val="24"/>
          <w:color w:val="auto"/>
        </w:rPr>
      </w:pPr>
    </w:p>
    <w:p>
      <w:pPr>
        <w:ind w:left="300" w:hanging="299"/>
        <w:spacing w:after="0"/>
        <w:tabs>
          <w:tab w:leader="none" w:pos="3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08" w:lineRule="exact"/>
        <w:rPr>
          <w:sz w:val="24"/>
          <w:szCs w:val="24"/>
          <w:color w:val="auto"/>
        </w:rPr>
      </w:pPr>
    </w:p>
    <w:p>
      <w:pPr>
        <w:ind w:left="300" w:hanging="299"/>
        <w:spacing w:after="0"/>
        <w:tabs>
          <w:tab w:leader="none" w:pos="3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207" w:lineRule="exact"/>
        <w:rPr>
          <w:rFonts w:ascii="MS PGothic" w:cs="MS PGothic" w:eastAsia="MS PGothic" w:hAnsi="MS PGothic"/>
          <w:sz w:val="17"/>
          <w:szCs w:val="17"/>
          <w:color w:val="auto"/>
        </w:rPr>
      </w:pPr>
    </w:p>
    <w:p>
      <w:pPr>
        <w:ind w:left="300" w:hanging="299"/>
        <w:spacing w:after="0"/>
        <w:tabs>
          <w:tab w:leader="none" w:pos="3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142240</wp:posOffset>
            </wp:positionV>
            <wp:extent cx="7141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158750</wp:posOffset>
            </wp:positionV>
            <wp:extent cx="714121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462915</wp:posOffset>
            </wp:positionV>
            <wp:extent cx="71412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39"/>
          </w:cols>
          <w:pgMar w:left="320" w:top="70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MICROBOT MEDICAL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288 Grove Street, Suite 388</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Braintree, MA 02184</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ANNUAL MEETING OF SHAREHOLDERS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ON DECEMBER 17,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Shareholders: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NOTICE IS HEREBY GIVEN, that the 2024 Annual Meeting of Shareholders (the “Annual Meeting”) of Microbot Medical Inc. (the “Company”) will be held at 11:00 A.M., Eastern Time on December 17, 2024 at the offices of Mintz, Levin, Cohn, Ferris, Glovsky and Popeo, P.C., One Financial Center, Boston, MA 02111. At the Annual Meeting, you will be asked to vote on:</w:t>
      </w:r>
    </w:p>
    <w:p>
      <w:pPr>
        <w:spacing w:after="0" w:line="169" w:lineRule="exact"/>
        <w:rPr>
          <w:sz w:val="20"/>
          <w:szCs w:val="20"/>
          <w:color w:val="auto"/>
        </w:rPr>
      </w:pPr>
    </w:p>
    <w:p>
      <w:pPr>
        <w:ind w:left="300" w:hanging="299"/>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election of two Class III directors to the Board of Directors of the Company to serve until the 2027 Annual Meeting of Shareholders;</w:t>
      </w:r>
    </w:p>
    <w:p>
      <w:pPr>
        <w:spacing w:after="0" w:line="207"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of an amendment to the Company’s 2020 Omnibus Performance Award Plan, to increase the number of authorized shares of common stock reserved for issuance by 600,000, from 2,020,652 to 2,620,652;</w:t>
      </w:r>
    </w:p>
    <w:p>
      <w:pPr>
        <w:spacing w:after="0" w:line="158"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ratification of Brightman Almagor Zohar &amp; Co., a Member of Deloitte Touche Tohmatsu Limited, or its U.S. affiliate, as the Company’s independent registered public accounting firm for the year ending December 31, 2024; and</w:t>
      </w:r>
    </w:p>
    <w:p>
      <w:pPr>
        <w:spacing w:after="0" w:line="158"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transact such other and further business as may properly come before the meeting or any adjournment thereof.</w:t>
      </w:r>
    </w:p>
    <w:p>
      <w:pPr>
        <w:spacing w:after="0" w:line="20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Board of Directors has fixed the close of business on October 25, 2024 as the record date for determining shareholders who are entitled to receive notice of, and to vote at, the Annual Meeting or any adjournment or postponement thereof.</w:t>
      </w:r>
    </w:p>
    <w:p>
      <w:pPr>
        <w:spacing w:after="0" w:line="15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Your vote is important to us. Whether or not you intend to be present at the meeting, please sign and date the enclosed proxy card and return it in the enclosed envelope. Returning a proxy will not deprive you of your right to attend the Annual Meeting and vote your shares in person.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foregoing items of business are more fully described in the accompanying proxy statement.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Harel Gadot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 President and Chief Executive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November 6, 2024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Braintree,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MICROBOT MEDICAL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288 Grove Street, Suite 388</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Braintree, MA 02184</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2024 ANNUAL MEETING OF SHAREHOLDERS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17, 2024</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This proxy statement and the accompanying proxy card is furnished in connection with the solicitation by the Board of Directors (the “Board”) of Microbot Medical Inc., a Delaware corporation (the “Company”), of proxies for use at the 2024 Annual Meeting of Shareholders (the “Annual Meeting”) to be held at the offices of Mintz, Levin, Cohn, Ferris, Glovsky and Popeo, P.C., One Financial Center, Boston, MA 02111, at 11:00 A.M., Eastern Time, on December 17, 2024, or at any adjournment or postponement thereof, for the purposes set forth in this proxy statement and the accompanying Notice of Annual Meeting of Shareholders.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Company is making available to you over the Internet or delivering paper copies of this proxy statement, a proxy card and the Company’s 2024 Annual Report on Form 10-K for the fiscal year ended December 31, 2023 (the “Annual Report”), in connection with the Annual Meeting. The Company is using the rules of the Securities and Exchange Commission (“SEC”) that allow companies to furnish their proxy materials over the Internet. As a result, the Company is mailing to many of its stockholders a notice about the Internet availability of the proxy materials instead of a paper copy of the proxy materials. All stockholders receiving the notice will have the ability to access the proxy materials over the Internet, as well as to request a paper copy by mail or via email, free of charge, by following the instructions in the notice. The notice about the Internet availability of the proxy materials is first being mailed on or about November 6, 2024 to all shareholders of the Company entitled to vote at the Annual Meeting (the “Shareholders”).</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will bear the cost of solicitation of proxies. Directors, officers and employees of the Company may solicit proxies by telephone, email, facsimile, in person or otherwise for no additional compensation. The Company has retained Sodali &amp; Co LLC to act as proxy solicitor in conjunction with the Annual Meeting at an estimated cost of $11,000 plus expenses. The Company will pay the entire costs of such solicitation as well as the costs of printing and filing this proxy statement and proxy card. The Company will reimburse banks, brokerage firms, proxy solicitors, and other custodians, nominees and fiduciaries for reasonable expenses incurred by them in sending proxy materials to the beneficial owners of shares.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Board of Directors has fixed the close of business on October 25, 2024, as the record date for determining stockholders entitled to notice of, and to vote at, the Annual Meeting or at any postponement or adjournment thereof. There were 16,931,931 shares of our common stock, $.01 par value, outstanding on October 25, 2024, each of which is entitled to one vote for each share on the matters to be voted upon.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Stockholders are being asked to vote on three proposals at the Company’s 2024 Annual Meeting. The proposals to be voted on and related recommendations from the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Board of Directors are as follows:</w:t>
      </w:r>
    </w:p>
    <w:p>
      <w:pPr>
        <w:spacing w:after="0" w:line="19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Proposal The election of two Class III directors to the Board of the Company to serve until the 2027 Annual Meeting of Shareholders. The Board recommends that Number 1.you vote “FOR” each of the nominees.</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Proposal The approval of an amendment to the Company’s 2020 Omnibus Performance Award Plan, to increase by 600,000 the number of shares authorized Number 2.thereunder from 2,020,652 to 2,620,652. The Board recommends that you vote “FOR” this proposal.</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Proposal The ratification of Brightman Almagor Zohar &amp; Co., a Member of Deloitte Touche Tohmatsu Limited, or its U.S. affiliate, as the Company’s independent Number 3.registered public accounting firm for the year ending December 31, 2024. The Board recommends that you vote “FOR” this proposal.</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the election of directors, which is Proposal Number 1, you may vote “FOR” both of the nominees or your vote may be “WITHHELD” with respect to one or both of the nominees. For Proposal Number 2 and Proposal Number 3, you may vote “FOR,” vote “AGAINST” or “ABSTAIN.” If you “ABSTAIN” as to Proposal Number 2 or Proposal Number 3, the abstention will have no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245745</wp:posOffset>
            </wp:positionV>
            <wp:extent cx="71412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 w:name="page4"/>
    <w:bookmarkEnd w:id="3"/>
    <w:p>
      <w:pPr>
        <w:spacing w:after="0" w:line="274" w:lineRule="auto"/>
        <w:rPr>
          <w:sz w:val="20"/>
          <w:szCs w:val="20"/>
          <w:color w:val="auto"/>
        </w:rPr>
      </w:pPr>
      <w:r>
        <w:rPr>
          <w:rFonts w:ascii="Times New Roman" w:cs="Times New Roman" w:eastAsia="Times New Roman" w:hAnsi="Times New Roman"/>
          <w:sz w:val="17"/>
          <w:szCs w:val="17"/>
          <w:color w:val="auto"/>
        </w:rPr>
        <w:t>Shares of our common stock represented by proxies in the form enclosed that are properly executed and returned to us and not revoked will be voted as specified in the proxy by the stockholder. In the absence of contrary instructions, or in instances where no specifications are made, the shares will be voted:</w:t>
      </w:r>
    </w:p>
    <w:p>
      <w:pPr>
        <w:spacing w:after="0" w:line="159" w:lineRule="exact"/>
        <w:rPr>
          <w:sz w:val="20"/>
          <w:szCs w:val="20"/>
          <w:color w:val="auto"/>
        </w:rPr>
      </w:pPr>
    </w:p>
    <w:p>
      <w:pPr>
        <w:ind w:left="300" w:hanging="299"/>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election of two Class III directors to the Board of the Company to serve until the 2027 Annual Meeting of Shareholders.</w:t>
      </w:r>
    </w:p>
    <w:p>
      <w:pPr>
        <w:spacing w:after="0" w:line="207"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approval of an amendment to the Company’s 2020 Omnibus Performance Award Plan, to increase by 600,000 the number of shares authorized thereunder from 2,020,652 to 2,620,652.</w:t>
      </w:r>
    </w:p>
    <w:p>
      <w:pPr>
        <w:spacing w:after="0" w:line="158"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ratification of Brightman Almagor Zohar &amp; Co., a Member of Deloitte Touche Tohmatsu Limited, or its U.S. affiliate, as the Company’s independent registered public accounting firm for the year ending December 31, 2024.</w:t>
      </w:r>
    </w:p>
    <w:p>
      <w:pPr>
        <w:spacing w:after="0" w:line="158"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discretion of the named proxies as to any other matter that may properly come before the Annual Meeting.</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Any stockholder signing and delivering a proxy may revoke it at any time before it is voted by delivering to the Company’s corporate secretary a written revocation or a duly executed proxy bearing a date later than the date of the proxy being revoked. Any stockholder attending the Annual Meeting in person may revoke his, her or its proxy and vote his, her or its shares at the Annual Meeting.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How to vote shares at our 2024 Annual Meeting.</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i w:val="1"/>
          <w:iCs w:val="1"/>
          <w:color w:val="auto"/>
        </w:rPr>
        <w:t>Voting at the Annual Meeting</w:t>
      </w:r>
      <w:r>
        <w:rPr>
          <w:rFonts w:ascii="Times New Roman" w:cs="Times New Roman" w:eastAsia="Times New Roman" w:hAnsi="Times New Roman"/>
          <w:sz w:val="17"/>
          <w:szCs w:val="17"/>
          <w:color w:val="auto"/>
        </w:rPr>
        <w:t>. All Company stockholders are invited to attend the Annual Meeting in person. Any stockholder that attends the meeting in person may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deliver a completed proxy card in person or vote by completing a ballot, which will be available at the meeting. However, each stockholder intending to vote in person at the Annual Meeting should note that if his, her or its shares are held in the name of a bank, broker or other nominee, such stockholder must obtain a legal proxy, executed in his, her or its favor, from the holder of record to be able to vote at the Annual Meeting. Stockholders should allow enough time prior to the Annual Meeting to obtain this proxy from the holder of record, if needed.</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Whether you hold shares directly as a registered stockholder of record or beneficially in street name, you may vote without attending the Annual Meeting. You may vote by granting a proxy or, for shares held in street name, by submitting voting instructions to your broker or nominee. In most cases, you will be able to do this by telephone, by using the Internet or by mail. Please refer to the summary instructions included with proxy materials and on your proxy card. For shares held in street name, the voting instruction card will be included in the materials forwarded by the broker or nominee. If you have telephone or Internet access, you may submit your proxy by following the instructions with your proxy materials and on your proxy card. You may submit your proxy by mail by signing your proxy card or, for shares held in street name, by following the voting instructions with your proxy materials and on your proxy card. You may submit your proxy by mail by signing your proxy card or, for shares held in street name, by following the voting instruction card included in the materials forwarded by your stockbroker or nominee and mailing it in the enclosed, postage paid envelope. If you provide specific voting instructions, your shares will be voted as you have instructed.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shares voted electronically or represented by the proxy cards received, properly marked, dated, signed and not revoked, will be voted at the Annual Meeting.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Quorum, Required Votes and Method of Tabulation</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Consistent with Delaware law and the Company’s amended and restated by-laws, a majority of the votes entitled to be cast on a particular matter, present in person or represented by proxy, constitutes a quorum as to such matter. Proxies received but marked as “ABSTAIN” or “WITHHOLD”, if any, and broker non-votes (described below), if applicable, will be included in the calculation of the number of shares considered to be present at the Annual Meeting for quorum purposes. If a quorum is not present, we will be required to reconvene the Annual Meeting at a later date. The Company will appoint one or more election inspectors for the meeting to count votes cast by proxy or in person at the Annual Meeting.</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If you hold shares beneficially in street name and do not provide your broker or nominee with voting instructions, your shares may constitute “broker non-votes.” Generally, broker non-votes occur on a matter when a broker is not permitted to vote on that matter without instructions from the beneficial owner and instructions have not been given. If you hold shares beneficially in street name and do not vote your shares, your broker or nominee can vote your shares at its discretion on Proposal Number 3. In tabulating the voting result for any proposal for which the required vote is based on the number of shares present, shares that constitute broker non-votes are not considered entitled to vote on that proposal. However, for proposals for which the required vote is based on the number of shares of common stock issued and outstanding, broker non-votes have the same effect as a vote “AGAINST” the proposal.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i w:val="1"/>
          <w:iCs w:val="1"/>
          <w:color w:val="auto"/>
        </w:rPr>
        <w:t>What Vote is Required to Approve Each Item?</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Election of directors by stockholders, which is Proposal Number 1, will be determined by a plurality of the votes cast by the stockholders entitled to vote at the election that are either present in person or represented by proxy. Consequently, any shares not voted at the annual meeting, whether due to abstentions, broker non-votes or otherwise, will have no impact on the election of directors.</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For Proposal Number 2, the affirmative “FOR” vote is required by the holders of a majority of the votes cast by the stockholders entitled to vote at the Annual Meeting in person or by proxy and voting. Abstentions will have no effect on the outcome of this proposal.</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For Proposal Number 3, the affirmative “FOR” vote is required by the holders of a majority of the votes cast by the stockholders entitled to vote at the Annual Meeting in person or by proxy and voting. Abstentions and broker nonvotes will have no effect on the outcome of this proposal, as they are not considered to be “votes cast” for the purposes of this proposal.</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Management does not know of any matters to be presented at this year’s Annual Meeting other than those set forth in this proxy statement and in the notice accompanying this proxy statement. Stockholders will have no appraisal rights under Delaware law with respect to any of the matters expected to be voted on at the Annual Meeting. If other matters should properly come before the meeting, the proxy holders will vote such matters in their discretion. Any stockholder has the right to revoke his, her or its proxy at any time until it is voted.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the number of shares of our common stock beneficially owned, as of October 25, 2024, by (i) each of our directors and director nominees,</w:t>
      </w:r>
    </w:p>
    <w:p>
      <w:pPr>
        <w:spacing w:after="0" w:line="34" w:lineRule="exact"/>
        <w:rPr>
          <w:sz w:val="20"/>
          <w:szCs w:val="20"/>
          <w:color w:val="auto"/>
        </w:rPr>
      </w:pPr>
    </w:p>
    <w:p>
      <w:pPr>
        <w:jc w:val="both"/>
        <w:ind w:firstLine="1"/>
        <w:spacing w:after="0" w:line="248" w:lineRule="auto"/>
        <w:tabs>
          <w:tab w:leader="none" w:pos="25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named executive officers, (iii) all of our current directors and executive officers as a group, and (iv) all those known by us to be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October 25, 2024. We calculated percentage ownership in accordance with the rules of the SEC. the percentage of common stock beneficially owned is based on 16,931,931 shares outstanding as of October 25, 2024. In addition, shares issuable pursuant to options or other convertible securities that may be acquired within 60 days of October 25, 2024 are deemed to be issued and outstanding and have been treated as outstanding in calculating and determining the beneficial ownership and percentage ownership of those persons possessing those securities, but not for any other persons.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This table is based on information supplied by each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288 Grove Street, Suite 388, Braintree, MA 02184.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20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Percentage of Common</w:t>
            </w:r>
          </w:p>
        </w:tc>
      </w:tr>
      <w:tr>
        <w:trPr>
          <w:trHeight w:val="222"/>
        </w:trPr>
        <w:tc>
          <w:tcPr>
            <w:tcW w:w="6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Beneficial Owner</w:t>
            </w:r>
          </w:p>
        </w:tc>
        <w:tc>
          <w:tcPr>
            <w:tcW w:w="22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rPr>
              <w:t>Beneficially Owned</w:t>
            </w:r>
          </w:p>
        </w:tc>
        <w:tc>
          <w:tcPr>
            <w:tcW w:w="32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Stock Beneficially Owned</w:t>
            </w:r>
          </w:p>
        </w:tc>
        <w:tc>
          <w:tcPr>
            <w:tcW w:w="140" w:type="dxa"/>
            <w:vAlign w:val="bottom"/>
            <w:tcBorders>
              <w:bottom w:val="single" w:sz="8" w:color="CCEEFF"/>
            </w:tcBorders>
          </w:tcPr>
          <w:p>
            <w:pPr>
              <w:spacing w:after="0"/>
              <w:rPr>
                <w:sz w:val="19"/>
                <w:szCs w:val="19"/>
                <w:color w:val="auto"/>
              </w:rPr>
            </w:pPr>
          </w:p>
        </w:tc>
      </w:tr>
      <w:tr>
        <w:trPr>
          <w:trHeight w:val="233"/>
        </w:trPr>
        <w:tc>
          <w:tcPr>
            <w:tcW w:w="6760" w:type="dxa"/>
            <w:vAlign w:val="bottom"/>
            <w:shd w:val="clear" w:color="auto" w:fill="CCEEFF"/>
          </w:tcPr>
          <w:p>
            <w:pPr>
              <w:spacing w:after="0" w:line="232" w:lineRule="exact"/>
              <w:rPr>
                <w:sz w:val="20"/>
                <w:szCs w:val="20"/>
                <w:color w:val="auto"/>
              </w:rPr>
            </w:pPr>
            <w:r>
              <w:rPr>
                <w:rFonts w:ascii="Times New Roman" w:cs="Times New Roman" w:eastAsia="Times New Roman" w:hAnsi="Times New Roman"/>
                <w:sz w:val="16"/>
                <w:szCs w:val="16"/>
                <w:color w:val="auto"/>
              </w:rPr>
              <w:t>Harel Gadot</w:t>
            </w:r>
            <w:r>
              <w:rPr>
                <w:rFonts w:ascii="Times New Roman" w:cs="Times New Roman" w:eastAsia="Times New Roman" w:hAnsi="Times New Roman"/>
                <w:sz w:val="26"/>
                <w:szCs w:val="26"/>
                <w:color w:val="auto"/>
                <w:vertAlign w:val="superscript"/>
              </w:rPr>
              <w:t>(1)</w:t>
            </w:r>
          </w:p>
        </w:tc>
        <w:tc>
          <w:tcPr>
            <w:tcW w:w="220" w:type="dxa"/>
            <w:vAlign w:val="bottom"/>
            <w:shd w:val="clear" w:color="auto" w:fill="CCEEFF"/>
          </w:tcPr>
          <w:p>
            <w:pPr>
              <w:spacing w:after="0"/>
              <w:rPr>
                <w:sz w:val="20"/>
                <w:szCs w:val="20"/>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1,120,273</w:t>
            </w:r>
          </w:p>
        </w:tc>
        <w:tc>
          <w:tcPr>
            <w:tcW w:w="32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w:t>
            </w:r>
          </w:p>
        </w:tc>
      </w:tr>
      <w:tr>
        <w:trPr>
          <w:trHeight w:val="240"/>
        </w:trPr>
        <w:tc>
          <w:tcPr>
            <w:tcW w:w="698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Yoseph Bornstein</w:t>
            </w:r>
            <w:r>
              <w:rPr>
                <w:rFonts w:ascii="Times New Roman" w:cs="Times New Roman" w:eastAsia="Times New Roman" w:hAnsi="Times New Roman"/>
                <w:sz w:val="27"/>
                <w:szCs w:val="27"/>
                <w:color w:val="auto"/>
                <w:vertAlign w:val="superscript"/>
              </w:rPr>
              <w:t>(2)</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309,768</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1.82%</w:t>
            </w:r>
          </w:p>
        </w:tc>
      </w:tr>
      <w:tr>
        <w:trPr>
          <w:trHeight w:val="240"/>
        </w:trPr>
        <w:tc>
          <w:tcPr>
            <w:tcW w:w="698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Scott Burell</w:t>
            </w:r>
            <w:r>
              <w:rPr>
                <w:rFonts w:ascii="Times New Roman" w:cs="Times New Roman" w:eastAsia="Times New Roman" w:hAnsi="Times New Roman"/>
                <w:sz w:val="27"/>
                <w:szCs w:val="27"/>
                <w:color w:val="auto"/>
                <w:vertAlign w:val="superscript"/>
              </w:rPr>
              <w:t>(3)</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67,740</w:t>
            </w:r>
          </w:p>
        </w:tc>
        <w:tc>
          <w:tcPr>
            <w:tcW w:w="2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698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Martin Madden</w:t>
            </w:r>
            <w:r>
              <w:rPr>
                <w:rFonts w:ascii="Times New Roman" w:cs="Times New Roman" w:eastAsia="Times New Roman" w:hAnsi="Times New Roman"/>
                <w:sz w:val="27"/>
                <w:szCs w:val="27"/>
                <w:color w:val="auto"/>
                <w:vertAlign w:val="superscript"/>
              </w:rPr>
              <w:t>(3)</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67,740</w:t>
            </w: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698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Prattipati Laxminarain</w:t>
            </w:r>
            <w:r>
              <w:rPr>
                <w:rFonts w:ascii="Times New Roman" w:cs="Times New Roman" w:eastAsia="Times New Roman" w:hAnsi="Times New Roman"/>
                <w:sz w:val="27"/>
                <w:szCs w:val="27"/>
                <w:color w:val="auto"/>
                <w:vertAlign w:val="superscript"/>
              </w:rPr>
              <w:t>(3)</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67,740</w:t>
            </w:r>
          </w:p>
        </w:tc>
        <w:tc>
          <w:tcPr>
            <w:tcW w:w="2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698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Aileen Stockburger</w:t>
            </w:r>
            <w:r>
              <w:rPr>
                <w:rFonts w:ascii="Times New Roman" w:cs="Times New Roman" w:eastAsia="Times New Roman" w:hAnsi="Times New Roman"/>
                <w:sz w:val="27"/>
                <w:szCs w:val="27"/>
                <w:color w:val="auto"/>
                <w:vertAlign w:val="superscript"/>
              </w:rPr>
              <w:t>(3)</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62,644</w:t>
            </w: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698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Simon Sharon</w:t>
            </w:r>
            <w:r>
              <w:rPr>
                <w:rFonts w:ascii="Times New Roman" w:cs="Times New Roman" w:eastAsia="Times New Roman" w:hAnsi="Times New Roman"/>
                <w:sz w:val="27"/>
                <w:szCs w:val="27"/>
                <w:color w:val="auto"/>
                <w:vertAlign w:val="superscript"/>
              </w:rPr>
              <w:t>(3)</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100,669</w:t>
            </w:r>
          </w:p>
        </w:tc>
        <w:tc>
          <w:tcPr>
            <w:tcW w:w="2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698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Eyal Morag</w:t>
            </w:r>
            <w:r>
              <w:rPr>
                <w:rFonts w:ascii="Times New Roman" w:cs="Times New Roman" w:eastAsia="Times New Roman" w:hAnsi="Times New Roman"/>
                <w:sz w:val="27"/>
                <w:szCs w:val="27"/>
                <w:color w:val="auto"/>
                <w:vertAlign w:val="superscript"/>
              </w:rPr>
              <w:t>(4)</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r>
      <w:tr>
        <w:trPr>
          <w:trHeight w:val="240"/>
        </w:trPr>
        <w:tc>
          <w:tcPr>
            <w:tcW w:w="698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Juan Diaz-Cartelle</w:t>
            </w:r>
            <w:r>
              <w:rPr>
                <w:rFonts w:ascii="Times New Roman" w:cs="Times New Roman" w:eastAsia="Times New Roman" w:hAnsi="Times New Roman"/>
                <w:sz w:val="27"/>
                <w:szCs w:val="27"/>
                <w:color w:val="auto"/>
                <w:vertAlign w:val="superscript"/>
              </w:rPr>
              <w:t>(3)</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15,687</w:t>
            </w:r>
          </w:p>
        </w:tc>
        <w:tc>
          <w:tcPr>
            <w:tcW w:w="2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698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Tal Wenderow</w:t>
            </w:r>
            <w:r>
              <w:rPr>
                <w:rFonts w:ascii="Times New Roman" w:cs="Times New Roman" w:eastAsia="Times New Roman" w:hAnsi="Times New Roman"/>
                <w:sz w:val="27"/>
                <w:szCs w:val="27"/>
                <w:color w:val="auto"/>
                <w:vertAlign w:val="superscript"/>
              </w:rPr>
              <w:t>(3)</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61,053</w:t>
            </w: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698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Rachel Vaknin</w:t>
            </w:r>
            <w:r>
              <w:rPr>
                <w:rFonts w:ascii="Times New Roman" w:cs="Times New Roman" w:eastAsia="Times New Roman" w:hAnsi="Times New Roman"/>
                <w:sz w:val="27"/>
                <w:szCs w:val="27"/>
                <w:color w:val="auto"/>
                <w:vertAlign w:val="superscript"/>
              </w:rPr>
              <w:t>(3)</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66,849</w:t>
            </w:r>
          </w:p>
        </w:tc>
        <w:tc>
          <w:tcPr>
            <w:tcW w:w="2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698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David J. Wilson</w:t>
            </w:r>
            <w:r>
              <w:rPr>
                <w:rFonts w:ascii="Times New Roman" w:cs="Times New Roman" w:eastAsia="Times New Roman" w:hAnsi="Times New Roman"/>
                <w:sz w:val="27"/>
                <w:szCs w:val="27"/>
                <w:color w:val="auto"/>
                <w:vertAlign w:val="superscript"/>
              </w:rPr>
              <w:t>(5)</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r>
      <w:tr>
        <w:trPr>
          <w:trHeight w:val="240"/>
        </w:trPr>
        <w:tc>
          <w:tcPr>
            <w:tcW w:w="698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All current directors and executive officers as a group (10 persons)</w:t>
            </w:r>
            <w:r>
              <w:rPr>
                <w:rFonts w:ascii="Times New Roman" w:cs="Times New Roman" w:eastAsia="Times New Roman" w:hAnsi="Times New Roman"/>
                <w:sz w:val="27"/>
                <w:szCs w:val="27"/>
                <w:color w:val="auto"/>
                <w:vertAlign w:val="superscript"/>
              </w:rPr>
              <w:t>(6)</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1,940,163</w:t>
            </w:r>
          </w:p>
        </w:tc>
        <w:tc>
          <w:tcPr>
            <w:tcW w:w="32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17856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90" w:lineRule="exact"/>
        <w:rPr>
          <w:sz w:val="20"/>
          <w:szCs w:val="20"/>
          <w:color w:val="auto"/>
        </w:rPr>
      </w:pPr>
    </w:p>
    <w:p>
      <w:pPr>
        <w:ind w:left="300" w:hanging="299"/>
        <w:spacing w:after="0"/>
        <w:tabs>
          <w:tab w:leader="none" w:pos="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than 1%.</w:t>
      </w:r>
    </w:p>
    <w:p>
      <w:pPr>
        <w:spacing w:after="0" w:line="22" w:lineRule="exact"/>
        <w:rPr>
          <w:sz w:val="20"/>
          <w:szCs w:val="20"/>
          <w:color w:val="auto"/>
        </w:rPr>
      </w:pPr>
    </w:p>
    <w:p>
      <w:pPr>
        <w:jc w:val="both"/>
        <w:ind w:left="300" w:hanging="299"/>
        <w:spacing w:after="0" w:line="247" w:lineRule="auto"/>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136,847 shares of our common stock owned by MEDX Ventures Group LLC, (ii) 77,846 shares of our common stock issuable upon the exercise of options granted to MEDX Ventures Group LLC, and (iii) 905,580 shares of our common stock issuable upon the exercise of options granted to Mr. Gadot. Mr. Gadot is the Chief Executive Officer, Company Group Chairman and majority equity owner of MEDX Venture Group, LLC and thus may be deemed to share voting and investment power over the shares and options beneficially owned by this entity.</w:t>
      </w:r>
    </w:p>
    <w:p>
      <w:pPr>
        <w:spacing w:after="0" w:line="2" w:lineRule="exact"/>
        <w:rPr>
          <w:rFonts w:ascii="Times New Roman" w:cs="Times New Roman" w:eastAsia="Times New Roman" w:hAnsi="Times New Roman"/>
          <w:sz w:val="17"/>
          <w:szCs w:val="17"/>
          <w:color w:val="auto"/>
        </w:rPr>
      </w:pPr>
    </w:p>
    <w:p>
      <w:pPr>
        <w:jc w:val="both"/>
        <w:ind w:left="300" w:hanging="299"/>
        <w:spacing w:after="0" w:line="247" w:lineRule="auto"/>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(i) 242,028 shares of our common stock owned by LSA - Life Science Accelerator Ltd. and (ii) 67,740 shares of our common stock issuable to Mr. Bornstein upon exercise of options. Based on representations and other information made or provided to the Company by Mr. Bornstein, Mr. Bornstein is the CEO and Director of LSA - Life Science Accelerator Ltd. and of Shizim Ltd., and Mr. Bornstein is the majority equity owner of Shizim Ltd. Shizim Ltd. is the majority equity owner of LSA - Life Science Accelerator Ltd. Accordingly, Mr. Bornstein may be deemed to share voting and investment power over the shares beneficially owned by these entities and has an address of 16 Irus Street, Rosh-Ha’Ayin Israel 4858022. Mr. Bornstein’s terms as a director expires at the Annual Meeting.</w:t>
      </w:r>
    </w:p>
    <w:p>
      <w:pPr>
        <w:spacing w:after="0" w:line="3"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options to acquire shares of our common stock.</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Morag resigned from his positions with the Company, effective November 29, 2023.</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 nominee.</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shares of our common stock issuable upon the exercise of options as set forth in footnotes (1), (2) and (3).</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seven directors serving on our Board. The following table lists the names, ages and positions of the individuals who serve as directors of the Company, as of</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25, 2024, as well as our director nominee to be considered at the Annual Meeting: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920" w:type="dxa"/>
            <w:vAlign w:val="bottom"/>
            <w:gridSpan w:val="2"/>
          </w:tcPr>
          <w:p>
            <w:pPr>
              <w:ind w:left="11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220" w:type="dxa"/>
            <w:vAlign w:val="bottom"/>
          </w:tcPr>
          <w:p>
            <w:pPr>
              <w:spacing w:after="0"/>
              <w:rPr>
                <w:sz w:val="19"/>
                <w:szCs w:val="19"/>
                <w:color w:val="auto"/>
              </w:rPr>
            </w:pPr>
          </w:p>
        </w:tc>
        <w:tc>
          <w:tcPr>
            <w:tcW w:w="6740" w:type="dxa"/>
            <w:vAlign w:val="bottom"/>
          </w:tcPr>
          <w:p>
            <w:pPr>
              <w:ind w:left="3080"/>
              <w:spacing w:after="0"/>
              <w:rPr>
                <w:sz w:val="20"/>
                <w:szCs w:val="20"/>
                <w:color w:val="auto"/>
              </w:rPr>
            </w:pPr>
            <w:r>
              <w:rPr>
                <w:rFonts w:ascii="Times New Roman" w:cs="Times New Roman" w:eastAsia="Times New Roman" w:hAnsi="Times New Roman"/>
                <w:sz w:val="17"/>
                <w:szCs w:val="17"/>
                <w:b w:val="1"/>
                <w:bCs w:val="1"/>
                <w:color w:val="auto"/>
              </w:rPr>
              <w:t>Position</w:t>
            </w:r>
          </w:p>
        </w:tc>
      </w:tr>
      <w:tr>
        <w:trPr>
          <w:trHeight w:val="178"/>
        </w:trPr>
        <w:tc>
          <w:tcPr>
            <w:tcW w:w="20" w:type="dxa"/>
            <w:vAlign w:val="bottom"/>
          </w:tcPr>
          <w:p>
            <w:pPr>
              <w:spacing w:after="0"/>
              <w:rPr>
                <w:sz w:val="15"/>
                <w:szCs w:val="15"/>
                <w:color w:val="auto"/>
              </w:rPr>
            </w:pPr>
          </w:p>
        </w:tc>
        <w:tc>
          <w:tcPr>
            <w:tcW w:w="270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Harel Gadot</w:t>
            </w:r>
          </w:p>
        </w:tc>
        <w:tc>
          <w:tcPr>
            <w:tcW w:w="220" w:type="dxa"/>
            <w:vAlign w:val="bottom"/>
          </w:tcPr>
          <w:p>
            <w:pPr>
              <w:spacing w:after="0"/>
              <w:rPr>
                <w:sz w:val="15"/>
                <w:szCs w:val="15"/>
                <w:color w:val="auto"/>
              </w:rPr>
            </w:pPr>
          </w:p>
        </w:tc>
        <w:tc>
          <w:tcPr>
            <w:tcW w:w="134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7"/>
                <w:szCs w:val="17"/>
                <w:color w:val="auto"/>
              </w:rPr>
              <w:t>52</w:t>
            </w:r>
          </w:p>
        </w:tc>
        <w:tc>
          <w:tcPr>
            <w:tcW w:w="220" w:type="dxa"/>
            <w:vAlign w:val="bottom"/>
          </w:tcPr>
          <w:p>
            <w:pPr>
              <w:spacing w:after="0"/>
              <w:rPr>
                <w:sz w:val="15"/>
                <w:szCs w:val="15"/>
                <w:color w:val="auto"/>
              </w:rPr>
            </w:pPr>
          </w:p>
        </w:tc>
        <w:tc>
          <w:tcPr>
            <w:tcW w:w="674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President, Chief Executive Officer and Chairman of the Board of Directors</w:t>
            </w:r>
          </w:p>
        </w:tc>
      </w:tr>
      <w:tr>
        <w:trPr>
          <w:trHeight w:val="202"/>
        </w:trPr>
        <w:tc>
          <w:tcPr>
            <w:tcW w:w="2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Yoseph Bornstein(1)(3)(4)</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66</w:t>
            </w: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Director</w:t>
            </w:r>
          </w:p>
        </w:tc>
      </w:tr>
      <w:tr>
        <w:trPr>
          <w:trHeight w:val="202"/>
        </w:trPr>
        <w:tc>
          <w:tcPr>
            <w:tcW w:w="2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Scott Burell(1)(2)</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59</w:t>
            </w: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Director</w:t>
            </w:r>
          </w:p>
        </w:tc>
      </w:tr>
      <w:tr>
        <w:trPr>
          <w:trHeight w:val="202"/>
        </w:trPr>
        <w:tc>
          <w:tcPr>
            <w:tcW w:w="2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Martin Madden(1)(3)</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64</w:t>
            </w: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Director</w:t>
            </w:r>
          </w:p>
        </w:tc>
      </w:tr>
      <w:tr>
        <w:trPr>
          <w:trHeight w:val="202"/>
        </w:trPr>
        <w:tc>
          <w:tcPr>
            <w:tcW w:w="2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Prattipati Laxminarain(2)</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67</w:t>
            </w: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Director</w:t>
            </w:r>
          </w:p>
        </w:tc>
      </w:tr>
      <w:tr>
        <w:trPr>
          <w:trHeight w:val="202"/>
        </w:trPr>
        <w:tc>
          <w:tcPr>
            <w:tcW w:w="2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Aileen Stockburger(3)</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62</w:t>
            </w: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Director</w:t>
            </w:r>
          </w:p>
        </w:tc>
      </w:tr>
      <w:tr>
        <w:trPr>
          <w:trHeight w:val="202"/>
        </w:trPr>
        <w:tc>
          <w:tcPr>
            <w:tcW w:w="2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Tal Wenderow(2)</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Director</w:t>
            </w:r>
          </w:p>
        </w:tc>
      </w:tr>
      <w:tr>
        <w:trPr>
          <w:trHeight w:val="218"/>
        </w:trPr>
        <w:tc>
          <w:tcPr>
            <w:tcW w:w="2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David J. Wilson</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57</w:t>
            </w: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Director nominee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17856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91" w:lineRule="exact"/>
        <w:rPr>
          <w:sz w:val="20"/>
          <w:szCs w:val="20"/>
          <w:color w:val="auto"/>
        </w:rPr>
      </w:pPr>
    </w:p>
    <w:p>
      <w:pPr>
        <w:ind w:left="300" w:hanging="299"/>
        <w:spacing w:after="0"/>
        <w:tabs>
          <w:tab w:leader="none" w:pos="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Audit Committee.</w:t>
      </w:r>
    </w:p>
    <w:p>
      <w:pPr>
        <w:spacing w:after="0" w:line="22"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Corporate Governance Committee.</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Compensation Committee.</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Bornstein’s term as a director expires at the Annual Meeting and he is not nominated for reelection at the Annual Meeting.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Because we have a classified Board, with each of our directors serving a staggered three-year term, only our Class III Directors are standing for election at our 2024</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Annual Meeting. The following table shows the current composition of the three classes of our Board: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 I Directors (terms scheduled to expire in 2025):</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Harel Gadot</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Martin Madden</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Tal Wenderow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 II Directors (term scheduled to expire in 2026):</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Scott Burell</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Aileen Stockburger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 III Directors (term scheduled to expire in 2024, next expiration in 2027):</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Yoseph Bornstein</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Prattipati Laxminarain</w:t>
      </w:r>
    </w:p>
    <w:p>
      <w:pPr>
        <w:spacing w:after="0" w:line="19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have nominated David J. Wilson for the Class III directorship being vacated at the Annual Meeting when Mr. Bornstein’s three-year term ends at the Annual Meeting.</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independent members of our Board, as determined by the Board in accordance with the existing Nasdaq Listing rules, are Messrs. Bornstein, Burell, Madden, Laxminarain and Wenderow, and Ms. Stockburger. Mr. Wilson also meets the definition of an independent director under existing NASDAQ Listing Rules.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Board held approximately sixteen regular and special meetings during the fiscal year ended December 31, 2023. Each of our then-directors attended all such meetings of the Board, except on seven occasions when one director was absent, one occasion when two directors were absent, and one occasion when three directors were absent. While we encourage our directors to attend the Company’s annual shareholder meeting, we do not have a policy requiring that they do so. All of our then-directors attended in person or by telephone the Company’s 2023 annual stockholder meeting. The Board also acted by unanimous written consent five times during the fiscal year ended December 31,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i w:val="1"/>
          <w:iCs w:val="1"/>
          <w:color w:val="auto"/>
        </w:rPr>
        <w:t>Board Diversity Matrix</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matrix below reflects our Board’s gender and racial characteristics and LGBTQ+ status, based on the self-identification of our directors. Each of the categories listed below has the meaning as it is used in Nasdaq Rule 5605(f).</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Board Diversity Matrix (as of October 25, 2024)</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80" w:type="dxa"/>
            <w:vAlign w:val="bottom"/>
            <w:tcBorders>
              <w:top w:val="single" w:sz="8" w:color="auto"/>
            </w:tcBorders>
          </w:tcPr>
          <w:p>
            <w:pPr>
              <w:jc w:val="center"/>
              <w:ind w:right="156"/>
              <w:spacing w:after="0"/>
              <w:rPr>
                <w:sz w:val="20"/>
                <w:szCs w:val="20"/>
                <w:color w:val="auto"/>
              </w:rPr>
            </w:pPr>
            <w:r>
              <w:rPr>
                <w:rFonts w:ascii="Times New Roman" w:cs="Times New Roman" w:eastAsia="Times New Roman" w:hAnsi="Times New Roman"/>
                <w:sz w:val="17"/>
                <w:szCs w:val="17"/>
                <w:b w:val="1"/>
                <w:bCs w:val="1"/>
                <w:color w:val="auto"/>
                <w:w w:val="97"/>
              </w:rPr>
              <w:t>Total Number of Directors</w:t>
            </w:r>
          </w:p>
        </w:tc>
        <w:tc>
          <w:tcPr>
            <w:tcW w:w="13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13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Gender</w:t>
            </w:r>
          </w:p>
        </w:tc>
        <w:tc>
          <w:tcPr>
            <w:tcW w:w="0" w:type="dxa"/>
            <w:vAlign w:val="bottom"/>
          </w:tcPr>
          <w:p>
            <w:pPr>
              <w:spacing w:after="0"/>
              <w:rPr>
                <w:sz w:val="1"/>
                <w:szCs w:val="1"/>
                <w:color w:val="auto"/>
              </w:rPr>
            </w:pPr>
          </w:p>
        </w:tc>
      </w:tr>
      <w:tr>
        <w:trPr>
          <w:trHeight w:val="154"/>
        </w:trPr>
        <w:tc>
          <w:tcPr>
            <w:tcW w:w="5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180" w:type="dxa"/>
            <w:vAlign w:val="bottom"/>
          </w:tcPr>
          <w:p>
            <w:pPr>
              <w:jc w:val="center"/>
              <w:ind w:right="136"/>
              <w:spacing w:after="0"/>
              <w:rPr>
                <w:sz w:val="20"/>
                <w:szCs w:val="20"/>
                <w:color w:val="auto"/>
              </w:rPr>
            </w:pPr>
            <w:r>
              <w:rPr>
                <w:rFonts w:ascii="Times New Roman" w:cs="Times New Roman" w:eastAsia="Times New Roman" w:hAnsi="Times New Roman"/>
                <w:sz w:val="17"/>
                <w:szCs w:val="17"/>
                <w:b w:val="1"/>
                <w:bCs w:val="1"/>
                <w:color w:val="auto"/>
                <w:w w:val="98"/>
              </w:rPr>
              <w:t>Gender Identity:</w:t>
            </w: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Male</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Female</w:t>
            </w:r>
          </w:p>
        </w:tc>
        <w:tc>
          <w:tcPr>
            <w:tcW w:w="220" w:type="dxa"/>
            <w:vAlign w:val="bottom"/>
          </w:tcPr>
          <w:p>
            <w:pPr>
              <w:spacing w:after="0"/>
              <w:rPr>
                <w:sz w:val="19"/>
                <w:szCs w:val="19"/>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Non-Binary</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Undisclosed</w:t>
            </w:r>
          </w:p>
        </w:tc>
        <w:tc>
          <w:tcPr>
            <w:tcW w:w="0" w:type="dxa"/>
            <w:vAlign w:val="bottom"/>
          </w:tcPr>
          <w:p>
            <w:pPr>
              <w:spacing w:after="0"/>
              <w:rPr>
                <w:sz w:val="1"/>
                <w:szCs w:val="1"/>
                <w:color w:val="auto"/>
              </w:rPr>
            </w:pPr>
          </w:p>
        </w:tc>
      </w:tr>
      <w:tr>
        <w:trPr>
          <w:trHeight w:val="174"/>
        </w:trPr>
        <w:tc>
          <w:tcPr>
            <w:tcW w:w="5180" w:type="dxa"/>
            <w:vAlign w:val="bottom"/>
          </w:tcPr>
          <w:p>
            <w:pPr>
              <w:jc w:val="center"/>
              <w:ind w:right="136"/>
              <w:spacing w:after="0" w:line="175" w:lineRule="exact"/>
              <w:rPr>
                <w:sz w:val="20"/>
                <w:szCs w:val="20"/>
                <w:color w:val="auto"/>
              </w:rPr>
            </w:pPr>
            <w:r>
              <w:rPr>
                <w:rFonts w:ascii="Times New Roman" w:cs="Times New Roman" w:eastAsia="Times New Roman" w:hAnsi="Times New Roman"/>
                <w:sz w:val="17"/>
                <w:szCs w:val="17"/>
                <w:b w:val="1"/>
                <w:bCs w:val="1"/>
                <w:color w:val="auto"/>
                <w:w w:val="99"/>
              </w:rPr>
              <w:t>Directors</w:t>
            </w:r>
          </w:p>
        </w:tc>
        <w:tc>
          <w:tcPr>
            <w:tcW w:w="136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7"/>
                <w:szCs w:val="17"/>
                <w:color w:val="auto"/>
                <w:w w:val="93"/>
              </w:rPr>
              <w:t>6</w:t>
            </w:r>
          </w:p>
        </w:tc>
        <w:tc>
          <w:tcPr>
            <w:tcW w:w="240" w:type="dxa"/>
            <w:vAlign w:val="bottom"/>
          </w:tcPr>
          <w:p>
            <w:pPr>
              <w:spacing w:after="0"/>
              <w:rPr>
                <w:sz w:val="15"/>
                <w:szCs w:val="15"/>
                <w:color w:val="auto"/>
              </w:rPr>
            </w:pPr>
          </w:p>
        </w:tc>
        <w:tc>
          <w:tcPr>
            <w:tcW w:w="134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7"/>
                <w:szCs w:val="17"/>
                <w:color w:val="auto"/>
                <w:w w:val="93"/>
              </w:rPr>
              <w:t>1</w:t>
            </w:r>
          </w:p>
        </w:tc>
        <w:tc>
          <w:tcPr>
            <w:tcW w:w="220" w:type="dxa"/>
            <w:vAlign w:val="bottom"/>
          </w:tcPr>
          <w:p>
            <w:pPr>
              <w:spacing w:after="0"/>
              <w:rPr>
                <w:sz w:val="15"/>
                <w:szCs w:val="15"/>
                <w:color w:val="auto"/>
              </w:rPr>
            </w:pPr>
          </w:p>
        </w:tc>
        <w:tc>
          <w:tcPr>
            <w:tcW w:w="134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spacing w:after="0"/>
              <w:rPr>
                <w:sz w:val="15"/>
                <w:szCs w:val="15"/>
                <w:color w:val="auto"/>
              </w:rPr>
            </w:pPr>
          </w:p>
        </w:tc>
        <w:tc>
          <w:tcPr>
            <w:tcW w:w="134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7"/>
                <w:szCs w:val="17"/>
                <w:color w:val="auto"/>
                <w:w w:val="93"/>
              </w:rPr>
              <w:t>0</w:t>
            </w:r>
          </w:p>
        </w:tc>
        <w:tc>
          <w:tcPr>
            <w:tcW w:w="0" w:type="dxa"/>
            <w:vAlign w:val="bottom"/>
          </w:tcPr>
          <w:p>
            <w:pPr>
              <w:spacing w:after="0"/>
              <w:rPr>
                <w:sz w:val="1"/>
                <w:szCs w:val="1"/>
                <w:color w:val="auto"/>
              </w:rPr>
            </w:pPr>
          </w:p>
        </w:tc>
      </w:tr>
      <w:tr>
        <w:trPr>
          <w:trHeight w:val="202"/>
        </w:trPr>
        <w:tc>
          <w:tcPr>
            <w:tcW w:w="5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Number of Directors who Identify in any of the Categories Below:</w:t>
            </w: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African American or Black</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24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1560" w:type="dxa"/>
            <w:vAlign w:val="bottom"/>
            <w:gridSpan w:val="2"/>
          </w:tcPr>
          <w:p>
            <w:pPr>
              <w:jc w:val="center"/>
              <w:ind w:left="136"/>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0" w:type="dxa"/>
            <w:vAlign w:val="bottom"/>
          </w:tcPr>
          <w:p>
            <w:pPr>
              <w:spacing w:after="0"/>
              <w:rPr>
                <w:sz w:val="1"/>
                <w:szCs w:val="1"/>
                <w:color w:val="auto"/>
              </w:rPr>
            </w:pPr>
          </w:p>
        </w:tc>
      </w:tr>
      <w:tr>
        <w:trPr>
          <w:trHeight w:val="202"/>
        </w:trPr>
        <w:tc>
          <w:tcPr>
            <w:tcW w:w="5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Alaskan Native or Native American</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24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1560" w:type="dxa"/>
            <w:vAlign w:val="bottom"/>
            <w:gridSpan w:val="2"/>
          </w:tcPr>
          <w:p>
            <w:pPr>
              <w:jc w:val="center"/>
              <w:ind w:left="136"/>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0" w:type="dxa"/>
            <w:vAlign w:val="bottom"/>
          </w:tcPr>
          <w:p>
            <w:pPr>
              <w:spacing w:after="0"/>
              <w:rPr>
                <w:sz w:val="1"/>
                <w:szCs w:val="1"/>
                <w:color w:val="auto"/>
              </w:rPr>
            </w:pPr>
          </w:p>
        </w:tc>
      </w:tr>
      <w:tr>
        <w:trPr>
          <w:trHeight w:val="202"/>
        </w:trPr>
        <w:tc>
          <w:tcPr>
            <w:tcW w:w="5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Asian</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24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1560" w:type="dxa"/>
            <w:vAlign w:val="bottom"/>
            <w:gridSpan w:val="2"/>
          </w:tcPr>
          <w:p>
            <w:pPr>
              <w:jc w:val="center"/>
              <w:ind w:left="136"/>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0" w:type="dxa"/>
            <w:vAlign w:val="bottom"/>
          </w:tcPr>
          <w:p>
            <w:pPr>
              <w:spacing w:after="0"/>
              <w:rPr>
                <w:sz w:val="1"/>
                <w:szCs w:val="1"/>
                <w:color w:val="auto"/>
              </w:rPr>
            </w:pPr>
          </w:p>
        </w:tc>
      </w:tr>
      <w:tr>
        <w:trPr>
          <w:trHeight w:val="202"/>
        </w:trPr>
        <w:tc>
          <w:tcPr>
            <w:tcW w:w="5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Hispanic or Latinx</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24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1560" w:type="dxa"/>
            <w:vAlign w:val="bottom"/>
            <w:gridSpan w:val="2"/>
          </w:tcPr>
          <w:p>
            <w:pPr>
              <w:jc w:val="center"/>
              <w:ind w:left="136"/>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0" w:type="dxa"/>
            <w:vAlign w:val="bottom"/>
          </w:tcPr>
          <w:p>
            <w:pPr>
              <w:spacing w:after="0"/>
              <w:rPr>
                <w:sz w:val="1"/>
                <w:szCs w:val="1"/>
                <w:color w:val="auto"/>
              </w:rPr>
            </w:pPr>
          </w:p>
        </w:tc>
      </w:tr>
      <w:tr>
        <w:trPr>
          <w:trHeight w:val="202"/>
        </w:trPr>
        <w:tc>
          <w:tcPr>
            <w:tcW w:w="5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Native Hawaiian or Pacific Islander</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24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1560" w:type="dxa"/>
            <w:vAlign w:val="bottom"/>
            <w:gridSpan w:val="2"/>
          </w:tcPr>
          <w:p>
            <w:pPr>
              <w:jc w:val="center"/>
              <w:ind w:left="136"/>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0" w:type="dxa"/>
            <w:vAlign w:val="bottom"/>
          </w:tcPr>
          <w:p>
            <w:pPr>
              <w:spacing w:after="0"/>
              <w:rPr>
                <w:sz w:val="1"/>
                <w:szCs w:val="1"/>
                <w:color w:val="auto"/>
              </w:rPr>
            </w:pPr>
          </w:p>
        </w:tc>
      </w:tr>
      <w:tr>
        <w:trPr>
          <w:trHeight w:val="202"/>
        </w:trPr>
        <w:tc>
          <w:tcPr>
            <w:tcW w:w="5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White</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24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560" w:type="dxa"/>
            <w:vAlign w:val="bottom"/>
            <w:gridSpan w:val="2"/>
          </w:tcPr>
          <w:p>
            <w:pPr>
              <w:jc w:val="center"/>
              <w:ind w:left="136"/>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0" w:type="dxa"/>
            <w:vAlign w:val="bottom"/>
          </w:tcPr>
          <w:p>
            <w:pPr>
              <w:spacing w:after="0"/>
              <w:rPr>
                <w:sz w:val="1"/>
                <w:szCs w:val="1"/>
                <w:color w:val="auto"/>
              </w:rPr>
            </w:pPr>
          </w:p>
        </w:tc>
      </w:tr>
      <w:tr>
        <w:trPr>
          <w:trHeight w:val="202"/>
        </w:trPr>
        <w:tc>
          <w:tcPr>
            <w:tcW w:w="5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Two or More Races or Ethnicities</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24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1560" w:type="dxa"/>
            <w:vAlign w:val="bottom"/>
            <w:gridSpan w:val="2"/>
          </w:tcPr>
          <w:p>
            <w:pPr>
              <w:jc w:val="center"/>
              <w:ind w:left="136"/>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0" w:type="dxa"/>
            <w:vAlign w:val="bottom"/>
          </w:tcPr>
          <w:p>
            <w:pPr>
              <w:spacing w:after="0"/>
              <w:rPr>
                <w:sz w:val="1"/>
                <w:szCs w:val="1"/>
                <w:color w:val="auto"/>
              </w:rPr>
            </w:pPr>
          </w:p>
        </w:tc>
      </w:tr>
      <w:tr>
        <w:trPr>
          <w:trHeight w:val="202"/>
        </w:trPr>
        <w:tc>
          <w:tcPr>
            <w:tcW w:w="5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LGBTQ+</w:t>
            </w: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Did Not Disclose Demographic Background</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Committees of the Board of Directors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Presently, the Board has three standing committees — the Audit Committee, the Compensation and Stock Option Committee (the “Compensation Committee”), and the Corporate Governance and Nominating Committee (the “Corporate Governance Committee”). All members of the Audit Committee, the Compensation Committee, and the Corporate Governance Committee are, and are required by the charters of the respective committees to be, independent as determined under Nasdaq Listing rules.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Audit Committee</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Audit Committee is composed of Messrs. Burell, Madden and Bornstein. Upon the expiration of Mr. Bornstein’s term as a director at the Annual Meeting, we expect that the Board will fill the vacancy on the Audit Committee by appointing our director nominee, David J. Wilson, to such position. Each of the members of the Audit Committee is independent, as is expected to be, and the Board has determined that Mr. Burell is an “audit committee financial expert,” as defined in SEC rules. The Audit Committee acts pursuant to a written charter which is available through our website at www.microbotmedical.com. The Audit Committee held four meetings during the fiscal year ended December 31, 2023.</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primary function of the Audit Committee is to assist the Board of Directors in fulfilling its oversight responsibilities. The Audit Committee does this primarily by reviewing the Company’s financial reports and other financial information as well as the Company’s systems of internal controls regarding finance, accounting, legal compliance, and ethics that management and the Board of Directors have established. The Audit Committee also assesses the Company’s auditing, accounting and financial processes more generally. The Audit Committee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this proxy statement, and other related matters.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Compensation Committee</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Compensation Committee is composed of Messrs. Madden (Chairman), Bornstein and Stockburger. Upon the expiration of Mr. Bornstein’s term as a director at the Annual Meeting, we expect that the Board will fill the vacancy on the Compensation Committee by appointing our director nominee, David J. Wilson, to such position. Each of the members of the Compensation Committee is independent, as is expected to be. The Compensation Committee acts pursuant to a written charter which is available through our website at www.microbotmedical.com. The Compensation Committee held two meetings during the fiscal year ended December 31, 2023 and acted by unanimous written consent three times.</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Compensation Committee acts pursuant to a written charter. The Compensation Committee makes recommendations to the Board of Directors and management concerning salaries in general, determines executive compensation and approves incentive compensation for employees and consultants.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i w:val="1"/>
          <w:iCs w:val="1"/>
          <w:color w:val="auto"/>
        </w:rPr>
        <w:t>Corporate Governance Committee</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Corporate Governance Committee is composed of Messrs. Laxminarain, Burell and Wenderow. Each of the members of the Corporate Governance Committee is independent. The Corporate Governance Committee acts pursuant to a written charter which is available through our website at www.microbotmedical.com. The Corporate Governance Committee acted by unanimous written consent one time during the fiscal year ended December 31, 2023.</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 xml:space="preserve">The Corporate Governance Committee oversees nominations to the Board and considers the experience, ability and character of potential nominees to serve as directors, as well as particular skills or knowledge that may be desirable in light of the Company’s position at any time. From time to time, the Corporate Governance Committee may engage the services of a paid search firm to help the Corporate Governance Committee identify potential nominees to the Board. The Corporate Governance Committee and Board seek to nominate and appoint candidates to the Board who have significant business experience, technical expertise or personal attributes, or a combination of these, sufficient to suggest, in the Board’s judgment, that the candidate would have the ability to help direct the affairs of the Company and enhance the Board as a whole. The Corporate Governance Committee may identify potential candidates through any reliable means available, including recommendations of past or current members of the Board from their knowledge of the industry and of the Company. The Corporate Governance Committee also considers past service on the Board or on the board of directors of other publicly traded or technology focused companies. The Corporate Governance Committee has not adopted a formulaic approach to evaluating potential nominees to the Board; it does not have a formal policy concerning diversity, for example. Rather, the Corporate Governance Committee weighs and considers the experience, expertise, intellect, and judgment of potential nominees irrespective of their race, gender, age, religion, or other personal characteristics. The Corporate Governance Committee may look for nominees that can bring new skill sets or diverse business perspectives. Potential candidates recommended by security holders will be considered as provided in the company’s “Policy Regarding Shareholder Candidates for Nomination as a Director,” which sets forth the procedures and conditions for such recommendations. This policy is available through our website at </w:t>
      </w:r>
      <w:r>
        <w:rPr>
          <w:rFonts w:ascii="Times New Roman" w:cs="Times New Roman" w:eastAsia="Times New Roman" w:hAnsi="Times New Roman"/>
          <w:sz w:val="16"/>
          <w:szCs w:val="16"/>
          <w:u w:val="single" w:color="auto"/>
          <w:color w:val="auto"/>
        </w:rPr>
        <w:t>www.microbotmedical.com</w:t>
      </w:r>
      <w:r>
        <w:rPr>
          <w:rFonts w:ascii="Times New Roman" w:cs="Times New Roman" w:eastAsia="Times New Roman" w:hAnsi="Times New Roman"/>
          <w:sz w:val="16"/>
          <w:szCs w:val="16"/>
          <w:color w:val="auto"/>
        </w:rPr>
        <w:t>.</w:t>
      </w:r>
    </w:p>
    <w:p>
      <w:pPr>
        <w:spacing w:after="0" w:line="17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members of the Corporate Governance Committee have approved the nomination of the Class III director or direct nominee standing for reelection or election, as the case may be, at the 2024 Annual Meeting.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Director Oversight and Qualifications</w:t>
      </w:r>
    </w:p>
    <w:p>
      <w:pPr>
        <w:spacing w:after="0" w:line="2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While management is responsible for the day-to-day management of the risks the company faces, the Board, as a whole and through its committees, has responsibility for the oversight of risk management. An important part of risk management is not only understanding the risks facing the company and what steps management is taking to manage those risks, but also understanding what level of risk is appropriate for the company. In support of this oversight function, the Board receives regular reports from our Chief Executive Officer and members of senior management on operational, financial, legal, and regulatory issues and risks. The Audit Committee additionally is charged under its charter with oversight of financial risk, including the company’s internal controls, and it receives regular reports from management, the company’s internal auditors and the company’s independent auditors. The chairman of the Board and independent members of the Board work together to provide strong, independent oversight of the company’s management and affairs through its standing committees and, when necessary, special meetings of directors.</w:t>
      </w:r>
    </w:p>
    <w:p>
      <w:pPr>
        <w:spacing w:after="0" w:line="16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believe each of our directors, and director nominee, brings valuable skills, experience, judgment, and perspectives to our company. The Board took the following qualifications into consideration, among other things, when nominating or appointing our current directors and director nominee:</w:t>
      </w:r>
    </w:p>
    <w:p>
      <w:pPr>
        <w:spacing w:after="0" w:line="1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i w:val="1"/>
          <w:iCs w:val="1"/>
          <w:color w:val="auto"/>
        </w:rPr>
        <w:t>Harel Gadot</w:t>
      </w:r>
      <w:r>
        <w:rPr>
          <w:rFonts w:ascii="Times New Roman" w:cs="Times New Roman" w:eastAsia="Times New Roman" w:hAnsi="Times New Roman"/>
          <w:sz w:val="17"/>
          <w:szCs w:val="17"/>
          <w:color w:val="auto"/>
        </w:rPr>
        <w:t>, became President, Chief Executive Officer and Chairman of the Company’s Board following the consummation of the Merger. Mr. Gadot is a co-founder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Microbot Israel and has served as Microbot Israel’s Chief Executive Officer since Microbot Israel was founded in November 2010. He has been the Chairman of Microbot Israel’s board of directors since July 2014. He also served as a director until January 2024 of XACT Robotics Ltd., an Israel-based private company that recently ceased operations and is in insolvency proceedings in Israel, and was its Chairman from August 2013 until September 2023. Mr. Gadot serves as Chairman of MEDX Xelerator L.P., a medical device and digital health Israeli incubator, since July 2016. From December 2007 to April 2010 Mr. Gadot was a Worldwide Group Marketing Director at Ethicon Inc., a Johnson and Johnson Company, where he was responsible for the global strategic marketing of the Company. Mr. Gadot also held management positions, as well as leading regional strategic position for Europe, Middle-East and Africa, as well as In Israel, while at Johnson and Johnson. Mr. Gadot served as director for ConTIPI Ltd. from August 2010 until November 2013 when ConTIPI Ltd. was acquired by Kimberly-Clark Corporation. Mr. Gadot holds a B.Sc. in Business from Siena College, Loudonville NY, and an M.B.A. from the University of Manchester, UK. The Company believes that Mr. Gadot is qualified to serve as Chairman of the Board and as President and Chief Executive Officer of the Company due to his extensive experience in strategic marketing and general management in the medical device industry.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9" w:name="page10"/>
    <w:bookmarkEnd w:id="9"/>
    <w:p>
      <w:pPr>
        <w:jc w:val="both"/>
        <w:spacing w:after="0" w:line="250" w:lineRule="auto"/>
        <w:rPr>
          <w:sz w:val="20"/>
          <w:szCs w:val="20"/>
          <w:color w:val="auto"/>
        </w:rPr>
      </w:pPr>
      <w:r>
        <w:rPr>
          <w:rFonts w:ascii="Times New Roman" w:cs="Times New Roman" w:eastAsia="Times New Roman" w:hAnsi="Times New Roman"/>
          <w:sz w:val="17"/>
          <w:szCs w:val="17"/>
          <w:i w:val="1"/>
          <w:iCs w:val="1"/>
          <w:color w:val="auto"/>
        </w:rPr>
        <w:t>Scott R. Burell</w:t>
      </w:r>
      <w:r>
        <w:rPr>
          <w:rFonts w:ascii="Times New Roman" w:cs="Times New Roman" w:eastAsia="Times New Roman" w:hAnsi="Times New Roman"/>
          <w:sz w:val="17"/>
          <w:szCs w:val="17"/>
          <w:color w:val="auto"/>
        </w:rPr>
        <w:t>, became a director of the Company in November 2016. Since August 2018, Mr. Burell has been the Chief Financial Officer and Secretary of AIVITA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Biomedical, Inc., an Irvine California-based immuno-oncology company focused on the advancement of commercial and clinical-stage programs utilizing curative and regenerative medicines. From November 2006 until its sale to Invitae Corp. (NASDAQ: NVTA) in November 2017, he was the Chief Financial Officer, Secretary and Treasurer of CombiMatrix Corporation (NASDAQ: CBMX), a family health-focused clinical molecular diagnostic laboratory specializing in pre-implantation genetic screening, prenatal diagnosis, miscarriage analysis, and pediatric developmental disorders. He successfully led the split-off of CombiMatrix in 2007 from its former parent, has led several successful public and private debt and equity financing transactions as well as CombiMatrix’s reorganization in 2010. Prior to this, Mr. Burell had served as CombiMatrix’s Vice President of Finance since November 2001 and as its Controller from February 2001 to November 2001. From May 1999 to first joining CombiMatrix in February 2001, Mr. Burell was the Controller for Network Commerce, Inc. (NASDAQ: SPNW), a publicly traded technology and information infrastructure company located in Seattle. Prior to this, Mr. Burell spent nine years with Arthur Andersen’s Audit and Business Advisory practice in Seattle. During his tenure in public accounting, Mr. Burell worked with many clients, both public and private, in the high-tech and healthcare markets, and was involved in numerous public offerings, spin-offs, mergers and acquisitions. Mr. Burell obtained his Washington state CPA license in 1992 and is a certified public accountant (currently inactive). He holds Bachelor of Science degrees in Accounting and Business Finance from Central Washington University. The Company believes Mr. Burell’s qualifications to serve on the Board include his experience as an executive of a public life sciences company and knowledge of financial accounting in the medical technology field.</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i w:val="1"/>
          <w:iCs w:val="1"/>
          <w:color w:val="auto"/>
        </w:rPr>
        <w:t>Martin Madden</w:t>
      </w:r>
      <w:r>
        <w:rPr>
          <w:rFonts w:ascii="Times New Roman" w:cs="Times New Roman" w:eastAsia="Times New Roman" w:hAnsi="Times New Roman"/>
          <w:sz w:val="17"/>
          <w:szCs w:val="17"/>
          <w:color w:val="auto"/>
        </w:rPr>
        <w:t>, has been a director of the Company since February 6, 2017. Mr. Madden has held various positions at Johnson &amp; Johnson and its affiliates from 1986</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January 2017, most recently as Vice President, Research &amp; Development of DePuy Synthes, a Johnson &amp; Johnson Company, from February 2016 to January 2017. Prior to that, from July 2015 to February 2016, Mr. Madden was the Vice President, New Product Development of Johnson &amp; Johnson Medical Devices. From January 2012 to July 2015, Mr. Madden was the Vice President, Research &amp; Development of Johnson &amp; Johnson’s Global Surgery Group. During his thirty-year tenure with Johnson &amp; Johnson’s Medical Device organization, he was an innovator and research leader for nearly every medical device business including Cardiology, Electrophysiology, Peripheral Vascular Surgery, General and Colorectal Surgery, Aesthetics, Orthopaedics, Sports Medicine, Spine, and Trauma. As an executive of Johnson &amp; Johnson, Mr. Madden served on the management boards of Johnson &amp; Johnson’s Global Surgery Group, Ethicon, Ethicon Endo-Surgery, DePuy-Synthes, and Cordis, with responsibility for research and development - inclusive of organic and licensed/acquired technology. He was also Chairman of J&amp;J’s Medical Device Research Council, with responsibility for talent strategy and technology acceleration. Mr. Madden serves on the Board of Directors of Novocure (NASDAQ: NVCR), a global oncology company, and is an advisor to numerous medical device start-ups. Mr. Madden holds a MBA from Columbia University, a M.S. from Carnegie Mellon University in Mechanical Engineering, and a B.S. from the University of Dayton in Mechanical Engineering. The Company believes that Mr. Madden is qualified to serve as a member of the Board due to his extensive experience in research and development, portfolio planning, technology assessment and assimilation, and project management and budgeting.</w:t>
      </w:r>
    </w:p>
    <w:p>
      <w:pPr>
        <w:spacing w:after="0" w:line="17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i w:val="1"/>
          <w:iCs w:val="1"/>
          <w:color w:val="auto"/>
        </w:rPr>
        <w:t>Prattipati Laxminarain</w:t>
      </w:r>
      <w:r>
        <w:rPr>
          <w:rFonts w:ascii="Times New Roman" w:cs="Times New Roman" w:eastAsia="Times New Roman" w:hAnsi="Times New Roman"/>
          <w:sz w:val="16"/>
          <w:szCs w:val="16"/>
          <w:color w:val="auto"/>
        </w:rPr>
        <w:t>, has been a director of the Company since December 6, 2017. From April 2006 through October 2017, Mr. Laxminarain served as Worldwide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President at Codman Neuro, a global neurosurgery and neurovascular company that offers a portfolio of devices for hydrocephalus management, neuro intensive care and cranial surgery and other technologies, and which was part of DePuy Synthes Companies of Johnson &amp; Johnson. Mr. Laxminarain is currently the CEO of Deinde Medical Corporation, and is a Board Member of Oculogica Inc., Millar Inc., and GT Medical Inc. He has a degree in Mechanical Engineering from Osmania University, Hyderabad, India and an MBA from Indian Institute of Management. The Company believes that Mr. Laxminarain is qualified as a Board member of the Company because of his extensive experience working with medical device companies and knowledge of the industries in which the Company intends to compete.</w:t>
      </w:r>
    </w:p>
    <w:p>
      <w:pPr>
        <w:spacing w:after="0" w:line="1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i w:val="1"/>
          <w:iCs w:val="1"/>
          <w:color w:val="auto"/>
        </w:rPr>
        <w:t xml:space="preserve">Aileen Stockburger </w:t>
      </w:r>
      <w:r>
        <w:rPr>
          <w:rFonts w:ascii="Times New Roman" w:cs="Times New Roman" w:eastAsia="Times New Roman" w:hAnsi="Times New Roman"/>
          <w:sz w:val="17"/>
          <w:szCs w:val="17"/>
          <w:color w:val="auto"/>
        </w:rPr>
        <w:t>was appointed by the Board on March 26, 2020 to fill a vacancy on the Board and to serve as a Class II director of the Company, with a term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commencing on April 1, 2020. Since February 2018, Ms. Stockburger has provided M&amp;A consulting and advisory services through Aileen Stockburger LLC. Prior to that, from 1989 through January 2018, Ms. Stockburger held various positions in Johnson &amp; Johnson, most recently as Vice President, Worldwide Business Development &amp; Strategic Planning for the DePuy Synthes Group of Johnson &amp; Johnson, and as a member of its Worldwide Board and Group Operating Committee, from 2010-2018. In that role, she oversaw the group’s merger and acquisition activities, including deal structuring, negotiations, contract design and review, and deal terms. Before joining Johnson &amp; Johnson, Ms. Stockburger spent several years at PriceWaterhouseCoopers, and earned her CPA certification. She is also the Chair of Next Science Limited (ASX: NXS), a medical technology company headquartered in Sydney, Australia, with a primary focus in the development and continued commercialization of its proprietary technology to reduce the impact of biofilm based infections in human health. She also serve on the Audit Committee and the People, Culture and Remuneration Committee of the Board of Directors of Next Science Limited. Ms. Stockburger received her MBA and BS from The Wharton School, University of Pennsylvania. The Company believes that Ms. Stockburger is qualified as a Board member of the Company because of her extensive experience in strategizing, managing and closing sizable, complex worldwide mergers and acquisitions, licensing agreements and divestitures, as well as her expertise in business development, strategic planning and finance.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0" w:name="page11"/>
    <w:bookmarkEnd w:id="10"/>
    <w:p>
      <w:pPr>
        <w:jc w:val="both"/>
        <w:spacing w:after="0" w:line="251" w:lineRule="auto"/>
        <w:rPr>
          <w:sz w:val="20"/>
          <w:szCs w:val="20"/>
          <w:color w:val="auto"/>
        </w:rPr>
      </w:pPr>
      <w:r>
        <w:rPr>
          <w:rFonts w:ascii="Times New Roman" w:cs="Times New Roman" w:eastAsia="Times New Roman" w:hAnsi="Times New Roman"/>
          <w:sz w:val="17"/>
          <w:szCs w:val="17"/>
          <w:i w:val="1"/>
          <w:iCs w:val="1"/>
          <w:color w:val="auto"/>
        </w:rPr>
        <w:t xml:space="preserve">Tal Wenderow </w:t>
      </w:r>
      <w:r>
        <w:rPr>
          <w:rFonts w:ascii="Times New Roman" w:cs="Times New Roman" w:eastAsia="Times New Roman" w:hAnsi="Times New Roman"/>
          <w:sz w:val="17"/>
          <w:szCs w:val="17"/>
          <w:color w:val="auto"/>
        </w:rPr>
        <w:t>was appointed by the Board on July 29, 2020 to fill a vacancy on the Board and to serve as a Class I director of the Company, with a term commencing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August 1, 2020. Since June 2024, Mr. Wenderow serves as the CEO of Sensory Cloud Inc., a health technology company pioneering treatments for respiratory human illnesses of the airway lining. Since September 2021, Mr. Wenderow serves as the Venture Partner at Genesis MedTech, a global medical device company. Previously, from February 2019, Mr. Wenderow served as the President and CEO of Vocalis Health Inc., an AI healthtech company pioneering the development of vocal biomarkers. Previously, Mr. Wenderow co-founded Corindus Vascular Robotics in 2002, which was a New York Stock Exchange-listed company upon its acquisition by Siemens Healthineers in 2019. Mr. Wenderow held various positions at Corindus from founder, Chief Executive Officer and director at inception, Executive Vice President Product &amp; Business Development to his most recent role as Executive Vice President of International &amp; Business Development. Mr. Wenderow received a B.Sc. in Mechanical Engineering at the Technion - Israel Institute of Technology, Haifa, Israel. The Company believes that Mr. Wenderow is qualified as a Board member of the Company because of his extensive knowledge of the medical robotics space with specific focus on interventional procedures, as well as his medical devices start up experience.</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i w:val="1"/>
          <w:iCs w:val="1"/>
          <w:color w:val="auto"/>
        </w:rPr>
        <w:t xml:space="preserve">David J. Wilson, </w:t>
      </w:r>
      <w:r>
        <w:rPr>
          <w:rFonts w:ascii="Times New Roman" w:cs="Times New Roman" w:eastAsia="Times New Roman" w:hAnsi="Times New Roman"/>
          <w:sz w:val="17"/>
          <w:szCs w:val="17"/>
          <w:color w:val="auto"/>
        </w:rPr>
        <w:t>is a nominee for the Class III director position opening up at the Annual Meeting upon the expiration of Mr. Bornstein’s term. Since March 2022, Mr.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Wilson has been the Chief Executive Officer and a director of InnovHeart Corporation, a private company developing transcatheter mitral valve replacement systems to treat patients suffering from mitral valve disease. From September 2017 to October 2021, he was the President of Global Plasma at Haemonetics Corporation where he led the global commercialization of a next generation plasma collection system. He dedicated two decades in roles of increasing responsibility with various Johnson and Johnson (J&amp;J) companies, including as the Worldwide President of Cordis. In this role, he led the global integration of Cordis into Cardinal Health and rejuvenated the product portfolio through business development deals. Mr. Wilson held other leadership roles at J&amp;J companies, namely President of Mentor, Vice President of Ethicon R&amp;D and Vice President of Ethicon Biosurgicals. Earlier in his tenure with J&amp;J, he attained senior leadership roles at Cordis Endovascular as Vice President of R&amp;D and Regional Director of Sales. He is the holder of 10 medical device patents and has served as a Board member of several educational and healthcare institutions in the US. His education includes a Bachelor of Mechanical Engineering from Auburn University, a Master of Science in Biomedical Engineering from the University of Alabama at Birmingham and a Master of Business Administration from Columbia University. We believe that Mr. Wilson is qualified to serve as a member of the Board due to his experience as a healthcare and medical device executive, including extensive experience in general management, research and development, marketing, sales and supply chain management.</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i w:val="1"/>
          <w:iCs w:val="1"/>
          <w:color w:val="auto"/>
        </w:rPr>
        <w:t>Yoseph Bornstein</w:t>
      </w:r>
      <w:r>
        <w:rPr>
          <w:rFonts w:ascii="Times New Roman" w:cs="Times New Roman" w:eastAsia="Times New Roman" w:hAnsi="Times New Roman"/>
          <w:sz w:val="16"/>
          <w:szCs w:val="16"/>
          <w:color w:val="auto"/>
        </w:rPr>
        <w:t>, became a director of the Company following the Merger, and whose terms as a director is expiring at the Annual Meeting. Mr. Bornstein is a co-founder of Microbot Israel and has been a member of the Board of Directors since Microbot Israel was founded in November 2010. Mr. Bornstein founded Shizim Ltd., a life science holding group in October 2000 and has served as its CEO and director since then. Mr. Bornstein is the Chairman of, and through Shizim owns a stake in: GCP Clinical Studies Ltd., a provider of clinical research services and educational programs in Israel since January 2002; Biotis Ltd., a service company for the bio-pharmaceutical industry, since June 2000; Dolphin Medical Ltd., which supplies the medical device industry, since April 2012, and LSA - Life Science Accelerator Ltd., since 2000. In October 1992, Mr. Bornstein founded Pharmateam Ltd., an Israeli company that specialized in representing international pharmaceutical companies which was sold in 2000. Mr. Bornstein is also a founder of a number of other privately held life-science companies. Mr. Bornstein served as the Biotechnology Committee Chairman of the United States-Israel Science &amp; Technology Commission (the “USISTC”) from September 2002 to February 2005 as well as a consultant for USISTC from September 2002 to February 2005. He is also the founder of ILSI-Israel Life Science Industry Organization (who was integrated into IATI) and ITTN-Israel Tech Transfer Organization. He founded in July 2014 ShizimXL Ltd., an international medical device innovation center, and founded in January 2020 ShizimVS Ltd., a digital health innovation center. He co-founded Identifai Genetics, a non invasive prenatal genetic testing in April 2021. Mr. Bornstein is an external director in Can-fite BioPharma Ltd. (Nasdaq:CANF), and also a Strategic Advisory Board Chairman in Cube Labs, an Italy-based venture builder enabling innovation in the healthcare technology space. At the time of his last nomination and election in 2022, the Company believed that Mr. Bornstein was qualified to serve as a member of the Board due to his extensive experience in, and knowledge of, the life sciences industry and international business.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i w:val="1"/>
          <w:iCs w:val="1"/>
          <w:color w:val="auto"/>
        </w:rPr>
        <w:t>Executive Officers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Following are the name, age and other information for our executive officers. All company officers have been appointed to serve until their successors are elected and qualified or until their earlier resignation or removal. Information regarding Harel Gadot, our Chairman, President and Chief Executive Officer, is set forth above under “Board of Directors.”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920" w:type="dxa"/>
            <w:vAlign w:val="bottom"/>
            <w:gridSpan w:val="2"/>
          </w:tcPr>
          <w:p>
            <w:pPr>
              <w:ind w:left="11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220" w:type="dxa"/>
            <w:vAlign w:val="bottom"/>
          </w:tcPr>
          <w:p>
            <w:pPr>
              <w:spacing w:after="0"/>
              <w:rPr>
                <w:sz w:val="19"/>
                <w:szCs w:val="19"/>
                <w:color w:val="auto"/>
              </w:rPr>
            </w:pPr>
          </w:p>
        </w:tc>
        <w:tc>
          <w:tcPr>
            <w:tcW w:w="6740" w:type="dxa"/>
            <w:vAlign w:val="bottom"/>
          </w:tcPr>
          <w:p>
            <w:pPr>
              <w:ind w:left="3080"/>
              <w:spacing w:after="0"/>
              <w:rPr>
                <w:sz w:val="20"/>
                <w:szCs w:val="20"/>
                <w:color w:val="auto"/>
              </w:rPr>
            </w:pPr>
            <w:r>
              <w:rPr>
                <w:rFonts w:ascii="Times New Roman" w:cs="Times New Roman" w:eastAsia="Times New Roman" w:hAnsi="Times New Roman"/>
                <w:sz w:val="17"/>
                <w:szCs w:val="17"/>
                <w:b w:val="1"/>
                <w:bCs w:val="1"/>
                <w:color w:val="auto"/>
              </w:rPr>
              <w:t>Position</w:t>
            </w:r>
          </w:p>
        </w:tc>
      </w:tr>
      <w:tr>
        <w:trPr>
          <w:trHeight w:val="178"/>
        </w:trPr>
        <w:tc>
          <w:tcPr>
            <w:tcW w:w="20" w:type="dxa"/>
            <w:vAlign w:val="bottom"/>
          </w:tcPr>
          <w:p>
            <w:pPr>
              <w:spacing w:after="0"/>
              <w:rPr>
                <w:sz w:val="15"/>
                <w:szCs w:val="15"/>
                <w:color w:val="auto"/>
              </w:rPr>
            </w:pPr>
          </w:p>
        </w:tc>
        <w:tc>
          <w:tcPr>
            <w:tcW w:w="270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Harel Gadot</w:t>
            </w:r>
          </w:p>
        </w:tc>
        <w:tc>
          <w:tcPr>
            <w:tcW w:w="220" w:type="dxa"/>
            <w:vAlign w:val="bottom"/>
          </w:tcPr>
          <w:p>
            <w:pPr>
              <w:spacing w:after="0"/>
              <w:rPr>
                <w:sz w:val="15"/>
                <w:szCs w:val="15"/>
                <w:color w:val="auto"/>
              </w:rPr>
            </w:pPr>
          </w:p>
        </w:tc>
        <w:tc>
          <w:tcPr>
            <w:tcW w:w="134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7"/>
                <w:szCs w:val="17"/>
                <w:color w:val="auto"/>
              </w:rPr>
              <w:t>52</w:t>
            </w:r>
          </w:p>
        </w:tc>
        <w:tc>
          <w:tcPr>
            <w:tcW w:w="220" w:type="dxa"/>
            <w:vAlign w:val="bottom"/>
          </w:tcPr>
          <w:p>
            <w:pPr>
              <w:spacing w:after="0"/>
              <w:rPr>
                <w:sz w:val="15"/>
                <w:szCs w:val="15"/>
                <w:color w:val="auto"/>
              </w:rPr>
            </w:pPr>
          </w:p>
        </w:tc>
        <w:tc>
          <w:tcPr>
            <w:tcW w:w="674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President, Chief Executive Officer and Chairman of the Board of Directors</w:t>
            </w:r>
          </w:p>
        </w:tc>
      </w:tr>
      <w:tr>
        <w:trPr>
          <w:trHeight w:val="202"/>
        </w:trPr>
        <w:tc>
          <w:tcPr>
            <w:tcW w:w="2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Rachel Vaknin</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46</w:t>
            </w: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02"/>
        </w:trPr>
        <w:tc>
          <w:tcPr>
            <w:tcW w:w="2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Simon Sharon</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64</w:t>
            </w: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Chief Technology Officer and General Manager, Microbot Israel</w:t>
            </w:r>
          </w:p>
        </w:tc>
      </w:tr>
      <w:tr>
        <w:trPr>
          <w:trHeight w:val="218"/>
        </w:trPr>
        <w:tc>
          <w:tcPr>
            <w:tcW w:w="2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Juan Diaz-Cartelle</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48</w:t>
            </w: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Chief Medical Officer</w:t>
            </w:r>
          </w:p>
        </w:tc>
      </w:tr>
    </w:tbl>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Rachel Vaknin </w:t>
      </w:r>
      <w:r>
        <w:rPr>
          <w:rFonts w:ascii="Times New Roman" w:cs="Times New Roman" w:eastAsia="Times New Roman" w:hAnsi="Times New Roman"/>
          <w:sz w:val="17"/>
          <w:szCs w:val="17"/>
          <w:color w:val="auto"/>
        </w:rPr>
        <w:t>has served as the Company’s Chief Financial Officer since April 2022 and before that was its VP Finance since January 2022. From September 2017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2021, Ms. Vaknin served as the Chief Financial Officer at Imagry, an Israeli-American autonomous technologies software provider. From April 2004 through December 2016, Ms. Vaknin was the FP&amp;A Department Manager at Mellanox Technologies Ltd., an Israeli-American multinational supplier of computer networking products acquired by Nvidia in 2020, where she was responsible, among other things, for budget planning, budget control, building and maintaining business intelligence key performance indicators, leading teams with respect to preparing quarterly financial statements, obtaining and managing grant monies, and Sarbanes-Oxley controls.</w:t>
      </w:r>
    </w:p>
    <w:p>
      <w:pPr>
        <w:spacing w:after="0" w:line="17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i w:val="1"/>
          <w:iCs w:val="1"/>
          <w:color w:val="auto"/>
        </w:rPr>
        <w:t>Simon Sharon</w:t>
      </w:r>
      <w:r>
        <w:rPr>
          <w:rFonts w:ascii="Times New Roman" w:cs="Times New Roman" w:eastAsia="Times New Roman" w:hAnsi="Times New Roman"/>
          <w:sz w:val="17"/>
          <w:szCs w:val="17"/>
          <w:color w:val="auto"/>
        </w:rPr>
        <w:t>, has served as the Company’s Chief Technology Officer since April 2018 and as the General Manager of Microbot Israel since April 2021. From August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2016 to March 2018, Mr. Sharon served as the Chief Technology Officer at MEDX Xelerator, an Israel-based medical device and digital health incubator. He was also a director until January 2024 of XACT Robotics Ltd., an Israel-based private company that recently ceased operations and is in insolvency proceedings in Israel. Prior to this, Mr. Sharon held the position of Chief Operating Officer at Microbot Israel before it became a publicly traded company from February 2013 to August 2016. Prior to joining Microbot Israel, Mr. Sharon was the Vice President of Research &amp; Development with IceCure Medical, a TASE traded company developing a portfolio of cryogenic ablation systems. Prior to IceCure, he held roles of increasing responsibility at Rockwell Automation-Anorad Israel Ltd., a leading linear motor-based, precision positioning equipment manufacturer. Prior to Rockwell, Mr. Sharon was the Research &amp; Development Manager at Disc-O-Tech Medical Technologies Ltd., a private orthopedic venture that was acquired by Kyphon (currently part of Medtronic), and before this was the Research &amp; Development Manager at CI Systems, a worldwide supplier of a wide range of electro-optical test and measurement equipment.</w:t>
      </w:r>
    </w:p>
    <w:p>
      <w:pPr>
        <w:spacing w:after="0" w:line="1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i w:val="1"/>
          <w:iCs w:val="1"/>
          <w:color w:val="auto"/>
        </w:rPr>
        <w:t>Dr. Juan Diaz-Cartelle</w:t>
      </w:r>
      <w:r>
        <w:rPr>
          <w:rFonts w:ascii="Times New Roman" w:cs="Times New Roman" w:eastAsia="Times New Roman" w:hAnsi="Times New Roman"/>
          <w:sz w:val="17"/>
          <w:szCs w:val="17"/>
          <w:color w:val="auto"/>
        </w:rPr>
        <w:t>, has served as the Company’s Chief Medical Officer since December 1, 2023. As CMO, Dr. Diaz-Cartelle will lead the development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execution of the clinical strategy of the Company, including its planned clinical trials for the LIBERTY® Endovascular Robotic Surgical System in the U.S., the medical affairs activity, and will be an integral part of the team leading its regulatory process with the FDA and commercial efforts. Most recently, from May 2022 to November 2023, Dr. Diaz-Cartelle served as the Executive Medical Director at Haemonetics Corporation (NYSE: HAE), where he advised that company on new investments in the cardiovascular space, among other responsibilities. Prior to that, from June 2008 to May 2022, Dr. Diaz-Cartelle served as the Senior Medical Director for the Peripheral Interventional Division (Endovascular and Interventional Oncology) at Boston Scientific Corporation (NYSE: BSX), where he played a pivotal part in the development of global clinical strategy and study oversight, supporting commercial activities and future pipeline development. Dr. Diaz-Cartelle obtained his medical degree at the University of Navarra (Spain) and completed his specialty as Angiologist and Vascular Surgeon at Hospital General Universitario Gregorio Maranon in Madrid (Spain).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Section 16(a) Reports</w:t>
      </w:r>
    </w:p>
    <w:p>
      <w:pPr>
        <w:spacing w:after="0" w:line="2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Section 16(a) of the Exchange Act requires our executive officers, directors, and persons who own more than 10% of a registered class of our equity securities, to file with the SEC reports of ownership of our securities and changes in reported ownership. Executive officers, directors and greater than 10% beneficial owners are required by SEC rules to furnish us with copies of all Section 16(a) reports they file. Based solely on a review of the copies of such forms furnished to us, or written representations from the reporting persons that no Form 5 was required, we believe that, with the exception of one untimely Form 4 for each of Mr. Gadot and Ms. Vaknin relating to one transaction each during the fiscal year ended December 31, 2022 that were filed during the fiscal year ended December 31, 2023, all Section 16(a) filing requirements applicable to our officers, directors and greater than 10% beneficial owners have been met during the fiscal year ended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Code of Business Conduct and Ethics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adopted a Code of Ethics and Conduct that applies to all of our directors, officers, employees, and consultants. A copy of our code of ethics is posted on our website at www.microbotmedical.com. We intend to disclose any substantive amendment or waivers to this code on our website. There were no substantive amendments or waivers to this code in 2023.</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Legal Proceedings Involving Directors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legal proceedings involving the nominees to the Board.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following table sets forth information regarding each element of compensation that was paid or awarded to the named executive officers of the Company for the periods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Non-Equity</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Stock</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1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w w:val="95"/>
              </w:rPr>
              <w:t>Incentive Plan</w:t>
            </w:r>
          </w:p>
        </w:tc>
        <w:tc>
          <w:tcPr>
            <w:tcW w:w="140" w:type="dxa"/>
            <w:vAlign w:val="bottom"/>
          </w:tcPr>
          <w:p>
            <w:pPr>
              <w:spacing w:after="0"/>
              <w:rPr>
                <w:sz w:val="17"/>
                <w:szCs w:val="17"/>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7"/>
              </w:rPr>
              <w:t>All Other</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Salary</w:t>
            </w: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Bonus</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56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tcPr>
          <w:p>
            <w:pPr>
              <w:ind w:left="280"/>
              <w:spacing w:after="0"/>
              <w:rPr>
                <w:sz w:val="20"/>
                <w:szCs w:val="20"/>
                <w:color w:val="auto"/>
              </w:rPr>
            </w:pPr>
            <w:r>
              <w:rPr>
                <w:rFonts w:ascii="Times New Roman" w:cs="Times New Roman" w:eastAsia="Times New Roman" w:hAnsi="Times New Roman"/>
                <w:sz w:val="17"/>
                <w:szCs w:val="17"/>
                <w:b w:val="1"/>
                <w:bCs w:val="1"/>
                <w:color w:val="auto"/>
              </w:rPr>
              <w:t>Name and Principal Position</w:t>
            </w:r>
          </w:p>
        </w:tc>
        <w:tc>
          <w:tcPr>
            <w:tcW w:w="200" w:type="dxa"/>
            <w:vAlign w:val="bottom"/>
          </w:tcPr>
          <w:p>
            <w:pPr>
              <w:spacing w:after="0"/>
              <w:rPr>
                <w:sz w:val="19"/>
                <w:szCs w:val="19"/>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Year</w:t>
            </w:r>
          </w:p>
        </w:tc>
        <w:tc>
          <w:tcPr>
            <w:tcW w:w="660" w:type="dxa"/>
            <w:vAlign w:val="bottom"/>
          </w:tcPr>
          <w:p>
            <w:pPr>
              <w:ind w:left="24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Pr>
          <w:p>
            <w:pPr>
              <w:spacing w:after="0"/>
              <w:rPr>
                <w:sz w:val="19"/>
                <w:szCs w:val="19"/>
                <w:color w:val="auto"/>
              </w:rPr>
            </w:pPr>
          </w:p>
        </w:tc>
        <w:tc>
          <w:tcPr>
            <w:tcW w:w="640" w:type="dxa"/>
            <w:vAlign w:val="bottom"/>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w:t>
            </w:r>
          </w:p>
        </w:tc>
        <w:tc>
          <w:tcPr>
            <w:tcW w:w="40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 (1)</w:t>
            </w:r>
          </w:p>
        </w:tc>
        <w:tc>
          <w:tcPr>
            <w:tcW w:w="160" w:type="dxa"/>
            <w:vAlign w:val="bottom"/>
          </w:tcPr>
          <w:p>
            <w:pPr>
              <w:spacing w:after="0"/>
              <w:rPr>
                <w:sz w:val="19"/>
                <w:szCs w:val="19"/>
                <w:color w:val="auto"/>
              </w:rPr>
            </w:pPr>
          </w:p>
        </w:tc>
        <w:tc>
          <w:tcPr>
            <w:tcW w:w="1160" w:type="dxa"/>
            <w:vAlign w:val="bottom"/>
            <w:gridSpan w:val="2"/>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9"/>
                <w:szCs w:val="19"/>
                <w:color w:val="auto"/>
              </w:rPr>
            </w:pPr>
          </w:p>
        </w:tc>
        <w:tc>
          <w:tcPr>
            <w:tcW w:w="1180" w:type="dxa"/>
            <w:vAlign w:val="bottom"/>
            <w:gridSpan w:val="2"/>
          </w:tcPr>
          <w:p>
            <w:pPr>
              <w:jc w:val="center"/>
              <w:ind w:left="56"/>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Total ($)</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6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Harel Gadot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94"/>
              </w:rPr>
              <w:t>372,521</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386,000(2)</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470,302</w:t>
            </w:r>
          </w:p>
        </w:tc>
        <w:tc>
          <w:tcPr>
            <w:tcW w:w="1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55,300(3)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1,284,123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CEO, President &amp; Chairman</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94"/>
              </w:rPr>
              <w:t>514,049</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300,000(4)</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971,217</w:t>
            </w:r>
          </w:p>
        </w:tc>
        <w:tc>
          <w:tcPr>
            <w:tcW w:w="1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52,900(3)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1,838,166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Simon Sharon</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94"/>
              </w:rPr>
              <w:t>195,901</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87,022(2)</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88,418</w:t>
            </w:r>
          </w:p>
        </w:tc>
        <w:tc>
          <w:tcPr>
            <w:tcW w:w="1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98,589(5)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469,930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CTO and General Manager</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94"/>
              </w:rPr>
              <w:t>255,621</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89,721(4)</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65,114</w:t>
            </w:r>
          </w:p>
        </w:tc>
        <w:tc>
          <w:tcPr>
            <w:tcW w:w="16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115,874(5)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526,330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Eyal Morag</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94"/>
              </w:rPr>
              <w:t>146,403</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82,878(2)</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101,356</w:t>
            </w:r>
          </w:p>
        </w:tc>
        <w:tc>
          <w:tcPr>
            <w:tcW w:w="1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181,235(7)</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511,872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CMO(6)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94"/>
              </w:rPr>
              <w:t>284,024</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89,164(4)</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90,836</w:t>
            </w:r>
          </w:p>
        </w:tc>
        <w:tc>
          <w:tcPr>
            <w:tcW w:w="1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137,245(7)</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601,269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Rachel Vaknin</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94"/>
              </w:rPr>
              <w:t>139,601</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27,626(2)</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76,533</w:t>
            </w:r>
          </w:p>
        </w:tc>
        <w:tc>
          <w:tcPr>
            <w:tcW w:w="1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45,743(8)</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289,503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CFO</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94"/>
              </w:rPr>
              <w:t>142,012</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45,263</w:t>
            </w:r>
          </w:p>
        </w:tc>
        <w:tc>
          <w:tcPr>
            <w:tcW w:w="1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47,372(8)</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234,647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17856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90" w:lineRule="exact"/>
        <w:rPr>
          <w:sz w:val="20"/>
          <w:szCs w:val="20"/>
          <w:color w:val="auto"/>
        </w:rPr>
      </w:pPr>
    </w:p>
    <w:p>
      <w:pPr>
        <w:jc w:val="both"/>
        <w:ind w:left="300" w:hanging="299"/>
        <w:spacing w:after="0" w:line="252" w:lineRule="auto"/>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shown do not reflect cash compensation actually received by the named executive officer. Instead, the amounts shown are the non-cash aggregate grant date fair values of stock option awards made during the periods presented as determined pursuant to ASC Topic 718 and excludes the effect of forfeiture assumptions. The assumptions used to calculate the fair value of stock option awards are set forth under Note 10 to the Consolidated Financial Statements of the Company for the fiscal year ended December 31, 2023 included in the Company’s Annual Report on Form 10-K for the fiscal year ended December 31, 2023.</w:t>
      </w:r>
    </w:p>
    <w:p>
      <w:pPr>
        <w:spacing w:after="0" w:line="1"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bonus for the 2022 fiscal year, which amount was actually paid in 2023.</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Compensation includes contributions to the named executive officer’s 401(k) Plan, and a yearly automobile allowance.</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bonus for the 2021 fiscal year, which amount was actually paid in 2022.</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Compensation includes the executive’s yearly automobile allowance.</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August 29, 2023, Dr. Morag resigned from his position with the Company, effective November 29, 2023.</w:t>
      </w:r>
    </w:p>
    <w:p>
      <w:pPr>
        <w:spacing w:after="0" w:line="6" w:lineRule="exact"/>
        <w:rPr>
          <w:rFonts w:ascii="Times New Roman" w:cs="Times New Roman" w:eastAsia="Times New Roman" w:hAnsi="Times New Roman"/>
          <w:sz w:val="17"/>
          <w:szCs w:val="17"/>
          <w:color w:val="auto"/>
        </w:rPr>
      </w:pPr>
    </w:p>
    <w:p>
      <w:pPr>
        <w:jc w:val="both"/>
        <w:ind w:left="300" w:hanging="299"/>
        <w:spacing w:after="0" w:line="247" w:lineRule="auto"/>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Compensation includes contributions or payments to the named executive officer’s convalescence pay, pension fund, work disability insurance, severance fund, education fund, and social security. It also includes a yearly automobile allowance and, for the 2023 fiscal year, payments for accrued vacation days upon termination of employment.</w:t>
      </w:r>
    </w:p>
    <w:p>
      <w:pPr>
        <w:spacing w:after="0" w:line="1" w:lineRule="exact"/>
        <w:rPr>
          <w:rFonts w:ascii="Times New Roman" w:cs="Times New Roman" w:eastAsia="Times New Roman" w:hAnsi="Times New Roman"/>
          <w:sz w:val="17"/>
          <w:szCs w:val="17"/>
          <w:color w:val="auto"/>
        </w:rPr>
      </w:pPr>
    </w:p>
    <w:p>
      <w:pPr>
        <w:ind w:left="300" w:hanging="299"/>
        <w:spacing w:after="0" w:line="255" w:lineRule="auto"/>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Compensation includes contributions or payments to the named executive officer’s convalescence pay, pension fund, work disability insurance, severance fund, education fund, and social security.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Year-End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outstanding equity awards held by each of the named executive officers as of the end of the fiscal year ended December 31, 2023.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5"/>
          </w:tcPr>
          <w:p>
            <w:pPr>
              <w:jc w:val="right"/>
              <w:ind w:right="680"/>
              <w:spacing w:after="0"/>
              <w:rPr>
                <w:sz w:val="20"/>
                <w:szCs w:val="20"/>
                <w:color w:val="auto"/>
              </w:rPr>
            </w:pPr>
            <w:r>
              <w:rPr>
                <w:rFonts w:ascii="Times New Roman" w:cs="Times New Roman" w:eastAsia="Times New Roman" w:hAnsi="Times New Roman"/>
                <w:sz w:val="17"/>
                <w:szCs w:val="17"/>
                <w:b w:val="1"/>
                <w:bCs w:val="1"/>
                <w:color w:val="auto"/>
              </w:rPr>
              <w:t>Option Awards</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7"/>
                <w:szCs w:val="17"/>
                <w:b w:val="1"/>
                <w:bCs w:val="1"/>
                <w:color w:val="auto"/>
              </w:rPr>
              <w:t>Stock Awards</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w w:val="97"/>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Incentive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Incentive</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Plan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Plan</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Awards: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Awards:</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Market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5"/>
              </w:rPr>
              <w:t>Number</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or Payout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5"/>
              </w:rPr>
              <w:t>Number</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of</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of</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Market</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Unearned</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Unearned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value of</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w w:val="98"/>
              </w:rPr>
              <w:t>or Units of</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Units or</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Units or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Securities</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Securities</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w w:val="97"/>
              </w:rPr>
              <w:t>of Units of</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6"/>
              </w:rPr>
              <w:t>Other</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Underlying</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Underlying</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That</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Stock</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Rights</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Rights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Unexercised</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6"/>
              </w:rPr>
              <w:t>Unexercised</w:t>
            </w:r>
          </w:p>
        </w:tc>
        <w:tc>
          <w:tcPr>
            <w:tcW w:w="8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7"/>
              </w:rPr>
              <w:t>Option</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Option</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Have</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w w:val="96"/>
              </w:rPr>
              <w:t>That Have</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That</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That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8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7"/>
              </w:rPr>
              <w:t>Exercise</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Expiration</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Not</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Not</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6"/>
              </w:rPr>
              <w:t>Have Not</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Have Not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00" w:type="dxa"/>
            <w:vAlign w:val="bottom"/>
          </w:tcPr>
          <w:p>
            <w:pPr>
              <w:ind w:left="13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200" w:type="dxa"/>
            <w:vAlign w:val="bottom"/>
          </w:tcPr>
          <w:p>
            <w:pPr>
              <w:spacing w:after="0"/>
              <w:rPr>
                <w:sz w:val="19"/>
                <w:szCs w:val="19"/>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Exercisable</w:t>
            </w: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Unexercisable</w:t>
            </w:r>
          </w:p>
        </w:tc>
        <w:tc>
          <w:tcPr>
            <w:tcW w:w="80" w:type="dxa"/>
            <w:vAlign w:val="bottom"/>
          </w:tcPr>
          <w:p>
            <w:pPr>
              <w:spacing w:after="0"/>
              <w:rPr>
                <w:sz w:val="19"/>
                <w:szCs w:val="19"/>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Price</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3"/>
              </w:rPr>
              <w:t>Vested</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Vested</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3"/>
              </w:rPr>
              <w:t>Vested</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Vested</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1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Harel Gadot</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77,846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4.20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1/01/2025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120,847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15.75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9/14/2027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166,666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9.64</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2/25/2030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190,000</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8.48</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8"/>
              </w:rPr>
              <w:t>02/01/2031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62,500</w:t>
            </w:r>
          </w:p>
        </w:tc>
        <w:tc>
          <w:tcPr>
            <w:tcW w:w="10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37,500</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6.48</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8"/>
              </w:rPr>
              <w:t>01/26/2032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96,000</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3.73</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8"/>
              </w:rPr>
              <w:t>12/21/2032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80,000</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2.43</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8"/>
              </w:rPr>
              <w:t>08/01/2033</w:t>
            </w: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100" w:type="dxa"/>
            <w:vAlign w:val="bottom"/>
          </w:tcPr>
          <w:p>
            <w:pPr>
              <w:spacing w:after="0"/>
              <w:rPr>
                <w:sz w:val="17"/>
                <w:szCs w:val="17"/>
                <w:color w:val="auto"/>
              </w:rPr>
            </w:pPr>
          </w:p>
        </w:tc>
        <w:tc>
          <w:tcPr>
            <w:tcW w:w="1200" w:type="dxa"/>
            <w:vAlign w:val="bottom"/>
            <w:gridSpan w:val="3"/>
          </w:tcPr>
          <w:p>
            <w:pPr>
              <w:spacing w:after="0"/>
              <w:rPr>
                <w:sz w:val="17"/>
                <w:szCs w:val="17"/>
                <w:color w:val="auto"/>
              </w:rPr>
            </w:pPr>
          </w:p>
        </w:tc>
        <w:tc>
          <w:tcPr>
            <w:tcW w:w="108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Simon Sharon</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9.00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8"/>
              </w:rPr>
              <w:t>08/13/2028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14,170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5.95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8"/>
              </w:rPr>
              <w:t>08/12/2029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15,625</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9,375</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6.48</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8"/>
              </w:rPr>
              <w:t>01/26/2032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11,375</w:t>
            </w:r>
          </w:p>
        </w:tc>
        <w:tc>
          <w:tcPr>
            <w:tcW w:w="10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23,625</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3.48</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8"/>
              </w:rPr>
              <w:t>12/21/2032</w:t>
            </w: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17,500</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2.43</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8"/>
              </w:rPr>
              <w:t>08/01/2033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100" w:type="dxa"/>
            <w:vAlign w:val="bottom"/>
          </w:tcPr>
          <w:p>
            <w:pPr>
              <w:spacing w:after="0"/>
              <w:rPr>
                <w:sz w:val="17"/>
                <w:szCs w:val="17"/>
                <w:color w:val="auto"/>
              </w:rPr>
            </w:pPr>
          </w:p>
        </w:tc>
        <w:tc>
          <w:tcPr>
            <w:tcW w:w="1200" w:type="dxa"/>
            <w:vAlign w:val="bottom"/>
            <w:gridSpan w:val="3"/>
          </w:tcPr>
          <w:p>
            <w:pPr>
              <w:spacing w:after="0"/>
              <w:rPr>
                <w:sz w:val="17"/>
                <w:szCs w:val="17"/>
                <w:color w:val="auto"/>
              </w:rPr>
            </w:pPr>
          </w:p>
        </w:tc>
        <w:tc>
          <w:tcPr>
            <w:tcW w:w="108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Eyal Morag</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25,000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6.16</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8"/>
              </w:rPr>
              <w:t>02/29/2024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15,625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6.48</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8"/>
              </w:rPr>
              <w:t>02/29/2024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100" w:type="dxa"/>
            <w:vAlign w:val="bottom"/>
          </w:tcPr>
          <w:p>
            <w:pPr>
              <w:spacing w:after="0"/>
              <w:rPr>
                <w:sz w:val="17"/>
                <w:szCs w:val="17"/>
                <w:color w:val="auto"/>
              </w:rPr>
            </w:pPr>
          </w:p>
        </w:tc>
        <w:tc>
          <w:tcPr>
            <w:tcW w:w="1200" w:type="dxa"/>
            <w:vAlign w:val="bottom"/>
            <w:gridSpan w:val="3"/>
          </w:tcPr>
          <w:p>
            <w:pPr>
              <w:spacing w:after="0"/>
              <w:rPr>
                <w:sz w:val="17"/>
                <w:szCs w:val="17"/>
                <w:color w:val="auto"/>
              </w:rPr>
            </w:pPr>
          </w:p>
        </w:tc>
        <w:tc>
          <w:tcPr>
            <w:tcW w:w="108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Rachel Vaknin</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12,500</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7,500</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6.48</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8"/>
              </w:rPr>
              <w:t>01/26/2032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4,750</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5,250</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4.80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8"/>
              </w:rPr>
              <w:t>07/18/2032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5,200</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7,800</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3.73</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8"/>
              </w:rPr>
              <w:t>12/21/2032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17,500</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2.43</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8"/>
              </w:rPr>
              <w:t>08/01/2033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Employment Agreements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Harel Gadot Employment Agreement</w:t>
      </w:r>
    </w:p>
    <w:p>
      <w:pPr>
        <w:spacing w:after="0" w:line="2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The Company entered into an employment agreement (the “Gadot Agreement”) with Harel Gadot on November 28, 2016, to serve as the Company’s Chairman of the Board of Directors and Chief Executive Officer, on an indefinite basis subject to the termination provisions described in the Agreement. The Gadot Agreement was amended most recently on January 26, 2022, with a subsequent annual salary increase on December 21, 2022. Mr. Gadot’s annual base salary for 2022 was $515,000, and has been increased to $530,450 for 2023; however, as a result of the Company’s May 2023 cost reduction plan, Mr. Gadot agreed to a 50% reduction of his base salary, with reinstatement of his full base salary effective as of January 1, 2024. The salary is reviewed on an annual basis by the Compensation Committee of the Company to determine potential increases taking into account such performance metrics and criteria as established by Mr. Gadot and the Company.</w:t>
      </w:r>
    </w:p>
    <w:p>
      <w:pPr>
        <w:spacing w:after="0" w:line="1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Effective as of January 26, 2022, Mr. Gadot shall also be entitled to receive a target annual cash bonus of up to a maximum amount of 75% of base salary, which maximum amount was paid for the 2022 fiscal year. For the 2023 fiscal year, Mr. Gadot received in 2024 $149,188.50 of a possible maximum of $298,377, and a bonus in the form of 79,567 stock options. The remaining bonus of $149,188.50 for the 2023 fiscal year remains payable to Mr. Gadot in the event the Company raises an aggregate of $10 million by December 31, 2024.</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4" w:name="page15"/>
    <w:bookmarkEnd w:id="14"/>
    <w:p>
      <w:pPr>
        <w:jc w:val="both"/>
        <w:spacing w:after="0" w:line="254" w:lineRule="auto"/>
        <w:rPr>
          <w:sz w:val="20"/>
          <w:szCs w:val="20"/>
          <w:color w:val="auto"/>
        </w:rPr>
      </w:pPr>
      <w:r>
        <w:rPr>
          <w:rFonts w:ascii="Times New Roman" w:cs="Times New Roman" w:eastAsia="Times New Roman" w:hAnsi="Times New Roman"/>
          <w:sz w:val="17"/>
          <w:szCs w:val="17"/>
          <w:color w:val="auto"/>
        </w:rPr>
        <w:t>Mr. Gadot shall be further entitled to a monthly automobile allowance and tax gross up on such allowance of $1,150. Upon execution of the Gadot Agreement, he was granted options to purchase shares of common stock of the Company representing 5% of the issued and outstanding shares of the Company. Since then, the Compensation Committee of the Board of Directors considers the granting to Mr. Gadot of additional compensatory options on an annual basis. Most recently, in August 2023, the Company granted Mr. Gadot 80,000 options, and in February 2024, the Company granted Mr. Gadot an aggregate of 240,000 options (exclusive of the bonus options described above).</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the event Mr. Gadot’s employment is terminated as a result of death, Mr. Gadot’s estate would be entitled to receive any earned annual salary, bonus, reimbursement of business expenses and accrued vacation, if any, that is unpaid up to the date of Mr. Gadot’s death.</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the event Mr. Gadot’s employment is terminated as a result of disability, Mr. Gadot would be entitled to receive any earned annual salary, bonus, reimbursement of business expenses and accrued vacation, if any, incurred up to the date of termination.</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the event Mr. Gadot’s employment is terminated by the Company for cause, Mr. Gadot would be entitled to receive any compensation then due and payable incurred up to the date of termination.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the event Mr. Gadot’s employment is terminated by the Company without cause, he would be entitled to receive (i) any earned annual salary; (ii) 12 months’ pay and full benefits, (iii) a pro rata bonus equal to the maximum target bonus for that calendar year; (iv) the dollar value of unused and accrued vacation days; and (v) applicable premiums (inclusive of premiums for Mr. Gadot’s dependents) pursuant to the Consolidated Omnibus Budget Reconciliation Act of 1986, as amended, for twelve (12) months from the date of termination for any benefits plan sponsored by the Company. In addition, 100% of any unvested portion of his stock options shall immediately vest and become exercisable.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agreement contains customary non-competition and non-solicitation provisions pursuant to which Mr. Gadot agrees not to compete and solicit with the Company.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Gadot also agreed to customary terms regarding confidentiality and ownership of intellectual property.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Rachel Vaknin Employment Agreement</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Company entered into an employment agreement (the “Vaknin Agreement”), dated November 22, 2021, with Ms. Vaknin. amended as of May 15, 2023 (the “Vaknin Addendum”), to serve as the Company’s Chief Financial Officer, on an indefinite basis subject to the termination provisions described in the Vaknin Agreement. The salary is reviewed on an annual basis by the Compensation Committee of the Company to determine potential increases taking into account such performance metrics and criteria as established by the Company. Pursuant to the terms of the Vaknin Agreement, Ms. Vaknin shall receive a base salary in 2022 of NIS 32,000 per month plus Global Overtime (as defined in the Vaknin Agreement) of NIS 8,000 per month. In January 2023, her annual base salary was increased to $170,000; however, as a result of the Company’s May 2023 cost reduction plan and the Vaknin Addendum, Ms. Vaknin’s gross monthly salary was decreased to a gross amount of NIS 35,000 and social and fringe benefits due to Ms. Vaknin are calculated based upon the updated salary, excluding sick days and vacation days which will continue to be accumulated per her existing Agreement. The reinstatement of her full base salary was effective as of November 1, 2023.</w:t>
      </w:r>
    </w:p>
    <w:p>
      <w:pPr>
        <w:spacing w:after="0" w:line="1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Ms. Vaknin shall also be entitled to receive a target annual cash bonus, based on certain milestones, of up to a maximum amount of 35% (increased from 25% in February 2024) of her annual salary. For the 2023 fiscal year, Ms. Vaknin received a cash bonus of 150,000 NIS (approximately $41,000).</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Ms. Vaknin shall be further entitled to a monthly automobile allowance not to exceed NIS 1,000 per month plus expenses and applicable taxes, and originally was granted options to purchase 20,000 shares of common stock of the Company based on vesting and other terms set forth in the Vaknin Agreement. Since then, the Compensation Committee of the Board of Directors considers the granting to Ms. Vaknin of additional compensatory options on an annual basis. Most recently, in August 2023, the Company granted Ms. Vaknin 17,500 options and in February 2024, the Company granted Ms. Vaknin an aggregate of 52,500 options.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Pursuant to the Vaknin Agreement, the Company shall pay an amount equal to 8.33% of Ms. Vaknin’s salary to be allocated for severance pay, 6.5% of Ms. Vaknin’s salary to be allocated for pension savings and 7.5% to be allocated to an educational fund. The Company may have additional payment obligations for disability insurance as specified in the Vaknin Agreement.</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Either the Company or Ms. Vaknin may terminate the Vaknin Agreement at its discretion at any time by providing the other party with two months prior written notice of termination (the “Advance Notice Period”).</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may terminate the Vaknin Agreement “For Cause” (as defined in the Vaknin Agreement) at any time by written notice without the Advance Notice Period.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5" w:name="page16"/>
    <w:bookmarkEnd w:id="15"/>
    <w:p>
      <w:pPr>
        <w:jc w:val="both"/>
        <w:spacing w:after="0" w:line="274" w:lineRule="auto"/>
        <w:rPr>
          <w:sz w:val="20"/>
          <w:szCs w:val="20"/>
          <w:color w:val="auto"/>
        </w:rPr>
      </w:pPr>
      <w:r>
        <w:rPr>
          <w:rFonts w:ascii="Times New Roman" w:cs="Times New Roman" w:eastAsia="Times New Roman" w:hAnsi="Times New Roman"/>
          <w:sz w:val="17"/>
          <w:szCs w:val="17"/>
          <w:color w:val="auto"/>
        </w:rPr>
        <w:t>The Vaknin Agreement contains customary non-competition and non-solicit provisions pursuant to which Ms. Vaknin agrees not to compete and solicit with the Company. Ms. Vaknin also agreed to customary terms regarding confidentiality and ownership of intellectual property.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Simon Sharon Employment Agreement</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entered into an employment agreement, dated as of March 31, 2018 and amended pursuant to a First Amendment to Employment Agreement dated as of April 19, 2021 (as so amended, the “Sharon Agreement”), as further amended as of May 15, 2023 (the “Sharon Addendum”), with Mr. Sharon, to serve as the Company’s Chief Technology Officer and the General Manager of Microbot Israel, on an indefinite basis subject to the termination provisions described in the Sharon Agreement.</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salary is reviewed on an annual basis by the Compensation Committee of the Company to determine potential increases taking into account such performance metrics and criteria as established by the Company.</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Pursuant to the terms of the Sharon Agreement, Mr. Sharon was to have received in 2023 a combined base salary and overtime payment of NIS 74,160 per month. For 2023, as a result of the Company’s May 2023 cost reduction plan and the Sharon Addendum, Mr. Sharon’s gross monthly salary was decreased to a gross amount of NIS 44,496 and social and fringe benefits due to Mr. Sharon were calculated based upon the updated salary, excluding sick days and vacation days which continued to be accumulated per the Sharon Agreement. The reinstatement of his full base salary was effective as of November 1, 2023.</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Mr. Sharon shall also be entitled to receive a target annual cash bonus, based on certain milestones, of up to a maximum amount of 35% of him annual salary. For the 2023 fiscal year, Mr. Sharon received a cash bonus of approximately $85,000.</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Mr. Sharon shall be further entitled to a monthly automobile allowance plus a tax gross up to cover taxes relating to the grant of such motor vehicle, and pursuant to the Sharon Agreement was initially granted options in 2018 to purchase 150,000 shares (pre-stock split) of common stock of the Company. Since then, the Compensation Committee of the Board of Directors considers the granting to Mr. Sharon of additional compensatory options on an annual basis. Most recently, in August 2023, the Company granted Mr. Sharon 17,500 options and in February 2024, the Company granted Mr. Sharon an aggregate of 52,500 options.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Pursuant to the Sharon Agreement, the Company pays to (unless agreed otherwise by the parties) an insurance company or a pension fund, for Mr. Sharon, an amount equal to 8.33% of the base salary and overtime payments, which shall be allocated to a fund for severance pay, and an additional amount equal to 6.5% of the base salary and overtime payments, which shall be allocated to a provident fund or pension plan. The Company also pays an additional sum for disability insurance to insure Mr. Sharon for up to 75% of base salary and overtime payments, and 7.5% of each monthly payment to be allocated to an educational fund.</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Either the Company or Mr. Sharon may terminate the Sharon Agreement without cause (as defined in the Sharon Agreement) by providing the other party with ninety days prior written notice.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may terminate the Sharon Agreement for cause at any time by written notice without any advance notice.</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Sharon Agreement contains customary non-competition and non-solicit provisions pursuant to which Mr. Sharon agrees not to compete and solicit with the Company. Mr. Sharon also agreed to customary terms regarding confidentiality and ownership of intellectual property.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Dr. Eyal Morag Employment Agreement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entered into an employment agreement (the “Morag Agreement”), as of February 18, 2020, amended as of May 15, 2023 (the “Morag Addendum”), with Dr.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Morag, to serve as the Company’s Chief Medical Officer, on an indefinite basis subject to the termination provisions described in the Morag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August 29, 2023, Dr. Morag resigned from his position with the Company, effective November 29, 2023.</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Pursuant to the terms of the Morag Agreement, Dr. Morag received a base salary in 2022 of NIS64,000 per month plus Global Overtime (as defined in the Morag Agreement) of NIS16,000 per month. For 2023, his annual base salary increased to NIS82,408 per month; however, as a result of the Company’s May 2023 cost reduction plan and the Morag Addendum, Dr. Morag’s gross monthly salary was decreased to a gross amount of NIS49,440 and social and fringe benefits due to Dr. Morag are calculated based upon the updated salary, excluding sick days and vacation days which will continue to be accumulated per her existing Agreement. Notwithstanding the foregoing, upon termination of Dr. Morag’s employment, the redemption of accrued vacation days and the payment of prior notice period were calculated based on Dr. Morag’s salary prior to May 15,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6" w:name="page17"/>
    <w:bookmarkEnd w:id="16"/>
    <w:p>
      <w:pPr>
        <w:jc w:val="both"/>
        <w:spacing w:after="0" w:line="256" w:lineRule="auto"/>
        <w:rPr>
          <w:sz w:val="20"/>
          <w:szCs w:val="20"/>
          <w:color w:val="auto"/>
        </w:rPr>
      </w:pPr>
      <w:r>
        <w:rPr>
          <w:rFonts w:ascii="Times New Roman" w:cs="Times New Roman" w:eastAsia="Times New Roman" w:hAnsi="Times New Roman"/>
          <w:sz w:val="17"/>
          <w:szCs w:val="17"/>
          <w:color w:val="auto"/>
        </w:rPr>
        <w:t>Dr. Morag was further entitled to a monthly automobile allowance not to exceed NIS 4,800 per month plus expenses and applicable taxes, and was initially granted options to purchase 25,000 shares of common stock of the Company based on vesting and other terms set forth in the Morag Agreement. Since then, the Compensation Committee of the Board of Directors considers the granting to Dr. Morag of additional compensatory options on an annual basis. Most recently, in August 2023, the Company granted Dr. Morag 17,500 options, which options and the termination thereof are governed by the terms of the Company’s 2020 Plan.</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Morag Agreement contains customary non-competition and non-solicit provisions pursuant to which Dr. Morag agrees not to compete and solicit with the Company. Dr. Morag also agreed to customary terms regarding confidentiality and ownership of intellectual property.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Dr. Juan Diaz-Cartelle Employment Agreement</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entered into an employment agreement (the “Diaz-Cartelle Agreement”), as of December 1, 2023, with Dr. Diaz-Cartelle, to serve as the Company’s Chief Medical Officer, on an indefinite basis subject to the termination provisions described in the Morag Agreement.</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Pursuant to the terms of the Diaz-Cartelle Agreement, Dr. Diaz-Cartelle received a base salary in 2023 of $350,000 per year in accordance with the customary patrol practices of the Company applicable to senior executives.</w:t>
      </w:r>
    </w:p>
    <w:p>
      <w:pPr>
        <w:spacing w:after="0" w:line="159"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Dr. Diaz-Cartelle shall also be entitled to receive a target annual cash bonus (the “Target Bonus”), based on certain milestones, of up to a maximum amount of 30% of his annual salary, provided that he is employed by the Company as of December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of the year to which the Target Bonus relates in order to receive the Target Bonus.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Dr. Diaz-Cartelle shall also be entitled to receive options to purchase 25,000 shares of the common stock of the Company (the “Option Grant”), subject and pursuant to the Company’s 2020 Omnibus Performance Award Plan, as amended. The Company shall deliver to an award agreement to Dr. Diaz-Cartelle that sets forth the terms and conditions of the Option Grant, based on the recommendations and approvals of the Compensation Committee of the Board, including vesting and term. Dr. Diaz-Cartelle shall be entitled to receive additional incentive equity awards on an annual basis in the discretion of the Compensation Committee. Most recently, in February 2024, the Company granted Dr. Diaz-Cartelle an aggregate of 52,500 options.</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Pursuant to the Diaz-Cartelle Agreement, either the Company or Dr. Diaz-Cartelle may terminate the Diaz-Cartelle Agreement at its discretion at any time by providing the other party with 1 month prior written notice of termination (the “Advance Notice Period”).</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may terminate the Diaz-Cartelle Agreement “For Cause” (as defined in the Diaz-Cartelle Agreement) at any time by written notice without the Advance Notice Period.</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Diaz-Cartelle Agreement contains customary non-competition and non-solicit provisions pursuant to which Dr. Diaz-Cartelle agrees not to compete and solicit with the Company. Dr. Diaz-Cartelle also agreed to customary terms regarding confidentiality and ownership of intellectual property.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Indemnification Agreements</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Company generally enters into indemnification agreements with each of its directors and executive officers. Pursuant to the indemnification agreements, the Company has agreed to indemnify and hold harmless these current and former directors and officers to the fullest extent permitted by the Delaware General Corporation Law. The agreements generally cover expenses that a director or officer incurs or amounts that a director or officer becomes obligated to pay because of any proceeding to which he is made or threatened to be made a party or participant by reason of his service as a current or former director, officer, employee or agent of the Company, provided that he acted in good faith and in a manner he reasonably believed to be in or not opposed to the best interests of the Company. The agreements also provide for the advancement of expenses to the directors and officers subject to specified conditions. There are certain exceptions to the Company’s obligation to indemnify the directors and officers, and, with certain exceptions, with respect to proceedings that he initiates.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color w:val="auto"/>
        </w:rPr>
        <w:t>Limits on Liability and Indemnification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provide directors and officers insurance for our current directors and officers.</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certificate of incorporation eliminate the personal liability of our directors to the fullest extent permitted by law. The certificate of incorporation further provide that the Company will indemnify its officers and directors to the fullest extent permitted by law. We believe that this indemnification covers at least negligence on the part of the indemnified parties. Insofar as indemnification for liabilities under the Securities Act may be permitted to our directors, officers, and controlling persons under the foregoing provisions or otherwise, we have been advised that in the opinion of the Securities and Exchange Commission such indemnification is against public policy as expressed in the Securities Act of 1933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Company has an amended compensation package for the non-management members of its Board, pursuant to which each such Board member would receive for his or her services $35,000 per annum. Furthermore, each member of the Audit Committee of the Board receives an additional $10,000 per annum ($20,000 if Chairman), each member of the Compensation Committee of the Board receives an additional $7,500 per annum ($15,000 if Chairman) and each member of the Corporate Governance and Nominating Committee of the Board receives an additional $5,000 per annum ($10,000 if Chairman). Board members are also entitled to receive equity awards. Upon joining the Board, a member would receive an initial grant of stock options with an additional grant of stock options each year thereafter. The Company had recently amended the directors compensation package to remove the requirement that the option grants be based on a specific dollar value of $95,000 (or $190,000 for new directors) as a result of the decrease in value of the Company’s stock price and the corresponding increase in the number of options the directors would have each received. Additionally, as a result of the Company’s May 2023 cost reduction plan, the independent members of the Board agreed to a suspension of their quarterly director fees, with reinstatement of such fees effective as of January 1,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cash and equity-based compensation information for our outside directors, for the year ended December 31, 2023: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Fees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Nonqualified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earned or</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100" w:type="dxa"/>
            <w:vAlign w:val="bottom"/>
          </w:tcPr>
          <w:p>
            <w:pPr>
              <w:spacing w:after="0"/>
              <w:rPr>
                <w:sz w:val="17"/>
                <w:szCs w:val="17"/>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Non-Equity</w:t>
            </w:r>
          </w:p>
        </w:tc>
        <w:tc>
          <w:tcPr>
            <w:tcW w:w="100" w:type="dxa"/>
            <w:vAlign w:val="bottom"/>
          </w:tcPr>
          <w:p>
            <w:pPr>
              <w:spacing w:after="0"/>
              <w:rPr>
                <w:sz w:val="17"/>
                <w:szCs w:val="17"/>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Deferred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paid in</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Awards</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97"/>
              </w:rPr>
              <w:t>Incentive Plan</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0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All Other</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ind w:left="1580"/>
              <w:spacing w:after="0"/>
              <w:rPr>
                <w:sz w:val="20"/>
                <w:szCs w:val="20"/>
                <w:color w:val="auto"/>
              </w:rPr>
            </w:pPr>
            <w:r>
              <w:rPr>
                <w:rFonts w:ascii="Times New Roman" w:cs="Times New Roman" w:eastAsia="Times New Roman" w:hAnsi="Times New Roman"/>
                <w:sz w:val="17"/>
                <w:szCs w:val="17"/>
                <w:b w:val="1"/>
                <w:bCs w:val="1"/>
                <w:color w:val="auto"/>
              </w:rPr>
              <w:t>Name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cash</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Awards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tcPr>
          <w:p>
            <w:pPr>
              <w:spacing w:after="0"/>
              <w:rPr>
                <w:sz w:val="19"/>
                <w:szCs w:val="19"/>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00" w:type="dxa"/>
            <w:vAlign w:val="bottom"/>
          </w:tcPr>
          <w:p>
            <w:pPr>
              <w:spacing w:after="0"/>
              <w:rPr>
                <w:sz w:val="19"/>
                <w:szCs w:val="19"/>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Earnings</w:t>
            </w: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140" w:type="dxa"/>
            <w:vAlign w:val="bottom"/>
          </w:tcPr>
          <w:p>
            <w:pPr>
              <w:spacing w:after="0"/>
              <w:rPr>
                <w:sz w:val="19"/>
                <w:szCs w:val="19"/>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6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Yoseph Bornstein</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13,125</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60,998</w:t>
            </w: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74,123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Scott Burell</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15,000</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60,998</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75,998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Martin Madden</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15,000</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60,998</w:t>
            </w: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75,998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Prattipati Laxminarain</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11,250</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60,998</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72,248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Aileen Stockburger</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10,625</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64,386</w:t>
            </w: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75,011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Tal Wenderow</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10,000</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63,701</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73,701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118110</wp:posOffset>
            </wp:positionV>
            <wp:extent cx="17856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74" w:lineRule="exact"/>
        <w:rPr>
          <w:sz w:val="20"/>
          <w:szCs w:val="20"/>
          <w:color w:val="auto"/>
        </w:rPr>
      </w:pPr>
    </w:p>
    <w:p>
      <w:pPr>
        <w:jc w:val="both"/>
        <w:ind w:left="300" w:hanging="299"/>
        <w:spacing w:after="0" w:line="256" w:lineRule="auto"/>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shown do not reflect cash compensation actually received by the director. Instead, the amounts shown are the non-cash aggregate grant date fair values of stock option awards made during the period presented as determined pursuant to U.S. GAAP. The assumptions used to calculate the fair value of stock option awards are described in Note 9 to the Consolidated Financial Statements of the Company included in this Annual Report on Form 10-K for the fiscal year ended December 31,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Gadot received compensation for his services to the Company as set forth under the summary compensation table above.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7"/>
          <w:szCs w:val="17"/>
          <w:b w:val="1"/>
          <w:bCs w:val="1"/>
          <w:color w:val="auto"/>
        </w:rPr>
        <w:t>CERTAIN RELATIONSHIPS AND RELATED TRANSACTIONS</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Related parties can include any of our directors or executive officers, certain of our stockholders and their immediate family members. Each year, we prepare and require our directors and executive officers to complete Director and Officer Questionnaires identifying any transactions with us in which the officer or director or their family members have an interest. This helps us identify potential conflicts of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general counsel, who serves as our compliance officer. In addition, the Corporate Governance Committee is responsible for considering and reporting to the Board any questions of possible conflicts of interest of Board members. Our code of ethics further requires pre-clearance before any employee, officer or director engages in any personal or business activity that may raise concerns about conflict, potential conflict or apparent conflict of interest. Copies of our code of ethics and the Corporate Governance Committee charter are posted on the corporate governance section of our website at www.microbotmedical.com.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have been no related party transactions or any other transactions or relationships required to be disclosed pursuant to Item 404 of Regulation S-K.</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PRINCIPAL ACCOUNTANT FEES AND SERVICES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Audit and Tax Fees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Board, upon the recommendation of the Audit Committee, has selected the independent accounting firm of Brightman Almagor Zohar &amp; Co., a Firm in the Deloitte Global Network, to audit the accounts of the Company for the year ending December 31, 2024.</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Audit Committee considered the tax compliance services provided by Brightman Almagor Zohar &amp; Co. and Deloitte Israel &amp; Co., concluded that provision of such services is compatible with maintaining the independence of the independent accountants, and approved the provision by Brightman Almagor Zohar &amp; Co. of tax compliance services with respect to the year ending December 31, 2024.</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Audit Committee received the following information concerning the fees of the independent accountants for the years ended December 31, 2022 and 2021, has considered whether the provision of these services is compatible with independence of the independent accountants, and concluded that it is: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For the Years Ended</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74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74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62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r>
      <w:tr>
        <w:trPr>
          <w:trHeight w:val="194"/>
        </w:trPr>
        <w:tc>
          <w:tcPr>
            <w:tcW w:w="74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Audit Fees (1)</w:t>
            </w:r>
          </w:p>
        </w:tc>
        <w:tc>
          <w:tcPr>
            <w:tcW w:w="1080" w:type="dxa"/>
            <w:vAlign w:val="bottom"/>
            <w:shd w:val="clear" w:color="auto" w:fill="CCEEFF"/>
          </w:tcPr>
          <w:p>
            <w:pPr>
              <w:jc w:val="right"/>
              <w:ind w:right="896"/>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130,000</w:t>
            </w:r>
          </w:p>
        </w:tc>
        <w:tc>
          <w:tcPr>
            <w:tcW w:w="3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5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120,000</w:t>
            </w:r>
          </w:p>
        </w:tc>
        <w:tc>
          <w:tcPr>
            <w:tcW w:w="100" w:type="dxa"/>
            <w:vAlign w:val="bottom"/>
            <w:shd w:val="clear" w:color="auto" w:fill="CCEEFF"/>
          </w:tcPr>
          <w:p>
            <w:pPr>
              <w:spacing w:after="0"/>
              <w:rPr>
                <w:sz w:val="16"/>
                <w:szCs w:val="16"/>
                <w:color w:val="auto"/>
              </w:rPr>
            </w:pPr>
          </w:p>
        </w:tc>
      </w:tr>
      <w:tr>
        <w:trPr>
          <w:trHeight w:val="202"/>
        </w:trPr>
        <w:tc>
          <w:tcPr>
            <w:tcW w:w="7420" w:type="dxa"/>
            <w:vAlign w:val="bottom"/>
          </w:tcPr>
          <w:p>
            <w:pPr>
              <w:spacing w:after="0"/>
              <w:rPr>
                <w:sz w:val="20"/>
                <w:szCs w:val="20"/>
                <w:color w:val="auto"/>
              </w:rPr>
            </w:pPr>
            <w:r>
              <w:rPr>
                <w:rFonts w:ascii="Times New Roman" w:cs="Times New Roman" w:eastAsia="Times New Roman" w:hAnsi="Times New Roman"/>
                <w:sz w:val="17"/>
                <w:szCs w:val="17"/>
                <w:color w:val="auto"/>
              </w:rPr>
              <w:t>Tax Fees</w:t>
            </w:r>
          </w:p>
        </w:tc>
        <w:tc>
          <w:tcPr>
            <w:tcW w:w="1080" w:type="dxa"/>
            <w:vAlign w:val="bottom"/>
          </w:tcPr>
          <w:p>
            <w:pPr>
              <w:spacing w:after="0"/>
              <w:rPr>
                <w:sz w:val="17"/>
                <w:szCs w:val="17"/>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11,250</w:t>
            </w:r>
          </w:p>
        </w:tc>
        <w:tc>
          <w:tcPr>
            <w:tcW w:w="62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11,250</w:t>
            </w:r>
          </w:p>
        </w:tc>
      </w:tr>
      <w:tr>
        <w:trPr>
          <w:trHeight w:val="202"/>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All Other Fees (2)</w:t>
            </w:r>
          </w:p>
        </w:tc>
        <w:tc>
          <w:tcPr>
            <w:tcW w:w="10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65,000</w:t>
            </w:r>
          </w:p>
        </w:tc>
        <w:tc>
          <w:tcPr>
            <w:tcW w:w="6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17856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90" w:lineRule="exact"/>
        <w:rPr>
          <w:sz w:val="20"/>
          <w:szCs w:val="20"/>
          <w:color w:val="auto"/>
        </w:rPr>
      </w:pPr>
    </w:p>
    <w:p>
      <w:pPr>
        <w:ind w:left="300" w:hanging="299"/>
        <w:spacing w:after="0" w:line="257" w:lineRule="auto"/>
        <w:tabs>
          <w:tab w:leader="none" w:pos="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 fees represents fees for the audit of our annual consolidated financial statements and reviews of the interim consolidated financial statements, and review of audit-related SEC filings.</w:t>
      </w:r>
    </w:p>
    <w:p>
      <w:pPr>
        <w:ind w:left="300" w:hanging="299"/>
        <w:spacing w:after="0"/>
        <w:tabs>
          <w:tab w:leader="none" w:pos="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fees related to issuing a comfort letter and Auditor consents.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Audit and tax fees include administrative overhead charges and reimbursement for out-of-pocket expenses.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Pre-Approval Policies and Procedures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Audit Committee has adopted policies and procedures for pre-approving all services (audit and non-audit) performed by our independent auditors. In accordance with such policies and procedures, the Audit Committee is required to pre-approve all audit and non-audit services to be performed by the independent auditors in order to assure that the provision of such services is in accordance with the rules and regulations of the SEC and does not impair the auditors’ independence. Under the policy, pre-approval is generally provided up to one year and any pre-approval is detailed as to the particular service or category of services and is subject to a specific budget. In addition, the Audit Committee may pre-approve additional services on a case-by-case basis.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7"/>
          <w:szCs w:val="17"/>
          <w:b w:val="1"/>
          <w:bCs w:val="1"/>
          <w:color w:val="auto"/>
        </w:rPr>
        <w:t>REPORT OF THE AUDIT COMMITTEE</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Audit Committee oversees our accounting and financial reporting processes and the audits of our financial statements on behalf of the Board and selects an independent public accounting firm to perform these audits. Management has the primary responsibility for establishing and maintaining adequate internal control over financial reporting, preparing the financial statements, and establishing and maintaining adequate controls over public reporting. Our independent registered public accounting firm for fiscal 2023, Deloitte, had responsibility for conducting an audit of our annual financial statements in accordance with the standards of the Public Company Accounting Oversight Board (United States) and expressing an opinion on the conformity of those audited financial statements with generally accepted accounting principles.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Audit Committee oversaw the independent public accounting firm’s qualifications and independence, as well as its performance. The Audit Committee assisted the Board in overseeing the preparation of the Company’s financial statements, the Company’s compliance with legal and regulatory requirements, and the performance of the Company’s internal audit function. The Audit Committee met with personnel of the Company and Deloitte to review the scope and the results of the annual audit, the amount of audit fees, the Company’s internal accounting controls, the Company’s financial statements contained in the Company’s Annual Report to Shareholders and other related matters.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 xml:space="preserve">The Audit Committee has reviewed and discussed with management the financial statements for fiscal year 2021 audited by Deloitte, as well as management’s report on internal control over financial reporting, using the criteria set forth by the Committee of Sponsoring Organizations of the Treadway Commission (COSO) in Internal Control — Integrated Framework. The Audit Committee has discussed with Deloitte various matters related to the financial statements, including those matters required to be discussed by SAS 114 (The Auditor’s Communication with Those Charged with Governance). The Audit Committee has also discussed with Deloitte its report on internal control over financial reporting, has received the written disclosures and the letter from Deloitte required by Public Company Accounting Oversight Board (PCAOB) Ethics and Independence Rule 3526, </w:t>
      </w:r>
      <w:r>
        <w:rPr>
          <w:rFonts w:ascii="Times New Roman" w:cs="Times New Roman" w:eastAsia="Times New Roman" w:hAnsi="Times New Roman"/>
          <w:sz w:val="17"/>
          <w:szCs w:val="17"/>
          <w:i w:val="1"/>
          <w:iCs w:val="1"/>
          <w:color w:val="auto"/>
        </w:rPr>
        <w:t>Communication with Audit Committees Concerning Independence</w:t>
      </w:r>
      <w:r>
        <w:rPr>
          <w:rFonts w:ascii="Times New Roman" w:cs="Times New Roman" w:eastAsia="Times New Roman" w:hAnsi="Times New Roman"/>
          <w:sz w:val="17"/>
          <w:szCs w:val="17"/>
          <w:color w:val="auto"/>
        </w:rPr>
        <w:t xml:space="preserve"> (Rule 3526), and has discussed with Deloitte its independence.</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Based upon such review and discussions, the Audit Committee recommended to the Board of Directors, and the Board approved the recommendation, that the audited financial statements be included in the Company’s Annual Report on Form 10-K for the fiscal year ending December 31, 2023 for filing with the SEC.</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AUDIT COMMITTEE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Scott Burell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Martin Madden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Yoseph Bornstein</w:t>
      </w:r>
    </w:p>
    <w:p>
      <w:pPr>
        <w:spacing w:after="0" w:line="188"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6"/>
          <w:szCs w:val="16"/>
          <w:b w:val="1"/>
          <w:bCs w:val="1"/>
          <w:color w:val="auto"/>
        </w:rPr>
        <w:t>The foregoing Audit Committee Report shall not be deemed incorporated by reference into any filing under the Securities Act of 1933 or the Securities Exchange Act of 1934, and shall not otherwise be deemed filed under these acts, except to the extent we specifically incorporate by reference into such filings.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1: NOMINEES FOR ELECTION OF CLASS III DIRECTORS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number of directors is currently fixed at seven. Both our restated certificate of incorporation, as amended to date, and our amended and restated by-laws provide for the classification of the Board into three classes (Class I, Class II and Class III), as nearly equal in number as possible, with the term of office of one class expiring each year.</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Unless otherwise instructed, the enclosed proxy will be voted to elect the nominees named below as Class III directors for a term of three years expiring at the 2027 Annual Meeting of Shareholders and until their successors are duly elected and qualified. Mr. Laxminarain, one of the two Class III director nominees, has been recommended by the Corporate Governance Committee because of his past experience serving on the Company’s Board, his business expertise, sound judgment, and demonstrated leadership, among other things. Mr. Wilson, the other of the two Class III director nominees and seeking his first term as a director of the Company, has been recommended by the Corporate Governance Committee because of his experience as a healthcare and medical device executive, among other things. Proxies cannot be voted for a greater number of persons than the number of nominees named below. It is expected that the nominees will be able to serve, but if any are unable to serve, the proxy will be voted for a substitute nominee or nominees designated by the Board.</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Corporate Governance Committee has recommended and the Board has nominated Prattipati Laxminarain and David J. Wilson for election as the Company’s Class III directors to serve as Class III Directors until the 2027 Annual Meeting of Shareholders.</w:t>
      </w:r>
    </w:p>
    <w:p>
      <w:pPr>
        <w:spacing w:after="0" w:line="15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color w:val="auto"/>
        </w:rPr>
        <w:t>THE BOARD UNANIMOUSLY RECOMMENDS THAT YOU VOTE “FOR” THIS PROPOSAL 1 TO ELECT AS DIRECTORS THE TWO NOMINEES DESCRIBED ABOVE</w:t>
      </w:r>
      <w:r>
        <w:rPr>
          <w:rFonts w:ascii="Times New Roman" w:cs="Times New Roman" w:eastAsia="Times New Roman" w:hAnsi="Times New Roman"/>
          <w:sz w:val="17"/>
          <w:szCs w:val="17"/>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0" w:name="page21"/>
    <w:bookmarkEnd w:id="20"/>
    <w:p>
      <w:pPr>
        <w:jc w:val="center"/>
        <w:spacing w:after="0" w:line="279" w:lineRule="auto"/>
        <w:rPr>
          <w:sz w:val="20"/>
          <w:szCs w:val="20"/>
          <w:color w:val="auto"/>
        </w:rPr>
      </w:pPr>
      <w:r>
        <w:rPr>
          <w:rFonts w:ascii="Times New Roman" w:cs="Times New Roman" w:eastAsia="Times New Roman" w:hAnsi="Times New Roman"/>
          <w:sz w:val="17"/>
          <w:szCs w:val="17"/>
          <w:b w:val="1"/>
          <w:bCs w:val="1"/>
          <w:color w:val="auto"/>
        </w:rPr>
        <w:t>PROPOSAL 2: AN AMENDMENT TO THE MICROBOT MEDICAL INC. 2020 OMNIBUS PERFORMANCE AWARD PLAN TO INCREASE THE NUMBER OF AUTHORIZED SHARES OF COMMON STOCK RESERVED FOR ISSUANCE BY 600,000 SHARES</w:t>
      </w:r>
    </w:p>
    <w:p>
      <w:pPr>
        <w:spacing w:after="0" w:line="1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are asking you to approve an amendment to the Company’s 2020 Omnibus Performance Award Plan, as amended to date, a copy of which is attached as Exhibit A hereto (the “Plan Amendment”), to increase the number of shares of common stock authorized for issuance by an additional 600,000 shares. On or about October 25, 2024, the Board approved the Plan Amendment to the Company’s 2020 Omnibus Performance Award Plan to authorize an increase of up to 1,200,000 additional shares of common stock for issuance, and management determined that the incentive for the Plan Amendment shall be set at 600,000, all subject to stockholder approval. In this proxy statement, we refer to the Company’s current 2020 Omnibus Performance Award Plan (including a sub-plan for Israeli residents), as the “Current Plan,” and we refer to the Current Plan, as modified by the Plan Amendment, as the “Amended Plan.” We directed that the Amended Plan be submitted to our stockholders for their approval at the Annual Meeting. The Amended Plan does not contain any modifications, alterations or revisions of any other term or provision of our Current Plan except with respect to the increase in the share reserve.</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purposes of the Amended Plan are to enable the Company to continue to recruit and retain highly qualified employees, directors and consultants; continue to provide them with an incentive for productivity; and continue to provide them with an opportunity to share in the growth and value of the Company. The Board believes that the Amended Plan and the increase in the number of shares available for grant thereunder are important to allow us to continue to attract, motivate, reward and retain the talent critical to achieving our business goals. As of September 30, 2024, we had approximately 37,779 shares of common stock that remained available for issuance under the Current Plan. If Proposal No. 2 is approved, the Plan Amendment will become effective with respect to the increase in the number of authorized shares reserved for issuance upon stockholder approval at the Annual Meeting. Without approval by stockholders of the Plan Amendment, the Company will be unable to continue to grant equity awards once the share pool is depleted, potentially resulting in the loss of employees and difficulties in recruiting new employees. If the Plan Amendment is not approved, the Company will become increasingly reliant on cash-based compensation, which will deplete the company’s finite cash resources. Accordingly, our Board recommends the approval of the Plan Amendment.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closing stock price of a share of the Company’s common stock as reported on the Nasdaq Stock Market on October 25, 2024, the Record Date, was $0.9768.</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History of the Current Plan</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July 17, 2020, the Board adopted and unanimously recommends that the stockholders of the Company approve the Current Plan, which was subsequently approved by the Company’s stockholders at its 2020 Annual Meeting of Stockholders.</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or about September 6, 2023, the Board approved an amendment to authorize an increase of 600,000 additional shares of common stock for issuance from 1,420,652 to 2,020,652. The shareholders of the Company approved this amendment on November 2, 2023.</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purpose of the Current Plan is to provide for the success and enhance the value of the Company by linking participants’ personal interests with those of the Company’s stockholders, and employees, by providing participants with an incentive for outstanding performance, and to motivate, attract and retain the services of participants upon whom the success of the Company depends. The Plan is flexible in that it provides for the grant of stock options (“Options”), stock appreciation rights (“SARs”), shares of restricted stock (“Restricted Stock”), restricted stock units (“RSUs”), cash incentives, performance shares and performance units (“Performance Shares” and “Performance Units”), singularly or in combination as determined by the Compensation Committee of the Board of Directors. The Plan became effective as of July 17, 2020 (the “Effective Date”) and will expire on the ten year anniversary of the Effective Date.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Current Plan, as adopted, made 2,020,652 shares of our common stock available for issuance to eligible participants (the “Current Share Pool”). The maximum number of shares of common stock that presently may be issued under the Current Plan in connection with awards is 2,020,652. On or about October 25, 2024, the Board approved and adopted the Plan Amendment, subject to stockholder approval at the Annual Meeting, to increase the number of authorized shares reserved for issuance pursuant to the Current Plan by up to 1,200,000 shares, and management, upon consultation with the Board, determined that the increase for the Plan Amendment shall be set at 600,000, to 2,620,652 total shares authorized. No specific awards are planned at this time based on such increase in authorized shares, but the number was determined by considering potential awards over the next 12 months, taking into account historical practices.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color w:val="auto"/>
        </w:rPr>
        <w:t>Remaining Share Reserve</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of September 30, 2024, there were 16,931,931 shares of our common stock outstanding, and the Company has awarded grants of stock options of approximately 1,982,873 shares pursuant to the Current Plan with approximately 37,779 authorized shares remaining under the Current Plan. The increase of 600,000 authorized shares of common stock available for grant under the Amended Plan will result in additional potential dilution of our outstanding stock.</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With respect to options or stock appreciation rights that expire, terminate or are canceled or forfeited for any reason without having been exercised in full, the shares associated with such awards will again become available for grant under the Amended Plan.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Awards that are assumed or substituted by us in connection with an acquisition will not reduce the Current Share Pool. In the event of any merger, consolidation, reorganization, recapitalization, stock split, reverse stock split, split up, spin-off, combination of shares, exchange of shares, stock dividend, dividend in kind, or other like change in capital structure (other than ordinary cash dividends) to our stockholders, or other similar corporate event or transaction that affects our common stock, the Compensation Committee shall make appropriate adjustments in the number and kind of shares authorized by the Amended Plan and covered under outstanding awards as it determines appropriate and equitable.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of the Amended Plan</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following is a brief description of the Amended Plan. The full text of the Amended Plan is attached as Exhibit A to this Proxy Statement, and the following description is qualified in its entirety by reference to this Exhibit.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Administration of the Amended Plan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Amended Plan will be administered by the Compensation Committee of the Board of Directors of the Company (which will consist exclusively of outside directors) and currently consists of Aileen Stockburger, Yoseph Bornstein and Martin Madden, or by such other committee consisting of not less than two non-employee directors appointed by the Board of Directors (the “Committee”). Upon the expiration of Mr. Bornstein’s term as a director at the Annual Meeting, we expect that the Board will fill the vacancy on the Compensation Committee by appointing our director nominee, David J. Wilson, to such position.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Shares Subject to the Amended Plan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Amended Plan authorizes the grant of awards relating to 2,620,652 shares of the Company’s common stock.</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If any corporate transaction occurs which causes a change in the capitalization of the Company, the Committee is authorized to make such adjustments to the number and class of shares of the Company’s Common Stock delivered, and the number and class and/or price of shares of the Company’s Common Stock subject to outstanding awards granted under the Amended Plan, as it deems appropriate and equitable to prevent dilution or enlargement of participants’ rights.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Eligibility and Participation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Employees eligible to participate in the Amended Plan include management and key employees of the Company and its subsidiaries, as determined by the Committee, including employees who are members of the Board. Directors who are not employees (“Director Participants”) and Consultants to the Company also will be able to participate in the Amended Plan. As of the date of the 2024 Annual Meeting, it is anticipated that the approximate number of individuals who will be eligible to participate under the Amended Plan will be at least twenty.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Amendment and Termination of the Amended Plan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no event may any award under the Amended Plan be granted on or after the tenth anniversary of the Effective Date. The Board may amend, modify or terminate the Amended Plan at any time; provided that no amendment requiring stockholder approval for the Amended Plan to continue to comply with Sections 409A or 422 of the Internal Revenue Code of 1986, as amended (the “Code”), shall be effective unless approved by stockholders, and no amendment, termination or modification shall materially and adversely affect any outstanding award without the consent of the participant.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color w:val="auto"/>
        </w:rPr>
        <w:t>Sub-Plans for Foreign Participants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order to comply with the laws, rules, regulations and/or taxes in countries other than the United States in which the Company operates or has employees, non-employee directors or consultants, or in order to comply with the requirements of any foreign securities exchange, the Committee, in its sole discretion, shall have the power and authority to:</w:t>
      </w:r>
    </w:p>
    <w:p>
      <w:pPr>
        <w:spacing w:after="0" w:line="169" w:lineRule="exact"/>
        <w:rPr>
          <w:sz w:val="20"/>
          <w:szCs w:val="20"/>
          <w:color w:val="auto"/>
        </w:rPr>
      </w:pPr>
    </w:p>
    <w:p>
      <w:pPr>
        <w:ind w:left="600" w:hanging="297"/>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which affiliates shall be covered by the Amended Plan;</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which individuals outside the United States are eligible to participate in the Amended Plan;</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modify the terms and conditions of any award granted to individuals outside the United States to comply with applicable foreign laws or listing requirements of any such foreign securities exchange;</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subplans and modify exercise procedures and other terms and procedures, to the extent such actions may be necessary or advisable; provided, however, that no such subplans and/or modifications shall increase the share limitations in the Amended Plan; and</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action, before or after an award is made, that it deems advisable to obtain approval or comply with any necessary local governmental regulatory exemptions or approvals or listing requirements of any such foreign securities exchange.</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 of the date of adoption of the Current Plan, a sub-plan was adopted for Israeli residents eligible for awards under the Amended Plan, which is attached as Appendix A to the Amended Plan.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Awards Under the Amended Plan</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u w:val="single" w:color="auto"/>
          <w:color w:val="auto"/>
        </w:rPr>
        <w:t>Stock Options</w:t>
      </w:r>
      <w:r>
        <w:rPr>
          <w:rFonts w:ascii="Times New Roman" w:cs="Times New Roman" w:eastAsia="Times New Roman" w:hAnsi="Times New Roman"/>
          <w:sz w:val="17"/>
          <w:szCs w:val="17"/>
          <w:color w:val="auto"/>
        </w:rPr>
        <w:t>. The Committee may grant incentive stock options (“ISOs”), non qualified stock options (“non ISOs”), or a combination thereof under the Amended Plan. As described below, there are certain tax advantages to employees who receive ISOs; however, certain restrictions also apply to such grants. First, ISOs can be granted only to employees (not to non-employee directors or consultants), and the Option exercise price for each such ISO shall be at least equal to 100% of the fair market value of a share of the Company’s Common Stock on the date the Option is granted (110% in the case of an individual who is a 10% owner of the Company). Second, an ISO may not be exercised later than 10 years after the date of grant (5 years in the case of 10% owners of the Company.) ISOs also may not be exercised later than 3 months (one year in the case of a termination of employment due to disability) after the optionholder’s termination of employment other than due to his or her death. Lastly, Common Stock will be deemed to be acquired under an ISO only with respect to the first $100,000 worth of Common Stock (valued on the date of grant) first exercisable in any one calendar year. In other words, if under an ISO, the participant vests in the right to acquire more than $100,000 of shares of Common Stock in any one calendar year, the excess number of shares will not be deemed to have been acquired under an ISO.</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Options shall expire at such times as the Committee determines at the time of grant; provided, however, that no Option shall be exercisable later than the tenth anniversary of its grant. Options granted under the Amended Plan shall be exercisable at such times and subject to such restrictions and conditions as the Committee shall approve. Except as may be provided in a grant award made to a particular participant, in the event a participant’s employment is terminated by reason of his voluntary termination without the Company’s consent, his involuntary termination for “Cause” or his voluntary termination in the absence of disability or “Good Reason”, as defined under the Amended Plan, all Options shall be forfeited.</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Option exercise price is payable in cash, in shares of the Company’s Common Stock having a fair market value equal to the exercise price, by share withholding or a combination of the foregoing.</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ISOs may be transferred only under the laws of descent and distribution and, during his or her lifetime, shall be exercisable only by the participant or his or her legal representative. Each stock option agreement shall specify the participant’s (or his or her beneficiary’s) rights in the event of retirement, death or other termination of employment.</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For the Option to qualify for the exception to the restrictions imposed on non-qualified deferred compensation under Section 409A of the Code, the exercise price (per share of Common Stock) of any Option must at all times be no less than the fair market value of one share of the underlying Common Stock determined on the date the Option is granted.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Options may be subject to time and other vesting requirements, such as the attainment of individual or Company-related performance goals and targets.</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u w:val="single" w:color="auto"/>
          <w:color w:val="auto"/>
        </w:rPr>
        <w:t>Stock Appreciation Rights</w:t>
      </w:r>
      <w:r>
        <w:rPr>
          <w:rFonts w:ascii="Times New Roman" w:cs="Times New Roman" w:eastAsia="Times New Roman" w:hAnsi="Times New Roman"/>
          <w:sz w:val="17"/>
          <w:szCs w:val="17"/>
          <w:color w:val="auto"/>
        </w:rPr>
        <w:t>. SARs granted under the Amended Plan may be in the form of freestanding SARs, tandem SARs or a combination thereof. The base value of a freestanding SAR shall be equal to the fair market value of a share of the Company’s Common Stock on the date of grant. The base value of a tandem SAR shall be equal to the exercise price of the related Option. The term of any SAR granted under the Amended Plan shall be determined by the Committee, provided that the term of any tandem SAR which is linked to an ISO may not exceed ten (10) years.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3" w:name="page24"/>
    <w:bookmarkEnd w:id="23"/>
    <w:p>
      <w:pPr>
        <w:jc w:val="both"/>
        <w:spacing w:after="0" w:line="254" w:lineRule="auto"/>
        <w:rPr>
          <w:sz w:val="20"/>
          <w:szCs w:val="20"/>
          <w:color w:val="auto"/>
        </w:rPr>
      </w:pPr>
      <w:r>
        <w:rPr>
          <w:rFonts w:ascii="Times New Roman" w:cs="Times New Roman" w:eastAsia="Times New Roman" w:hAnsi="Times New Roman"/>
          <w:sz w:val="17"/>
          <w:szCs w:val="17"/>
          <w:color w:val="auto"/>
        </w:rPr>
        <w:t>Freestanding SARs may be exercised upon such terms and conditions as are imposed by the Committee and set forth under the SAR award agreement. A tandem SAR may be exercised only with respect to the shares of Common Stock of the Company for which its related Option is exercisable. Tandem SARs granted in connection with an Option shall expire no later than the expiration of the Option, and may be exercised only when the fair market value of the shares subject to the Option exceeds the Option exercise price. Furthermore, the number of shares of the Company’s Common Stock that may be acquired under the related Option will be reduced, one for one, by the number of shares with respect to which the tandem SAR is exercised.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Upon the exercise of an SAR, a participant will receive the difference between the fair market value of a share of the Company’s Common Stock on the date of exercise and the base value multiplied by the number of shares with respect to which the SAR is exercised. Payment due upon exercise may be in cash, in shares of the Company’s Common Stock having a fair market value equal to such cash amount, or in a combination of cash and shares, as determined by the Committee.</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SARs may only be transferred under the laws of descent and distribution and, during his or her lifetime, shall be exercisable only by the participant or his or her legal representative. Each SAR award agreement shall specify the participant’s (and his or her beneficiary’s) rights in the event of death or other termination of employment. Except as may be provided in a grant award made to a particular participant, in the event a participant’s employment is terminated by reason of his voluntary termination without the Company’s consent, his involuntary termination for “Cause” or his voluntary termination in the absence of disability or “Good Reason”, as defined under the Amended Plan, all SARs shall be forfeited.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SARs may be subject to time and other vesting requirements, such as the attainment of individual or Company-related performance goals and targets.</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u w:val="single" w:color="auto"/>
          <w:color w:val="auto"/>
        </w:rPr>
        <w:t>Restricted Stock</w:t>
      </w:r>
      <w:r>
        <w:rPr>
          <w:rFonts w:ascii="Times New Roman" w:cs="Times New Roman" w:eastAsia="Times New Roman" w:hAnsi="Times New Roman"/>
          <w:sz w:val="17"/>
          <w:szCs w:val="17"/>
          <w:color w:val="auto"/>
        </w:rPr>
        <w:t>. Restricted Stock are shares of Common Stock transferred to a participant which are subject to forfeiture back to the Company in the event certain employment requirements or other vesting requirements are not met. The period during which such requirements are in effect is hereinafter referred to as the “restriction period.” Restricted Stock may be granted in such amounts and subject to such terms and conditions as determined by the Committee. The Committee shall impose such conditions and/or restrictions on any shares of Restricted Stock as it deems advisable.</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Restricted Stock may not be sold, transferred, pledged, assigned or otherwise alienated or hypothecated until the end of the applicable restriction period or upon earlier satisfaction of such other conditions specified by the Committee.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Participants holding Restricted Stock may not exercise full voting rights with respect to those shares during the restriction period and shall not be credited with regular cash dividends paid with respect to such shares. Dividends or distributions credited during the restriction period shall be subject to the same restrictions on transferability and forfeitability as the shares of Restricted Stock with respect to which they were paid.</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All rights with respect to Restricted Stock shall be available only during a participant’s lifetime, and each Restricted Stock award agreement shall specify the participant’s (and his beneficiary’s) rights in the event of death or other termination of employment. Except as may be provided in a grant award made to a particular participant, in the event a participant’s employment is terminated by reason of his voluntary termination without the Company’s consent, his involuntary termination for “Cause” or his voluntary termination in the absence of disability or “Good Reason”, as defined under the Amended Plan, prior to the end of the restriction period, all shares of Restricted Stock granted to such participant shall be forfeited.</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shares of Restricted Stock may be subject to time and other vesting requirements, such as the attainment of individual or Company-related performance goals and targets.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u w:val="single" w:color="auto"/>
          <w:color w:val="auto"/>
        </w:rPr>
        <w:t>Restricted Stock Units</w:t>
      </w:r>
      <w:r>
        <w:rPr>
          <w:rFonts w:ascii="Times New Roman" w:cs="Times New Roman" w:eastAsia="Times New Roman" w:hAnsi="Times New Roman"/>
          <w:sz w:val="17"/>
          <w:szCs w:val="17"/>
          <w:color w:val="auto"/>
        </w:rPr>
        <w:t>. Each RSU represents a promise by the Company to deliver to the participant one share of Common Stock at a predetermined date in the future. RSUs are subject to forfeiture in the event certain employment requirements or other vesting requirements are not met. The period during which such requirements are in effect is hereinafter referred to as the “restriction period.” RSUs may be granted in such amounts and subject to such terms and conditions as determined by the Committee. The Committee shall impose such conditions and/or restrictions on RSUs as it deems advisable.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All rights with respect to RSUs shall be available only during a participant’s lifetime, and each RSU award agreement shall specify the participant’s (and his beneficiary’s) rights in the event of death or other termination of employment. Except as may be provided in a grant award made to a particular participant, in the event a participant’s employment is terminated by reason of his voluntary termination without the Company’s consent, his involuntary termination for “Cause” or his voluntary termination in the absence of disability or “Good Reason”, as defined under the Amended Plan, prior to the end of the restriction period, all RSUs granted to such participant shall be forfeited.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color w:val="auto"/>
        </w:rPr>
        <w:t>The RSUs may be subject to time and other vesting requirements, such as the attainment of individual or Company-related performance goals and targets.</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u w:val="single" w:color="auto"/>
          <w:color w:val="auto"/>
        </w:rPr>
        <w:t>Performance Shares and Performance Units</w:t>
      </w:r>
      <w:r>
        <w:rPr>
          <w:rFonts w:ascii="Times New Roman" w:cs="Times New Roman" w:eastAsia="Times New Roman" w:hAnsi="Times New Roman"/>
          <w:sz w:val="17"/>
          <w:szCs w:val="17"/>
          <w:color w:val="auto"/>
        </w:rPr>
        <w:t>. Performance Shares and Performance Unit awards may be granted in the amounts and subject to such terms and conditions as determined by the Committee. Performance Shares and Performance Units are, respectively, similar to shares of Restricted Stock and RSUs except that certain individual, financial or other Company-related goals and targets must be met in order for the Performance Shares and Units to become non-forfeitable. The Committee shall set performance goals which, depending on the extent to which they are met during the performance periods established by the Committee, will determine the number and/or value of Performance Shares/Units that will be paid to participants.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Participants shall receive payment of the value of Performance Shares or Performance Units earned in cash and/or shares of the Company’s Common Stock which have an aggregate fair market value equal to the value of the earned Performance Shares/Units after the end of the applicable performance period, in such combination as the Committee determines. Such shares may be granted subject to any restrictions deemed appropriate by the Committee. Prior to the beginning of each performance period, participants may elect to defer receipt of payout on such terms as the Committee deems appropriate. Subject to the provisions of an applicable plan award, participants may be entitled to have dividends declared with respect to Performance Shares earned in connection with Performance Share/Unit grants earned but not yet distributed held in their performance accounts, subject to the same restrictions as are applicable to dividends earned with respect to Restricted Stock, described above.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Performance Shares and Performance Units may also be subject to other vesting requirements, such as continued employment for specified periods of time.</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Except as may be provided in a grant award made to a particular participant, in the event a participant’s employment is terminated by reason of his voluntary termination without the Company’s consent, his involuntary termination for “Cause” or his voluntary termination in the absence of disability or “Good Reason”, as defined under the Amended Plan, prior to the date such awards become vested all Performance Shares and Performance Units granted to such participant shall be forfeited.</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Performance Shares and Performance Units may not be sold, transferred, pledged, assigned or otherwise alienated or hypothecated, other than by will or by the laws of descent and distribution.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u w:val="single" w:color="auto"/>
          <w:color w:val="auto"/>
        </w:rPr>
        <w:t>Cash Incentives</w:t>
      </w:r>
      <w:r>
        <w:rPr>
          <w:rFonts w:ascii="Times New Roman" w:cs="Times New Roman" w:eastAsia="Times New Roman" w:hAnsi="Times New Roman"/>
          <w:sz w:val="17"/>
          <w:szCs w:val="17"/>
          <w:color w:val="auto"/>
        </w:rPr>
        <w:t>. Cash Incentives may be granted in the amounts and subject to such terms and conditions as determined by the Committee. Under the terms of a Cash Incentive grant, certain individual, financial or other Company-related goals and targets must be met in order for the Cash Incentives to become non-forfeitable and to determine the amount of the Cash Incentives to which the participant is entitled. The Committee shall set performance goals which, depending on the extent to which they are met during the performance periods established by the Committee, will determine the value of Cash Incentives that will be paid to participants.</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Participants shall receive payment of the Cash Incentives at the end of the applicable performance period. To the extent permitted by the Committee, prior to the beginning of each performance period, participants may elect to defer receipt of payout on such terms as the Committee deems appropriate.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Cash Incentives may be subject to time and other vesting requirements, such as the attainment of individual or Company-related performance goals and targets.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Except as may be provided in a grant award made to a particular participant, in the event a participant’s employment is terminated by reason of his voluntary termination without the Company’s consent, his involuntary termination for “Cause” or his voluntary termination in the absence of disability or “Good Reason”, as defined under the Amended Plan, all unpaid Cash Incentives granted to such participant shall be forfeited.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Rights to Cash Incentives may not be sold, transferred, pledged, assigned or otherwise alienated or hypothecated.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Merger, Consolidation, Sale of Assets or Change in Control of the Company</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As of the effective date of a merger, consolidation, sale of generally all of the assets or the change in control of the Company (and if the merger or consolidation agreement does not provide for the continuation of such awards or the substitution of new awards or any other treatment) (1) any Option or SAR outstanding shall become immediately exercisable and (2) any restriction periods and restrictions imposed on Restricted Stock shall be deemed to have expired. Performance Shares or Performance Units payable after the date of such merger or consolidation shall be paid in cash as of the date they originally were to be paid unless, subject to the limitations imposed by Code Section 409A, the Company or its successor determines to pay such amounts as of an earlier date. Except as may be provided in a particular award, Performance Shares and Performance Units shall be pro-rated based on the attainment of the applicable performance goals at the target level if, as a result of the merger or consolidation, the value of such awards cannot be determined.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color w:val="auto"/>
        </w:rPr>
        <w:t>Revised Plan Benefits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As of September 30, 2024, approximately 1,982,873 shares subject to stock options and performance-based stock options have been granted under the Current Plan. Other than with respect to annual grants of stock options to our non-employee directors that will be made immediately following the date of the 2024 Annual Meeting (which grant amounts have not yet been confirmed), awards under the Current Plan are and the Revised Plan will be discretionary and are not subject to set benefits or amounts, and we have not approved any awards that are conditioned on stockholder approval of the Revised Plan. Accordingly, we cannot currently determine the benefits or number of shares subject to awards that may be granted in the future to executive officers, directors or employees under the Current Plan or the Revised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Federal Income Tax Consequences of Awards Under the Amended Plan</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has been advised by its counsel that under currently applicable provisions of the Code, the following federal income tax consequences may be expected by a participant (including a Director Participant) and by the Company in respect of the grant and exercise of awards under the Amended Plan.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Federal Income Tax Consequences – Options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Consequences to the Optionholder (Other than Director Participants or Consultants)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u w:val="single" w:color="auto"/>
          <w:color w:val="auto"/>
        </w:rPr>
        <w:t>Grant</w:t>
      </w:r>
      <w:r>
        <w:rPr>
          <w:rFonts w:ascii="Times New Roman" w:cs="Times New Roman" w:eastAsia="Times New Roman" w:hAnsi="Times New Roman"/>
          <w:sz w:val="17"/>
          <w:szCs w:val="17"/>
          <w:color w:val="auto"/>
        </w:rPr>
        <w:t>. There are no federal income tax consequences to the optionholder solely by reason of the grant of ISOs under the Amended Plan. Similarly, the grant of non ISOs under the Amended Plan does not constitute a taxable event if the Option is not actively traded on an established securities market and certain other requirements are satisfied. In addition, so long as the exercise price of the Common Stock underlying the Option is no less than the fair market value of the Common Stock determined as of the date of grant, the special tax rules set forth under Section 409A of the Code (which relate to “non-qualified deferred compensation”) generally will not apply.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u w:val="single" w:color="auto"/>
          <w:color w:val="auto"/>
        </w:rPr>
        <w:t>Exercise</w:t>
      </w:r>
      <w:r>
        <w:rPr>
          <w:rFonts w:ascii="Times New Roman" w:cs="Times New Roman" w:eastAsia="Times New Roman" w:hAnsi="Times New Roman"/>
          <w:sz w:val="17"/>
          <w:szCs w:val="17"/>
          <w:color w:val="auto"/>
        </w:rPr>
        <w:t>. The exercise of an ISO is not a taxable event for regular federal income tax purposes if certain requirements are satisfied, including the restriction mentioned above providing that the optionholder generally must exercise the Option no later than three months following the termination of his employment. However, such exercise may give rise to an alternative minimum tax liability (see “Alternative Minimum Tax” below).</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Upon the exercise of a non ISO, the optionholder generally will recognize ordinary income in an amount equal to the excess of the fair market value of the shares of the Company’s Common Stock at the time of exercise over the amount paid as the exercise price. The ordinary income recognized in connection with the exercise by an optionholder of a non ISO by an employee will be subject to both wage and employment tax withholding.</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optionholder’s tax basis in the shares acquired pursuant to the exercise of an Option will be the amount paid upon exercise plus, in the case of a non ISO, the amount of ordinary income recognized by the optionholder upon exercise.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u w:val="single" w:color="auto"/>
          <w:color w:val="auto"/>
        </w:rPr>
        <w:t>Qualifying Disposition</w:t>
      </w:r>
      <w:r>
        <w:rPr>
          <w:rFonts w:ascii="Times New Roman" w:cs="Times New Roman" w:eastAsia="Times New Roman" w:hAnsi="Times New Roman"/>
          <w:sz w:val="17"/>
          <w:szCs w:val="17"/>
          <w:color w:val="auto"/>
        </w:rPr>
        <w:t>. If an optionholder disposes of shares of the Company’s Common Stock acquired upon the exercise of an ISO in a taxable transaction, and such disposition occurs more than two years from the date on which the option is granted and more than one more year after the date on which the shares are transferred to the optionholder pursuant to the exercise of the ISO, the optionholder will recognize long term capital gain or loss equal to the difference between the amount realized upon such disposition and the optionholder’s adjusted basis in such shares (generally the Option exercise price).</w:t>
      </w:r>
    </w:p>
    <w:p>
      <w:pPr>
        <w:spacing w:after="0" w:line="17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u w:val="single" w:color="auto"/>
          <w:color w:val="auto"/>
        </w:rPr>
        <w:t>Disqualifying Disposition</w:t>
      </w:r>
      <w:r>
        <w:rPr>
          <w:rFonts w:ascii="Times New Roman" w:cs="Times New Roman" w:eastAsia="Times New Roman" w:hAnsi="Times New Roman"/>
          <w:sz w:val="16"/>
          <w:szCs w:val="16"/>
          <w:color w:val="auto"/>
        </w:rPr>
        <w:t>. If the optionholder disposes of shares of the Company’s Common Stock acquired upon the exercise of an ISO (other than in certain tax free transactions) within two years from the date on which the ISO is granted or within one year after the transfer of the shares to the optionholder pursuant to the exercise of the ISO, then at the time of disposition the optionholder generally will recognize ordinary income equal to the lesser of (i) the excess of such shares’ fair market value on the date of exercise over the exercise price paid by the optionholder or (ii) the optionholder’s actual gain (i.e., the excess, if any, of the amount realized on the disposition over the exercise price paid by the optionholder). If the total amount realized on a taxable disposition (including return of capital and capital gain) exceeds the fair market value on the date of exercise, then the optionholder will recognize a capital gain in the amount of such excess. If the optionholder incurs a loss on the disposition (i.e., if the total amount realized is less than the exercise price paid by the optionholder) then the loss will be a capital loss.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6" w:name="page27"/>
    <w:bookmarkEnd w:id="26"/>
    <w:p>
      <w:pPr>
        <w:jc w:val="both"/>
        <w:spacing w:after="0" w:line="254" w:lineRule="auto"/>
        <w:rPr>
          <w:sz w:val="20"/>
          <w:szCs w:val="20"/>
          <w:color w:val="auto"/>
        </w:rPr>
      </w:pPr>
      <w:r>
        <w:rPr>
          <w:rFonts w:ascii="Times New Roman" w:cs="Times New Roman" w:eastAsia="Times New Roman" w:hAnsi="Times New Roman"/>
          <w:sz w:val="17"/>
          <w:szCs w:val="17"/>
          <w:u w:val="single" w:color="auto"/>
          <w:color w:val="auto"/>
        </w:rPr>
        <w:t>Other Dispositions</w:t>
      </w:r>
      <w:r>
        <w:rPr>
          <w:rFonts w:ascii="Times New Roman" w:cs="Times New Roman" w:eastAsia="Times New Roman" w:hAnsi="Times New Roman"/>
          <w:sz w:val="17"/>
          <w:szCs w:val="17"/>
          <w:color w:val="auto"/>
        </w:rPr>
        <w:t>. If an optionholder disposes of shares of the Company’s Common Stock acquired upon the exercise of a non ISO in a taxable transaction, the optionholder will recognize capital gain or loss in an amount equal to the difference between his basis (as discussed above) in the shares sold and the total amount realized upon the disposition. Any such capital gain or loss (and any capital gain or loss recognized on a disqualifying disposition of shares of the Company’s Common Stock acquired upon the exercise of ISOs as discussed above) will be long term depending on whether the shares of the Company’s Common Stock were held for more than one year from the date such shares were transferred to the optionholder.</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u w:val="single" w:color="auto"/>
          <w:color w:val="auto"/>
        </w:rPr>
        <w:t>Alternative Minimum Tax</w:t>
      </w:r>
      <w:r>
        <w:rPr>
          <w:rFonts w:ascii="Times New Roman" w:cs="Times New Roman" w:eastAsia="Times New Roman" w:hAnsi="Times New Roman"/>
          <w:sz w:val="17"/>
          <w:szCs w:val="17"/>
          <w:color w:val="auto"/>
        </w:rPr>
        <w:t>. The alternative minimum tax (“AMT”) is imposed in addition to, but only to the extent it exceeds, the optionholder’s regular tax for the taxable year. For 2024, AMT is computed at the rate of 26% on the excess of a taxpayer’s alternative minimum taxable income (“AMTI”) over the applicable exemption amount, but only if such excess amount does not exceed $232,600 ($116,300 in the case of married individuals filing separate returns). The AMT tax rate is 28% of such excess amount over the $232,600 ($116,300) amount. For these purposes, the exemption amount is $133,300 for married couples filing a joint return ($85,700 for single taxpayers) , reduced by 25% of the excess of AMTI over $1,218,700 for married couples filing a joint return ($609,350 for single taxpayers). A taxpayer’s AMTI is essentially the taxpayer’s taxable income adjusted pursuant to the AMT provisions and increased by items of tax preference. For calendar year 2025 the dollar amounts set forth above will be adjusted for inflation. Furthermore, special rules apply with regard to foreign tax credits.</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exercise of ISOs (but not non ISOs) will generally result in an upward adjustment to the optionholder’s AMTI in the year of exercise by an amount equal to the excess, if any, of the fair market value of the stock on the date of exercise over the exercise price. The basis of the stock acquired, for AMT purposes, will equal the exercise price increased by the prior upward adjustment of the taxpayer’s AMTI due to the exercise of the option. Upon the disposition of the stock, the increased basis will result in a smaller capital gains for AMTI than for ordinary income tax purposes.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Consequences to the Company (Other than Awards to Director Participants and Consultants)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There are no federal income tax consequences to the Company by reason of the grant of ISOs or non ISOs (to the extent the grant of a non ISO is not a taxable event for the optionholder) or the exercise of ISOs (other than disqualifying dispositions).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At the time the optionholder recognizes ordinary income from the exercise of a non ISO, the Company will be entitled to a federal income tax deduction in the amount of the ordinary income so recognized (as described above), provided that the Company timely satisfies its reporting and disclosure obligations described below. To the extent the optionholder recognizes ordinary income by reason of a disqualifying disposition of the stock acquired upon exercise of ISOs, the Company will be entitled to a corresponding deduction in the year in which the disposition occurs.</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will be required to report to the Internal Revenue Service any ordinary income recognized by an optionholder by reason of the exercise of a non ISO or the disqualifying disposition of the Company’s Common Stock acquired pursuant to an ISO.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Consequences to Optionholder (Director Participants and Consultants)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u w:val="single" w:color="auto"/>
          <w:color w:val="auto"/>
        </w:rPr>
        <w:t>Grant</w:t>
      </w:r>
      <w:r>
        <w:rPr>
          <w:rFonts w:ascii="Times New Roman" w:cs="Times New Roman" w:eastAsia="Times New Roman" w:hAnsi="Times New Roman"/>
          <w:sz w:val="17"/>
          <w:szCs w:val="17"/>
          <w:color w:val="auto"/>
        </w:rPr>
        <w:t>. There are no federal income tax consequences to the optionholder solely by reason of the grant of non qualified stock options to a Director Participant or a Consultant under the Amended Plan if the Option is not actively traded on an established securities market and certain other requirements are satisfied. In addition, so long as the exercise price of the Common Stock underlying the Option is no less than the fair market value of the Common Stock determined as of the date of grant, the special tax rules set forth under Section 409A of the Code (which relate to “non-qualified deferred compensation”) generally will not apply.</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u w:val="single" w:color="auto"/>
          <w:color w:val="auto"/>
        </w:rPr>
        <w:t>Exercise</w:t>
      </w:r>
      <w:r>
        <w:rPr>
          <w:rFonts w:ascii="Times New Roman" w:cs="Times New Roman" w:eastAsia="Times New Roman" w:hAnsi="Times New Roman"/>
          <w:sz w:val="17"/>
          <w:szCs w:val="17"/>
          <w:color w:val="auto"/>
        </w:rPr>
        <w:t>. Upon the exercise of a non qualified stock option, the optionholder will generally recognize ordinary income in an amount equal to the excess of the fair market value of the shares of Company Common Stock at the time of exercise over the amount paid as the exercise price.</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optionholder’s tax basis in the shares acquired pursuant to the exercise of a non qualified stock option will be the amount paid upon exercise plus the amount of ordinary income recognized by the optionholder upon exercise.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7" w:name="page28"/>
    <w:bookmarkEnd w:id="27"/>
    <w:p>
      <w:pPr>
        <w:jc w:val="both"/>
        <w:spacing w:after="0" w:line="256" w:lineRule="auto"/>
        <w:rPr>
          <w:sz w:val="20"/>
          <w:szCs w:val="20"/>
          <w:color w:val="auto"/>
        </w:rPr>
      </w:pPr>
      <w:r>
        <w:rPr>
          <w:rFonts w:ascii="Times New Roman" w:cs="Times New Roman" w:eastAsia="Times New Roman" w:hAnsi="Times New Roman"/>
          <w:sz w:val="17"/>
          <w:szCs w:val="17"/>
          <w:u w:val="single" w:color="auto"/>
          <w:color w:val="auto"/>
        </w:rPr>
        <w:t>Disposition</w:t>
      </w:r>
      <w:r>
        <w:rPr>
          <w:rFonts w:ascii="Times New Roman" w:cs="Times New Roman" w:eastAsia="Times New Roman" w:hAnsi="Times New Roman"/>
          <w:sz w:val="17"/>
          <w:szCs w:val="17"/>
          <w:color w:val="auto"/>
        </w:rPr>
        <w:t>. If an optionholder disposes of shares of Company Common Stock acquired upon exercise of a non qualified stock option in a taxable transaction, the optionholder will recognize capital gain or loss in an amount equal to the difference between his basis (as discussed above) in the shares sold and the amount realized upon disposition. Any such capital gain or loss will be long term or short term depending on whether the shares of Company Common Stock were held for more than one year from the date such shares were transferred to the optionholder.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Consequences to the Company (Grants to Director Participants and Consultants)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At the time the optionholder recognizes ordinary income from the exercise of a non qualified stock option, the Company will be entitled to a federal income tax deduction in the amount of the ordinary income so recognized (as described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Federal Income Tax Consequences – Stock Appreciation Rights (“SARs’)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Consequences on the recipient of the SAR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Grant</w:t>
      </w:r>
      <w:r>
        <w:rPr>
          <w:rFonts w:ascii="Times New Roman" w:cs="Times New Roman" w:eastAsia="Times New Roman" w:hAnsi="Times New Roman"/>
          <w:sz w:val="17"/>
          <w:szCs w:val="17"/>
          <w:color w:val="auto"/>
        </w:rPr>
        <w:t>. There is no federal income tax impact on the individual solely by reason of the grant of an SAR.</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u w:val="single" w:color="auto"/>
          <w:color w:val="auto"/>
        </w:rPr>
        <w:t>Exercise</w:t>
      </w:r>
      <w:r>
        <w:rPr>
          <w:rFonts w:ascii="Times New Roman" w:cs="Times New Roman" w:eastAsia="Times New Roman" w:hAnsi="Times New Roman"/>
          <w:sz w:val="17"/>
          <w:szCs w:val="17"/>
          <w:color w:val="auto"/>
        </w:rPr>
        <w:t>. Upon the exercise of an SAR, the individual will generally recognize ordinary income in an amount equal to the excess of the fair market value of the cash or shares of stock received at the time of exercise over the base amount. The individual’s tax basis in the shares acquired pursuant to the exercise of an SAR option will be the amount of ordinary income recognized by the individual upon exercise.</w:t>
      </w:r>
    </w:p>
    <w:p>
      <w:pPr>
        <w:spacing w:after="0" w:line="16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u w:val="single" w:color="auto"/>
          <w:color w:val="auto"/>
        </w:rPr>
        <w:t>Disposition</w:t>
      </w:r>
      <w:r>
        <w:rPr>
          <w:rFonts w:ascii="Times New Roman" w:cs="Times New Roman" w:eastAsia="Times New Roman" w:hAnsi="Times New Roman"/>
          <w:sz w:val="16"/>
          <w:szCs w:val="16"/>
          <w:color w:val="auto"/>
        </w:rPr>
        <w:t>. If an individual disposes of shares of stock acquired upon exercise of an SAR in a taxable transaction, the individual will recognize capital gain or loss in an amount equal to the difference between his or her basis (as discussed above) in the shares sold and the amount realized upon disposition. Any capital gain or loss will be long term or short term depending on whether the shares of stock were held for more than one year from the date the shares were transferred to the individual.</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Consequences to the Company</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At the time the individual recognizes ordinary income from the exercise of an SAR, the company will be entitled to a federal income tax deduction in the amount of the ordinary income so recognized.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Federal Income Tax Consequences - Other Awards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Consequences to the Employee</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u w:val="single" w:color="auto"/>
          <w:color w:val="auto"/>
        </w:rPr>
        <w:t>Restricted Stock</w:t>
      </w:r>
      <w:r>
        <w:rPr>
          <w:rFonts w:ascii="Times New Roman" w:cs="Times New Roman" w:eastAsia="Times New Roman" w:hAnsi="Times New Roman"/>
          <w:sz w:val="17"/>
          <w:szCs w:val="17"/>
          <w:color w:val="auto"/>
        </w:rPr>
        <w:t>. An award payable in the form of the Company’s Common Stock generally will be includable in the participant’s gross income as of the date the grant is made or, if later, the earlier of the date the Common Stock awarded to the participant (i) is subsequently transferable by him or her or (ii) is not subject to a substantial risk of forfeiture. This determination is made by reference to all of the facts and circumstances of such award, and, in particular, the nature of the restrictions imposed with respect to the shares of Common Stock granted under the award. Nevertheless, so long as the sale of the Common Stock at a profit could subject the recipient to suit under Section 16(b) of the Securities Exchange Act of 1934, as amended (the “Exchange Act”), the Common Stock is considered to be subject to a “substantial risk of forfeiture” (see the discussion below, captioned “Restrictions on Resale”).</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At the time as the substantial risk of forfeiture terminates, the participant will recognize ordinary income to the extent of the excess of the fair market value of the Common Stock on the date the risk of forfeiture terminates over the participant’s cost (if any) of such Common Stock. Under certain circumstances, however, the participant may make a so-called “Section 83(b) election” to have such excess amount determined and includible in his or her gross income at the time of grant, regardless of any restrictions on subsequent transferability or substantial risks of forfeiture. As the value of the Common Stock for federal income tax purposes is determined as of the date it is included in the participant’s gross income, such an election may be worthwhile if significant appreciation is expected between the date of grant and the date the restrictions expire or are eliminated and if the participant is confident that application of the restrictions will not cause the Common Stock to be forfeited.</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u w:val="single" w:color="auto"/>
          <w:color w:val="auto"/>
        </w:rPr>
        <w:t>Restricted Stock Units</w:t>
      </w:r>
      <w:r>
        <w:rPr>
          <w:rFonts w:ascii="Times New Roman" w:cs="Times New Roman" w:eastAsia="Times New Roman" w:hAnsi="Times New Roman"/>
          <w:sz w:val="17"/>
          <w:szCs w:val="17"/>
          <w:color w:val="auto"/>
        </w:rPr>
        <w:t>. An award payable in the form of RSUs generally will be includable in the participant’s gross income as of the date the underlying shares of Common Stock are transferred to the participant or, if later, the earlier of the date the underlying Common Stock awarded to the participant (i) is subsequently transferable by him or her or (ii) is not subject to a substantial risk of forfeiture. This determination is made by reference to all of the facts and circumstances of such award, and, in particular, the nature of the restrictions imposed with respect to the shares of Common Stock granted under the award. Nevertheless, so long as the sale of the Common Stock at a profit could subject the recipient to suit under Section 16(b) of the Securities Exchange Act of 1934, as amended (the “Exchange Act”), the Common Stock is considered to be subject to a “substantial risk of forfeiture” (see the discussion below, captioned “Restrictions on Resale”).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8" w:name="page29"/>
    <w:bookmarkEnd w:id="28"/>
    <w:p>
      <w:pPr>
        <w:jc w:val="both"/>
        <w:spacing w:after="0" w:line="252" w:lineRule="auto"/>
        <w:rPr>
          <w:sz w:val="20"/>
          <w:szCs w:val="20"/>
          <w:color w:val="auto"/>
        </w:rPr>
      </w:pPr>
      <w:r>
        <w:rPr>
          <w:rFonts w:ascii="Times New Roman" w:cs="Times New Roman" w:eastAsia="Times New Roman" w:hAnsi="Times New Roman"/>
          <w:sz w:val="17"/>
          <w:szCs w:val="17"/>
          <w:color w:val="auto"/>
        </w:rPr>
        <w:t>At the time as the substantial risk of forfeiture terminates, the participant will recognize ordinary income to the extent of the excess of the fair market value of the Common Stock on the date of delivery to the participant (or, if later, the date the risk of forfeiture terminates) over the participant’s cost (if any) of such Common Stock. Under certain circumstances, however, the participant may make a so-called “Section 83(b) election” at the time of delivery of otherwise restricted shares of Common Stock to have such excess amount determined and includible in his or her gross income at the time of delivery, regardless of any restrictions on subsequent transferability or substantial risks of forfeiture. As the value of the Common Stock for federal income tax purposes is determined as of the date it is included in the participant’s gross income, such an election may be worthwhile if significant appreciation is expected between the date of grant and the date the restrictions expire or are eliminated and if the participant is confident that application of the restrictions will not cause the Common Stock to be forfeited.</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u w:val="single" w:color="auto"/>
          <w:color w:val="auto"/>
        </w:rPr>
        <w:t>Performance Shares and Performance Units</w:t>
      </w:r>
      <w:r>
        <w:rPr>
          <w:rFonts w:ascii="Times New Roman" w:cs="Times New Roman" w:eastAsia="Times New Roman" w:hAnsi="Times New Roman"/>
          <w:sz w:val="17"/>
          <w:szCs w:val="17"/>
          <w:color w:val="auto"/>
        </w:rPr>
        <w:t>. A participant who receives Performance Shares or Performance Units will not recognize any income for federal income tax purposes on the date of the grant of the award. The participant will recognize ordinary income for federal income tax purposes at the time of the receipt of the cash and/or Common Stock with respect to the Award in an amount equal to the sum of (i) the amount of cash received, plus (ii) the excess, if any, of the fair market value of the Common Stock on the date received over the participant’s cost of such Award, if any.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u w:val="single" w:color="auto"/>
          <w:color w:val="auto"/>
        </w:rPr>
        <w:t>Disposition of Common Stock</w:t>
      </w:r>
      <w:r>
        <w:rPr>
          <w:rFonts w:ascii="Times New Roman" w:cs="Times New Roman" w:eastAsia="Times New Roman" w:hAnsi="Times New Roman"/>
          <w:sz w:val="17"/>
          <w:szCs w:val="17"/>
          <w:color w:val="auto"/>
        </w:rPr>
        <w:t>. If a participant disposes of shares of the Company’s Common Stock received under an award in a taxable transaction, the participant will recognize capital gain or loss in an amount equal to the difference between his basis (generally, the amount included as ordinary income pursuant to the award and the amount, if any, paid for such Common Stock) in the shares sold and the total amount realized upon the disposition. Any such capital gain or loss will be long term so long as the shares of the Company’s Common Stock were held for more than one year from the date such shares were granted to the participant.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Cash Incentives</w:t>
      </w:r>
      <w:r>
        <w:rPr>
          <w:rFonts w:ascii="Times New Roman" w:cs="Times New Roman" w:eastAsia="Times New Roman" w:hAnsi="Times New Roman"/>
          <w:sz w:val="17"/>
          <w:szCs w:val="17"/>
          <w:color w:val="auto"/>
        </w:rPr>
        <w:t>. Cash Incentives generally are included in the gross income of the participant at the time paid.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Consequences to the Company</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At the time the participant recognizes ordinary income upon the receipt of an “Other Award” under the Amended Plan, the Company generally will be entitled to a federal income tax deduction in the amount of the ordinary income so recognized (as described above), provided that the Company timely reports to the Internal Revenue Service the ordinary income recognized by the participant pursuant to the award. Any dividends paid on restricted stock (prior to the earlier of (i) the date the restrictions lapse or (ii) the date a Section 83(b) election is made) will be deductible by the Company as a compensation expense.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Tax Consequences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foregoing discussion is not a complete description of the federal income tax aspects of awards made under the Amended Plan. In addition, administrative and judicial interpretations of the application of the federal income tax laws are subject to change. Furthermore, the foregoing discussion does not address state or local tax consequences, nor does it address the rules applicable to “non-qualified deferred compensation” as defined under Section 409A of the Code.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Israeli Tax Treatment</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following is a summary of the Israeli income tax consequences of certain transactions under the Amended Plan with regard to the granting of wards to Israeli participants. It is general and does not purport to be comprehensive.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Generally, the Amended Plan provides for the granting of awards to employees, directors and consultants under either Section 102 or Section 3(i) of the ITO. The awards granted under the Amended Plan to employees and office holders, who are not controlling shareholders (as defined in the ITO) are subject to the “capital gains tax route” under Section 102 of the ITO (the “Capital Gains Tax Route”), and the awards granted to participants in the Amended Plan who do not qualify to receive awards under the Capital Gains Tax Route, including consultants, service providers and controlling shareholders, are subject to Section 3(i) of the ITO.</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9" w:name="page30"/>
    <w:bookmarkEnd w:id="29"/>
    <w:p>
      <w:pPr>
        <w:jc w:val="both"/>
        <w:spacing w:after="0" w:line="261" w:lineRule="auto"/>
        <w:rPr>
          <w:sz w:val="20"/>
          <w:szCs w:val="20"/>
          <w:color w:val="auto"/>
        </w:rPr>
      </w:pPr>
      <w:r>
        <w:rPr>
          <w:rFonts w:ascii="Times New Roman" w:cs="Times New Roman" w:eastAsia="Times New Roman" w:hAnsi="Times New Roman"/>
          <w:sz w:val="17"/>
          <w:szCs w:val="17"/>
          <w:color w:val="auto"/>
        </w:rPr>
        <w:t>The Capital Gains Tax Route generally provides for a reduced tax rate of 25% on gains realized upon the sale of the Award’s underlying shares, subject to the fulfillment of certain procedures and conditions including the deposit of such Awards (or shares issued upon their exercise or shares in case that a restricted stock was granted) for a requisite period of time with a trustee approved by the Israeli Tax Authority (currently, 24 months from the date of grant).</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Notwithstanding the above, in any event where the exercise price of the underlying shares subject to the Awards is less than the fair market value of the underlying shares at the time of grant of the Awards (calculated as the average value of a company’s shares on the 30 trading days preceding the date of grant), such amount will be deemed ordinary income of the Award holder, taxed at the applicable marginal tax rate (up to 50% in 2020) together with health insurance and social security insurance payments, on the earlier of: (i) date of sale of the underlying shares; or (ii) the date of the release of such underlying shares from trust (whether to the Award holder or to a third party).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the event the requirements of Section 102 of the ITO for the allocation of Awards according to the Capital Gains Tax Route are not met, the benefit attributed to the Award holder as a result of the grant of such Awards will be taxed as ordinary work income at applicable marginal income tax rates (together with health insurance and social security insurance payments). For as long as the Award holder is not the record owner of the restricted stock or the shares issued upon exercise of Awards, such Award holder shall have none of the rights of a stockholder with respect to such shares.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Under the Capital Gains Tax Route, a company, or its Israeli subsidiary, as the case may be, is generally not entitled to recognize a deduction for Israeli tax purposes on the gain recognized by the Award holder upon sale of the shares underlying the Awards (except for such amount that will be deemed ordinary income of the Award holder as explained above).</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Israeli subsidiary of the Company will be required to withhold applicable tax (and social security and national health insurance charges, if applicable) at source on behalf of the Award holder.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Restrictions on Resale</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With regard to officers or directors of the Company, neither the grant of an Option, nor the acquisition of shares of Common Stock upon the “in-the-money” or “at-the-money” exercise of an Option will be considered a “purchase” under the Section 16 of the Exchange Act and will not be matched with sales of shares of Common Stock occurring within six months of the grant of the Option so long as the Option was granted by the full Board of Directors of the Company or by a committee composed solely of two or more “Non-Employee” directors. In the case of an individual who is the direct or indirect beneficial owner of more than 10% of the Common Stock, the grant will not be matched with a sale only if the shares of Common Stock acquired by the exercise of the Option are not sold within 6 months of the date the Option is granted.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Aggregate Awards Granted</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following table sets forth information with respect to the number of shares subject to awards previously granted to the following listed individuals and specified groups under the Current Plan since its inception through September 30,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Number of Shares</w:t>
            </w:r>
          </w:p>
        </w:tc>
      </w:tr>
      <w:tr>
        <w:trPr>
          <w:trHeight w:val="222"/>
        </w:trPr>
        <w:tc>
          <w:tcPr>
            <w:tcW w:w="9000" w:type="dxa"/>
            <w:vAlign w:val="bottom"/>
            <w:gridSpan w:val="2"/>
          </w:tcPr>
          <w:p>
            <w:pPr>
              <w:ind w:left="3720"/>
              <w:spacing w:after="0"/>
              <w:rPr>
                <w:sz w:val="20"/>
                <w:szCs w:val="20"/>
                <w:color w:val="auto"/>
              </w:rPr>
            </w:pPr>
            <w:r>
              <w:rPr>
                <w:rFonts w:ascii="Times New Roman" w:cs="Times New Roman" w:eastAsia="Times New Roman" w:hAnsi="Times New Roman"/>
                <w:sz w:val="17"/>
                <w:szCs w:val="17"/>
                <w:b w:val="1"/>
                <w:bCs w:val="1"/>
                <w:color w:val="auto"/>
              </w:rPr>
              <w:t>Name and Position</w:t>
            </w:r>
          </w:p>
        </w:tc>
        <w:tc>
          <w:tcPr>
            <w:tcW w:w="22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Underlying Options</w:t>
            </w:r>
          </w:p>
        </w:tc>
      </w:tr>
      <w:tr>
        <w:trPr>
          <w:trHeight w:val="195"/>
        </w:trPr>
        <w:tc>
          <w:tcPr>
            <w:tcW w:w="8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Named Executive Officers:</w:t>
            </w:r>
          </w:p>
        </w:tc>
        <w:tc>
          <w:tcPr>
            <w:tcW w:w="220" w:type="dxa"/>
            <w:vAlign w:val="bottom"/>
            <w:tcBorders>
              <w:top w:val="single" w:sz="8" w:color="CCEEFF"/>
            </w:tcBorders>
            <w:shd w:val="clear" w:color="auto" w:fill="CCEEFF"/>
          </w:tcPr>
          <w:p>
            <w:pPr>
              <w:spacing w:after="0"/>
              <w:rPr>
                <w:sz w:val="16"/>
                <w:szCs w:val="16"/>
                <w:color w:val="auto"/>
              </w:rPr>
            </w:pPr>
          </w:p>
        </w:tc>
        <w:tc>
          <w:tcPr>
            <w:tcW w:w="2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9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Harel Gadot, </w:t>
            </w:r>
            <w:r>
              <w:rPr>
                <w:rFonts w:ascii="Times New Roman" w:cs="Times New Roman" w:eastAsia="Times New Roman" w:hAnsi="Times New Roman"/>
                <w:sz w:val="17"/>
                <w:szCs w:val="17"/>
                <w:i w:val="1"/>
                <w:iCs w:val="1"/>
                <w:color w:val="auto"/>
              </w:rPr>
              <w:t>CEO, President and Chairman</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1,214,926</w:t>
            </w:r>
          </w:p>
        </w:tc>
        <w:tc>
          <w:tcPr>
            <w:tcW w:w="100" w:type="dxa"/>
            <w:vAlign w:val="bottom"/>
          </w:tcPr>
          <w:p>
            <w:pPr>
              <w:spacing w:after="0"/>
              <w:rPr>
                <w:sz w:val="17"/>
                <w:szCs w:val="17"/>
                <w:color w:val="auto"/>
              </w:rPr>
            </w:pPr>
          </w:p>
        </w:tc>
      </w:tr>
      <w:tr>
        <w:trPr>
          <w:trHeight w:val="202"/>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Rachel Vaknin, </w:t>
            </w:r>
            <w:r>
              <w:rPr>
                <w:rFonts w:ascii="Times New Roman" w:cs="Times New Roman" w:eastAsia="Times New Roman" w:hAnsi="Times New Roman"/>
                <w:sz w:val="17"/>
                <w:szCs w:val="17"/>
                <w:i w:val="1"/>
                <w:iCs w:val="1"/>
                <w:color w:val="auto"/>
              </w:rPr>
              <w:t>Chief Financial Officer</w:t>
            </w:r>
          </w:p>
        </w:tc>
        <w:tc>
          <w:tcPr>
            <w:tcW w:w="2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113,000</w:t>
            </w:r>
          </w:p>
        </w:tc>
      </w:tr>
      <w:tr>
        <w:trPr>
          <w:trHeight w:val="202"/>
        </w:trPr>
        <w:tc>
          <w:tcPr>
            <w:tcW w:w="9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Simon Sharon, </w:t>
            </w:r>
            <w:r>
              <w:rPr>
                <w:rFonts w:ascii="Times New Roman" w:cs="Times New Roman" w:eastAsia="Times New Roman" w:hAnsi="Times New Roman"/>
                <w:sz w:val="17"/>
                <w:szCs w:val="17"/>
                <w:i w:val="1"/>
                <w:iCs w:val="1"/>
                <w:color w:val="auto"/>
              </w:rPr>
              <w:t>General Manager and CTO</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154,170</w:t>
            </w:r>
          </w:p>
        </w:tc>
      </w:tr>
      <w:tr>
        <w:trPr>
          <w:trHeight w:val="202"/>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Juan Diaz-Cartelle, </w:t>
            </w:r>
            <w:r>
              <w:rPr>
                <w:rFonts w:ascii="Times New Roman" w:cs="Times New Roman" w:eastAsia="Times New Roman" w:hAnsi="Times New Roman"/>
                <w:sz w:val="17"/>
                <w:szCs w:val="17"/>
                <w:i w:val="1"/>
                <w:iCs w:val="1"/>
                <w:color w:val="auto"/>
              </w:rPr>
              <w:t>Chief Medical Officer</w:t>
            </w:r>
          </w:p>
        </w:tc>
        <w:tc>
          <w:tcPr>
            <w:tcW w:w="2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60,000</w:t>
            </w:r>
          </w:p>
        </w:tc>
      </w:tr>
      <w:tr>
        <w:trPr>
          <w:trHeight w:val="202"/>
        </w:trPr>
        <w:tc>
          <w:tcPr>
            <w:tcW w:w="90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All Current Executive Officers as a Group</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1,542,096</w:t>
            </w:r>
          </w:p>
        </w:tc>
        <w:tc>
          <w:tcPr>
            <w:tcW w:w="100" w:type="dxa"/>
            <w:vAlign w:val="bottom"/>
          </w:tcPr>
          <w:p>
            <w:pPr>
              <w:spacing w:after="0"/>
              <w:rPr>
                <w:sz w:val="17"/>
                <w:szCs w:val="17"/>
                <w:color w:val="auto"/>
              </w:rPr>
            </w:pPr>
          </w:p>
        </w:tc>
      </w:tr>
      <w:tr>
        <w:trPr>
          <w:trHeight w:val="202"/>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All Current Directors who are Not Executive Officers as a Group (6 persons)</w:t>
            </w:r>
          </w:p>
        </w:tc>
        <w:tc>
          <w:tcPr>
            <w:tcW w:w="2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684,307</w:t>
            </w:r>
          </w:p>
        </w:tc>
      </w:tr>
      <w:tr>
        <w:trPr>
          <w:trHeight w:val="202"/>
        </w:trPr>
        <w:tc>
          <w:tcPr>
            <w:tcW w:w="90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Each Director and Director Nominee:</w:t>
            </w: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Yoseph Bornstein</w:t>
            </w:r>
          </w:p>
        </w:tc>
        <w:tc>
          <w:tcPr>
            <w:tcW w:w="2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116,015</w:t>
            </w:r>
          </w:p>
        </w:tc>
      </w:tr>
      <w:tr>
        <w:trPr>
          <w:trHeight w:val="202"/>
        </w:trPr>
        <w:tc>
          <w:tcPr>
            <w:tcW w:w="9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Scott Burell</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116,015</w:t>
            </w:r>
          </w:p>
        </w:tc>
      </w:tr>
      <w:tr>
        <w:trPr>
          <w:trHeight w:val="202"/>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Martin Madden</w:t>
            </w:r>
          </w:p>
        </w:tc>
        <w:tc>
          <w:tcPr>
            <w:tcW w:w="2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116,015</w:t>
            </w:r>
          </w:p>
        </w:tc>
      </w:tr>
      <w:tr>
        <w:trPr>
          <w:trHeight w:val="202"/>
        </w:trPr>
        <w:tc>
          <w:tcPr>
            <w:tcW w:w="9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Prattipati Laxminarain</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116,015</w:t>
            </w:r>
          </w:p>
        </w:tc>
      </w:tr>
      <w:tr>
        <w:trPr>
          <w:trHeight w:val="202"/>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Aileen Stockburger</w:t>
            </w:r>
          </w:p>
        </w:tc>
        <w:tc>
          <w:tcPr>
            <w:tcW w:w="2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110,919</w:t>
            </w:r>
          </w:p>
        </w:tc>
      </w:tr>
      <w:tr>
        <w:trPr>
          <w:trHeight w:val="202"/>
        </w:trPr>
        <w:tc>
          <w:tcPr>
            <w:tcW w:w="9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Tal Wenderow</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109,328</w:t>
            </w:r>
          </w:p>
        </w:tc>
      </w:tr>
      <w:tr>
        <w:trPr>
          <w:trHeight w:val="202"/>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David J. Wilson</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202"/>
        </w:trPr>
        <w:tc>
          <w:tcPr>
            <w:tcW w:w="90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Each Associate of any of Such Directors, Executive Officer or Nominees</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2"/>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Each Other Person who Received or is to Receive 5 Percent of Such Options, Warrants or Rights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222"/>
        </w:trPr>
        <w:tc>
          <w:tcPr>
            <w:tcW w:w="90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All Employees, including all Current Officers who are not Executive Officers, as a Group</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237,916</w:t>
            </w:r>
          </w:p>
        </w:tc>
      </w:tr>
      <w:tr>
        <w:trPr>
          <w:trHeight w:val="383"/>
        </w:trPr>
        <w:tc>
          <w:tcPr>
            <w:tcW w:w="878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7"/>
                <w:szCs w:val="17"/>
                <w:color w:val="auto"/>
              </w:rPr>
              <w:t>28</w:t>
            </w:r>
          </w:p>
        </w:tc>
        <w:tc>
          <w:tcPr>
            <w:tcW w:w="2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2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color w:val="auto"/>
        </w:rPr>
        <w:t>Equity Compensation Plan Information Table</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following table provides information about shares of our common stock that may be issued upon the exercise of options under all of our existing compensation plans as of December 31, 2023.</w:t>
      </w:r>
    </w:p>
    <w:p>
      <w:pPr>
        <w:sectPr>
          <w:pgSz w:w="11900" w:h="16838" w:orient="portrait"/>
          <w:cols w:equalWidth="0" w:num="1">
            <w:col w:w="11240"/>
          </w:cols>
          <w:pgMar w:left="320" w:top="6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Plan Category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Equity compensation plans approved by security holders:</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2017 Equity Incentive Plan</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2020 Omnibus Performance Award Plan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Equity compensation plans not approved by security holders:</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Microbot Israel Employee Stock Option Plan(1)</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Stock Options (2)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180340</wp:posOffset>
            </wp:positionV>
            <wp:extent cx="17856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Weighted-average</w:t>
            </w: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2"/>
        </w:trPr>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Number of securities to</w:t>
            </w:r>
          </w:p>
        </w:tc>
        <w:tc>
          <w:tcPr>
            <w:tcW w:w="100" w:type="dxa"/>
            <w:vAlign w:val="bottom"/>
          </w:tcPr>
          <w:p>
            <w:pPr>
              <w:spacing w:after="0"/>
              <w:rPr>
                <w:sz w:val="17"/>
                <w:szCs w:val="17"/>
                <w:color w:val="auto"/>
              </w:rPr>
            </w:pP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exercise price of</w:t>
            </w: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2"/>
        </w:trPr>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be issued upon exercise</w:t>
            </w:r>
          </w:p>
        </w:tc>
        <w:tc>
          <w:tcPr>
            <w:tcW w:w="100" w:type="dxa"/>
            <w:vAlign w:val="bottom"/>
          </w:tcPr>
          <w:p>
            <w:pPr>
              <w:spacing w:after="0"/>
              <w:rPr>
                <w:sz w:val="17"/>
                <w:szCs w:val="17"/>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outstanding options,</w:t>
            </w:r>
          </w:p>
        </w:tc>
        <w:tc>
          <w:tcPr>
            <w:tcW w:w="16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Number of securities</w:t>
            </w:r>
          </w:p>
        </w:tc>
      </w:tr>
      <w:tr>
        <w:trPr>
          <w:trHeight w:val="202"/>
        </w:trPr>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of outstanding options,</w:t>
            </w:r>
          </w:p>
        </w:tc>
        <w:tc>
          <w:tcPr>
            <w:tcW w:w="100" w:type="dxa"/>
            <w:vAlign w:val="bottom"/>
          </w:tcPr>
          <w:p>
            <w:pPr>
              <w:spacing w:after="0"/>
              <w:rPr>
                <w:sz w:val="17"/>
                <w:szCs w:val="17"/>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warrants</w:t>
            </w:r>
          </w:p>
        </w:tc>
        <w:tc>
          <w:tcPr>
            <w:tcW w:w="1840" w:type="dxa"/>
            <w:vAlign w:val="bottom"/>
            <w:gridSpan w:val="2"/>
          </w:tcPr>
          <w:p>
            <w:pPr>
              <w:jc w:val="center"/>
              <w:ind w:left="76"/>
              <w:spacing w:after="0"/>
              <w:rPr>
                <w:sz w:val="20"/>
                <w:szCs w:val="20"/>
                <w:color w:val="auto"/>
              </w:rPr>
            </w:pPr>
            <w:r>
              <w:rPr>
                <w:rFonts w:ascii="Times New Roman" w:cs="Times New Roman" w:eastAsia="Times New Roman" w:hAnsi="Times New Roman"/>
                <w:sz w:val="17"/>
                <w:szCs w:val="17"/>
                <w:b w:val="1"/>
                <w:bCs w:val="1"/>
                <w:color w:val="auto"/>
                <w:w w:val="98"/>
              </w:rPr>
              <w:t>remaining available for</w:t>
            </w:r>
          </w:p>
        </w:tc>
      </w:tr>
      <w:tr>
        <w:trPr>
          <w:trHeight w:val="222"/>
        </w:trPr>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warrants and rights</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and rights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future issuance</w:t>
            </w:r>
          </w:p>
        </w:tc>
      </w:tr>
      <w:tr>
        <w:trPr>
          <w:trHeight w:val="582"/>
        </w:trPr>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492,133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10.48</w:t>
            </w:r>
          </w:p>
        </w:tc>
        <w:tc>
          <w:tcPr>
            <w:tcW w:w="180" w:type="dxa"/>
            <w:vAlign w:val="bottom"/>
          </w:tcPr>
          <w:p>
            <w:pPr>
              <w:spacing w:after="0"/>
              <w:rPr>
                <w:sz w:val="24"/>
                <w:szCs w:val="24"/>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131,585</w:t>
            </w:r>
          </w:p>
        </w:tc>
      </w:tr>
      <w:tr>
        <w:trPr>
          <w:trHeight w:val="218"/>
        </w:trPr>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1,463,806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4.14</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556,846</w:t>
            </w:r>
          </w:p>
        </w:tc>
      </w:tr>
      <w:tr>
        <w:trPr>
          <w:trHeight w:val="400"/>
        </w:trPr>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61,577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0.01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8"/>
        </w:trPr>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77, 846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4.20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7"/>
        </w:trPr>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2,095,362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688,431</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-1080135</wp:posOffset>
            </wp:positionV>
            <wp:extent cx="7141210" cy="135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1210" cy="135890"/>
                    </a:xfrm>
                    <a:prstGeom prst="rect">
                      <a:avLst/>
                    </a:prstGeom>
                    <a:noFill/>
                  </pic:spPr>
                </pic:pic>
              </a:graphicData>
            </a:graphic>
          </wp:anchor>
        </w:drawing>
        <w:drawing>
          <wp:anchor simplePos="0" relativeHeight="251657728" behindDoc="1" locked="0" layoutInCell="0" allowOverlap="1">
            <wp:simplePos x="0" y="0"/>
            <wp:positionH relativeFrom="column">
              <wp:posOffset>-3427730</wp:posOffset>
            </wp:positionH>
            <wp:positionV relativeFrom="paragraph">
              <wp:posOffset>-815975</wp:posOffset>
            </wp:positionV>
            <wp:extent cx="7141210" cy="1282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-3427730</wp:posOffset>
            </wp:positionH>
            <wp:positionV relativeFrom="paragraph">
              <wp:posOffset>-560070</wp:posOffset>
            </wp:positionV>
            <wp:extent cx="7141210" cy="1282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-3427730</wp:posOffset>
            </wp:positionH>
            <wp:positionV relativeFrom="paragraph">
              <wp:posOffset>-303530</wp:posOffset>
            </wp:positionV>
            <wp:extent cx="7141210" cy="135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1210" cy="135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80" w:space="720"/>
            <w:col w:w="5840"/>
          </w:cols>
          <w:pgMar w:left="320" w:top="623" w:right="339" w:bottom="1440" w:gutter="0" w:footer="0" w:header="0"/>
          <w:type w:val="continuous"/>
        </w:sectPr>
      </w:pPr>
    </w:p>
    <w:p>
      <w:pPr>
        <w:spacing w:after="0" w:line="10" w:lineRule="exact"/>
        <w:rPr>
          <w:sz w:val="20"/>
          <w:szCs w:val="20"/>
          <w:color w:val="auto"/>
        </w:rPr>
      </w:pPr>
    </w:p>
    <w:p>
      <w:pPr>
        <w:jc w:val="both"/>
        <w:ind w:left="300" w:hanging="299"/>
        <w:spacing w:after="0" w:line="254" w:lineRule="auto"/>
        <w:tabs>
          <w:tab w:leader="none" w:pos="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options were originally issued by Microbot Israel under its Employee Stock Option Plan, and represented the right to purchase an aggregate of 500,000 of Microbot Israel’s ordinary shares. As of the effective time of the Merger, such options were retroactively adjusted to reflect the Merger and now represent the right to purchase shares of our common stock.</w:t>
      </w:r>
    </w:p>
    <w:p>
      <w:pPr>
        <w:jc w:val="both"/>
        <w:ind w:left="300" w:hanging="299"/>
        <w:spacing w:after="0" w:line="251" w:lineRule="auto"/>
        <w:tabs>
          <w:tab w:leader="none" w:pos="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options were originally issued by Microbot Israel to MEDX Ventures Group LLC, of which Mr. Gadot is the Chief Executive Officer, Company Group Chairman and majority equity owner, and represented the right to purchase an aggregate of 486,263 of Microbot Israel’s ordinary shares. As of the effective time of the Merger, such options were retroactively adjusted to reflect the Merger and now represent the right to purchase shares of our common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Required Vote</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affirmative vote of the holders of a majority of the stock having voting power present in person or represented by proxy shall be sufficient for the approval of the Amended Plan and for the approval of the performance-based criteria that will permit us to maximize our opportunities to pay tax-deductible compensation.</w:t>
      </w:r>
    </w:p>
    <w:p>
      <w:pPr>
        <w:spacing w:after="0" w:line="1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color w:val="auto"/>
        </w:rPr>
        <w:t>THE BOARD UNANIMOUSLY RECOMMENDS THAT YOU VOTE “FOR” THIS PROPOSAL 3 TO APPROVE AN AMENDMENT TO THE MICROBOT MEDICAL INC. 2020 OMNIBUS PERFORMANCE AWARD PLAN TO INCREASE THE NUMBER OF AUTHORIZED SHARES OF COMMON STOCK RESERVED FOR ISSUANCE BY 600,000 SHARES, FROM 2,020,652 TO 2,620,652</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type w:val="continuous"/>
        </w:sectPr>
      </w:pPr>
    </w:p>
    <w:bookmarkStart w:id="31" w:name="page32"/>
    <w:bookmarkEnd w:id="31"/>
    <w:p>
      <w:pPr>
        <w:jc w:val="center"/>
        <w:spacing w:after="0"/>
        <w:rPr>
          <w:sz w:val="20"/>
          <w:szCs w:val="20"/>
          <w:color w:val="auto"/>
        </w:rPr>
      </w:pPr>
      <w:r>
        <w:rPr>
          <w:rFonts w:ascii="Times New Roman" w:cs="Times New Roman" w:eastAsia="Times New Roman" w:hAnsi="Times New Roman"/>
          <w:sz w:val="17"/>
          <w:szCs w:val="17"/>
          <w:b w:val="1"/>
          <w:bCs w:val="1"/>
          <w:color w:val="auto"/>
        </w:rPr>
        <w:t>PROPOSAL 3: RATIFICATION OF INDEPENDENT REGISTERED ACCOUNTING FIRM</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is asking the stockholders to ratify the selection of Deloitte, or its U.S. affiliate, as the Company’s independent public accountants for the fiscal year ending December 31, 2024. The affirmative vote of the holders of a majority of the shares represented and voting at the Annual Meeting will be required to ratify the selection of Deloitte or its U.S. affiliate.</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the event the stockholders fail to ratify the appointment, the Audit Committee of the Board of Directors will consider it as a recommendation to select other auditors for the subsequent year, which the Audit Committee would then take under advisement. Even if the selection is ratified, the Audit Committee of the Board at its discretion could decide to terminate the engagement of Deloitte or its U.S. affiliate and engage another firm at any time if the Audit Committee determines that such a change would be necessary or desirable in the best interests of the Company and its stockholders.</w:t>
      </w:r>
    </w:p>
    <w:p>
      <w:pPr>
        <w:spacing w:after="0" w:line="17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7"/>
          <w:szCs w:val="17"/>
          <w:color w:val="auto"/>
        </w:rPr>
        <w:t>A representative of Deloitte is expected to attend the Annual Meeting telephonically and is not expected to make a statement, but will be available to respond to appropriate questions and may make a statement if such representative desires to do so.</w:t>
      </w:r>
    </w:p>
    <w:p>
      <w:pPr>
        <w:spacing w:after="0" w:line="15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color w:val="auto"/>
        </w:rPr>
        <w:t>THE BOARD UNANIMOUSLY RECOMMENDS THAT YOU VOTE “FOR” THIS PROPOSAL 3 TO RATIFY THE SELECTION OF DELOITTE OR ITS U.S. AFFILIATE AS THE COMPANY’S INDEPENDENT PUBLIC ACCOUNTANTS FOR THE YEAR ENDING DECEMBER 31, 2024.</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Shareholder Proposals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Shareholders who wish to present proposals for inclusion in the Company’s proxy materials for the 2025 Annual Meeting of Shareholders may do so by following the procedures prescribed in Rule 14a-8 under the Exchange Act. To be eligible, the Shareholder proposals must be received by our corporate secretary on or before August 19, 2025.</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Shareholders who wish to make a proposal at the 2025 Annual Meeting of Shareholders, other than one that will be included in our proxy materials, must notify us in a timely manner, but no later than November 2, 2025. If a Shareholder who wishes to present a proposal at the 2025 Annual Meeting of Shareholders fails to notify us by November 2, 2025, the proxies that management solicits for the meeting will confer discretionary authority to vote on the Shareholder’s proposal if it is properly brought before the meeting.</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addition, to comply with the universal proxy rules, shareholders who intend to solicit proxies in support of director nominees other than the Company’s nominees must provide notice that sets for the information required by Rule 14a-19 under the Exchange Act no later than October 18,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Shareholder Nominations of Directors</w:t>
      </w:r>
    </w:p>
    <w:p>
      <w:pPr>
        <w:spacing w:after="0" w:line="21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A shareholder entitled to vote for the election of directors at a meeting may nominate persons for election as directors by giving timely notice thereof in proper written form to the secretary accompanied by a petition signed by at least 100 record holders of capital stock of the Company which shows the class and number of shares held by each person and which represent in the aggregate 1% or more of the outstanding shares entitled to vote in the election of directors. The submission must be in writing and delivered to Microbot Medical Inc., Attn: Secretary, Board of Directors, 288 Grove Street, Braintree, MA 02184, in accordance with the advance notice procedures and other requirements set forth in Section 3.2 of our bylaws for nominees to be considered for nomination at the 2025 annual meeting. To be timely, such notice and petition must be received at the principal executive offices of the Company not less than 60 days nor more than 90 days prior to the meeting, except if less than 70 days notice of the date of the meeting is given to Shareholders, in which case the notice and petition must be received not later than the close of business on the tenth day following the day on which notice of the date of the meeting was mailed or public disclosure of such date was made. These requirements are separate from, and in addition to, the requirements discussed above to have the shareholder nomination or other proposals included in our proxy statement and form of proxy/voting instruction card pursuant to the SEC’s rules. Submissions must include the name, address and number of shares of common stock beneficially owned by each participant in the Nominating Shareholder group, a representation that the Nominating Shareholder meets the requirements described in the Board policy and will continue to meet them through the date of the annual meeting, a description of all arrangements or understandings between or among the Nominating Shareholder group (or any participant in the Nominating Shareholder group) and the candidate or any other person or entity regarding the candidate, all information regarding the candidate that the Company would be required to disclose in a proxy statement under SEC rules, including whether the candidate is independent or, if not, a description of the reasons why not, the consent of the candidate to serve as a director, and representations by the candidate regarding his or her performance of the duties of a director. Full details may be obtained from the secretary of the Board at the address above. The Corporate Governance Committee will consider and evaluate up to two candidates recommended in accordance with this policy in connection with any annual meeting. The Corporate Governance Committee will consider and evaluate candidates recommended by Shareholders on the same basis as candidates recommended by other sources.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color w:val="auto"/>
        </w:rPr>
        <w:t>Form 10-K</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The Company’s Annual Report on Form 10-K for the fiscal year ended December 31, 2023, as filed with the SEC, is available without charge upon request by writing to Microbot Medical Inc. at 288 Grove Street, Suite 388, Braintree, MA 02184, Attention: Investor Relations. A copy of this report is also available through our website at www.microbotmedical.com or, alternatively, at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“Householding” of Proxy Materials</w:t>
      </w:r>
    </w:p>
    <w:p>
      <w:pPr>
        <w:spacing w:after="0" w:line="2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Some banks, brokers and other nominee record holders may be participating in the practice of “householding” proxy statements and annual reports. This means that only one copy of our proxy statement and annual report, or the notice of Internet availability of the proxy statement, to shareholders may have been sent to multiple shareholders in your household. The Company will promptly deliver a separate copy of either document to you if you contact the Secretary at the following address or telephone number: Microbot Medical Inc., 288 Grove Street, Suite 388, Braintree, MA 02184; telephone: (781) 875-3605. In addition, copies of both documents may be obtained from our website (www.microbotmedical.com, click on the button “Investors” and then “Presentation + Resources”). You may also request information from Sodali &amp; Co. LLC, our proxy solicitor, at the following address and telephone number: Sodali &amp; Co. LLC, 333 Ludlow Street, 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xml:space="preserve"> Floor, South Tower, Stamford,</w:t>
      </w:r>
    </w:p>
    <w:p>
      <w:pPr>
        <w:spacing w:after="0" w:line="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CT 06902; Stockholders call toll free: 800-662-5200; MBOT@investor.sodali.com. If you want to receive separate copies of the proxy statement, annual report or notice of Internet availability to shareholders in the future, or if you are receiving multiple copies and would like to receive only one copy per household, you should contact your bank, broker or other nominee record holder, or you may contact the Company at the above address or telephone number.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Business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Board knows of no business that will come before the meeting for action except as described in the accompanying Notice of Meeting. However, as to any such business, the persons designated as proxies will have authority to act in their discretion.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Harel Gadot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 President, and Chief Executive Officer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MICROBOT MEDICAL INC.</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2020 OMNIBUS PERFORMANCE AWARD PLAN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14605</wp:posOffset>
            </wp:positionV>
            <wp:extent cx="71412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7"/>
          <w:szCs w:val="17"/>
          <w:b w:val="1"/>
          <w:bCs w:val="1"/>
          <w:color w:val="auto"/>
        </w:rPr>
        <w:t>INTRODUCTION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Microbot Medical Inc., a Delaware corporation (hereinafter referred to as the “Corporation”), hereby establishes an incentive compensation plan to be known as the </w:t>
      </w:r>
      <w:r>
        <w:rPr>
          <w:rFonts w:ascii="Times New Roman" w:cs="Times New Roman" w:eastAsia="Times New Roman" w:hAnsi="Times New Roman"/>
          <w:sz w:val="17"/>
          <w:szCs w:val="17"/>
          <w:b w:val="1"/>
          <w:bCs w:val="1"/>
          <w:color w:val="auto"/>
        </w:rPr>
        <w:t xml:space="preserve">“Microbot Medical Inc. 2020 Omnibus Performance Award Plan” </w:t>
      </w:r>
      <w:r>
        <w:rPr>
          <w:rFonts w:ascii="Times New Roman" w:cs="Times New Roman" w:eastAsia="Times New Roman" w:hAnsi="Times New Roman"/>
          <w:sz w:val="17"/>
          <w:szCs w:val="17"/>
          <w:color w:val="auto"/>
        </w:rPr>
        <w:t>(hereinafter referred to as the “Plan”), as set forth in this document. The Plan permits the grant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Cash Incentives, Non-Qualified Stock Options, Incentive Stock Options, Stock Appreciation Rights, shares of Restricted Stock, Restricted Stock Units, Performance Units and Performance Shares.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Plan shall become effective on July 17, 2020. However, it shall be rendered null and void and have no effect, and all Plan Awards granted hereunder shall be cancelled, if the Plan is not approved by a majority vote of the Corporation’s stockholders within 12 months of the date the Plan is adopted by the Corporation’s Board of Directors.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purpose of the Plan is to promote the success and enhance the value of the Corporation by linking the personal interests of Participants to those of the Corporation’s stockholders by providing Participants with an incentive for outstanding performance. The Plan is further intended to assist the Corporation in its ability to motivate, and retain the services of, Participants upon whose judgment, interest and special effort the successful conduct of its and its subsidiaries’ operations is largely dependent.</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Plan also provides pay systems that support the Corporation’s business strategy and emphasizes pay-for-performance by tying reward opportunities to carefully determined and articulated performance goals at corporate, operating unit, business unit and/or individual levels.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purposes of the Plan, the following terms shall be defined as follows unless the context clearly indicates otherwise:</w:t>
      </w:r>
    </w:p>
    <w:p>
      <w:pPr>
        <w:spacing w:after="0" w:line="208" w:lineRule="exact"/>
        <w:rPr>
          <w:sz w:val="20"/>
          <w:szCs w:val="20"/>
          <w:color w:val="auto"/>
        </w:rPr>
      </w:pPr>
    </w:p>
    <w:p>
      <w:pPr>
        <w:jc w:val="both"/>
        <w:ind w:firstLine="303"/>
        <w:spacing w:after="0" w:line="256" w:lineRule="auto"/>
        <w:tabs>
          <w:tab w:leader="none" w:pos="5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shall mean, as it relates to any limitations or requirements with respect to Incentive Stock Options, any Subsidiary or Parent of the Corporation. Affiliate otherwise means any entity that is part of a controlled group of corporations or limited liability entities or is under common control with the Corporation within the meaning of Code Sections 1563(a), 414(b) or 414(c), except that, in making any such determination, 50% shall be substituted for 80% under such Code Sections and the related regulations.</w:t>
      </w:r>
    </w:p>
    <w:p>
      <w:pPr>
        <w:spacing w:after="0" w:line="174" w:lineRule="exact"/>
        <w:rPr>
          <w:rFonts w:ascii="Times New Roman" w:cs="Times New Roman" w:eastAsia="Times New Roman" w:hAnsi="Times New Roman"/>
          <w:sz w:val="17"/>
          <w:szCs w:val="17"/>
          <w:color w:val="auto"/>
        </w:rPr>
      </w:pPr>
    </w:p>
    <w:p>
      <w:pPr>
        <w:jc w:val="both"/>
        <w:ind w:firstLine="303"/>
        <w:spacing w:after="0" w:line="261" w:lineRule="auto"/>
        <w:tabs>
          <w:tab w:leader="none" w:pos="553"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Applicable Law</w:t>
      </w:r>
      <w:r>
        <w:rPr>
          <w:rFonts w:ascii="Times New Roman" w:cs="Times New Roman" w:eastAsia="Times New Roman" w:hAnsi="Times New Roman"/>
          <w:sz w:val="17"/>
          <w:szCs w:val="17"/>
          <w:color w:val="auto"/>
        </w:rPr>
        <w:t>” shall mean the applicable provisions of the Code, the Securities Act, the Exchange Act and any other federal, state or foreign corporate, securities or tax or other laws, rules, requirements or regulations, the rules of any national securities exchange or automated quotation system on which the shares of Common Stock are listed, quoted or traded and any other applicable law.</w:t>
      </w:r>
    </w:p>
    <w:p>
      <w:pPr>
        <w:spacing w:after="0" w:line="169" w:lineRule="exact"/>
        <w:rPr>
          <w:rFonts w:ascii="Times New Roman" w:cs="Times New Roman" w:eastAsia="Times New Roman" w:hAnsi="Times New Roman"/>
          <w:sz w:val="17"/>
          <w:szCs w:val="17"/>
          <w:color w:val="auto"/>
        </w:rPr>
      </w:pPr>
    </w:p>
    <w:p>
      <w:pPr>
        <w:ind w:firstLine="303"/>
        <w:spacing w:after="0" w:line="274" w:lineRule="auto"/>
        <w:tabs>
          <w:tab w:leader="none" w:pos="5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Award Agreement</w:t>
      </w:r>
      <w:r>
        <w:rPr>
          <w:rFonts w:ascii="Times New Roman" w:cs="Times New Roman" w:eastAsia="Times New Roman" w:hAnsi="Times New Roman"/>
          <w:sz w:val="17"/>
          <w:szCs w:val="17"/>
          <w:color w:val="auto"/>
        </w:rPr>
        <w:t>” shall mean the written agreement, executed by an appropriate officer of the Corporation and a Participant, pursuant to which a Plan Award is granted and containing the terms and conditions of the Plan Award.</w:t>
      </w:r>
    </w:p>
    <w:p>
      <w:pPr>
        <w:spacing w:after="0" w:line="158" w:lineRule="exact"/>
        <w:rPr>
          <w:rFonts w:ascii="Times New Roman" w:cs="Times New Roman" w:eastAsia="Times New Roman" w:hAnsi="Times New Roman"/>
          <w:sz w:val="17"/>
          <w:szCs w:val="17"/>
          <w:color w:val="auto"/>
        </w:rPr>
      </w:pPr>
    </w:p>
    <w:p>
      <w:pPr>
        <w:ind w:left="540" w:hanging="237"/>
        <w:spacing w:after="0"/>
        <w:tabs>
          <w:tab w:leader="none" w:pos="5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Board of Directors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shall mean the Board of Directors of the Corporation.</w:t>
      </w:r>
    </w:p>
    <w:p>
      <w:pPr>
        <w:spacing w:after="0" w:line="207" w:lineRule="exact"/>
        <w:rPr>
          <w:rFonts w:ascii="Times New Roman" w:cs="Times New Roman" w:eastAsia="Times New Roman" w:hAnsi="Times New Roman"/>
          <w:sz w:val="17"/>
          <w:szCs w:val="17"/>
          <w:color w:val="auto"/>
        </w:rPr>
      </w:pPr>
    </w:p>
    <w:p>
      <w:pPr>
        <w:ind w:firstLine="303"/>
        <w:spacing w:after="0" w:line="274" w:lineRule="auto"/>
        <w:tabs>
          <w:tab w:leader="none" w:pos="531"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Cash Incentives</w:t>
      </w:r>
      <w:r>
        <w:rPr>
          <w:rFonts w:ascii="Times New Roman" w:cs="Times New Roman" w:eastAsia="Times New Roman" w:hAnsi="Times New Roman"/>
          <w:sz w:val="17"/>
          <w:szCs w:val="17"/>
          <w:color w:val="auto"/>
        </w:rPr>
        <w:t>” shall mean a Plan Award granting to the Participant the right to receive a certain amount of cash in the future subject to the satisfaction of certain time-vesting requirements and/or the attainment of one or more annual or multi-year performance goals and targets, all as described in Article IX, below.</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5" w:name="page36"/>
    <w:bookmarkEnd w:id="35"/>
    <w:p>
      <w:pPr>
        <w:jc w:val="both"/>
        <w:ind w:firstLine="303"/>
        <w:spacing w:after="0" w:line="251" w:lineRule="auto"/>
        <w:tabs>
          <w:tab w:leader="none" w:pos="513"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shall, with respect to a Participant (i) have the same meaning as “cause” or “for cause” set forth in an employment, consulting, advisory or similar contract entered into by and between the Participant and the Corporation or any Affiliate or, in the absence of any such contract or defined terms, (ii) mean (A) the Participant’s willful or gross misconduct or willful or gross negligence in the performance of his duties for the Corporation or for any Affiliate, (B) the Participant’s intentional or habitual neglect of his duties for the Corporation or for any Affiliate, (C) the Participant’s (1) theft or misappropriation of funds or other property of the Corporation or of any Affiliate, (2) fraud, (3) criminal misconduct, (4) breach of fiduciary duty or dishonesty in the performance of his duties on behalf of the Corporation or any Affiliate, (5) commission of a felony, or crime of moral turpitude or (6) any other conduct reflecting adversely upon the Corporation or any Affiliate, (D) the Participant’s violation of any covenant not to compete, not to disclose confidential information or similar restriction with respect to the Corporation or any Affiliate or (E) the direct or indirect breach by the Participant of the terms of any employment, consulting, advisory or similar contract with the Corporation or any Affiliate.</w:t>
      </w:r>
    </w:p>
    <w:p>
      <w:pPr>
        <w:spacing w:after="0" w:line="177" w:lineRule="exact"/>
        <w:rPr>
          <w:rFonts w:ascii="Times New Roman" w:cs="Times New Roman" w:eastAsia="Times New Roman" w:hAnsi="Times New Roman"/>
          <w:sz w:val="17"/>
          <w:szCs w:val="17"/>
          <w:color w:val="auto"/>
        </w:rPr>
      </w:pPr>
    </w:p>
    <w:p>
      <w:pPr>
        <w:ind w:left="540" w:hanging="237"/>
        <w:spacing w:after="0"/>
        <w:tabs>
          <w:tab w:leader="none" w:pos="5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in Control of the Corporation</w:t>
      </w:r>
      <w:r>
        <w:rPr>
          <w:rFonts w:ascii="Times New Roman" w:cs="Times New Roman" w:eastAsia="Times New Roman" w:hAnsi="Times New Roman"/>
          <w:sz w:val="17"/>
          <w:szCs w:val="17"/>
          <w:color w:val="auto"/>
        </w:rPr>
        <w:t>” As used herein, a “Change in Control of the Corporation” shall be deemed to have occurred if:</w:t>
      </w:r>
    </w:p>
    <w:p>
      <w:pPr>
        <w:spacing w:after="0" w:line="207" w:lineRule="exact"/>
        <w:rPr>
          <w:rFonts w:ascii="Times New Roman" w:cs="Times New Roman" w:eastAsia="Times New Roman" w:hAnsi="Times New Roman"/>
          <w:sz w:val="17"/>
          <w:szCs w:val="17"/>
          <w:color w:val="auto"/>
        </w:rPr>
      </w:pPr>
    </w:p>
    <w:p>
      <w:pPr>
        <w:jc w:val="both"/>
        <w:ind w:firstLine="606"/>
        <w:spacing w:after="0" w:line="251" w:lineRule="auto"/>
        <w:tabs>
          <w:tab w:leader="none" w:pos="823"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(including any individual, firm, partnership or other entity) together with all Affiliates and Associates (as defined under Rule 12b-2 of the General Rules and Regulations promulgated under the Securities Exchange Act of 1934, as amended (the “</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xml:space="preserve">”)) of such person, </w:t>
      </w:r>
      <w:r>
        <w:rPr>
          <w:rFonts w:ascii="Times New Roman" w:cs="Times New Roman" w:eastAsia="Times New Roman" w:hAnsi="Times New Roman"/>
          <w:sz w:val="17"/>
          <w:szCs w:val="17"/>
          <w:u w:val="single" w:color="auto"/>
          <w:color w:val="auto"/>
        </w:rPr>
        <w:t>but excluding</w:t>
      </w:r>
      <w:r>
        <w:rPr>
          <w:rFonts w:ascii="Times New Roman" w:cs="Times New Roman" w:eastAsia="Times New Roman" w:hAnsi="Times New Roman"/>
          <w:sz w:val="17"/>
          <w:szCs w:val="17"/>
          <w:color w:val="auto"/>
        </w:rPr>
        <w:t xml:space="preserve"> (A) a trustee or other fiduciary holding securities under an employee benefit plan of the Corporation or any subsidiary of the Corporation, (B) a corporation owned, directly or indirectly, by the equity holders of the Corporation in substantially the same proportions as their ownership of the Corporation, (C) the Corporation or any subsidiary of the Corporation, (D) any person who is an equity holder of the Corporation on the Effective Date of the Plan, (E) the spouse, children, brother, sisters, nephews, nieces or estate (or a trust or trusts benefiting any one or more of such persons) of any person who is an equity holder of the Corporation on the Effective Date of the Plan, (F) a Participant or (G) the spouse, children or estate (or a trust or trusts benefiting any one or more of such persons) of a Participant, first becomes the Beneficial Owner (as defined in Rule 13d-3 promulgated under the Exchange Act), directly or indirectly, of securities of the Corporation representing more than 50% of the combined voting power of the Corporation’s then outstanding securities;</w:t>
      </w:r>
    </w:p>
    <w:p>
      <w:pPr>
        <w:spacing w:after="0" w:line="177" w:lineRule="exact"/>
        <w:rPr>
          <w:rFonts w:ascii="Times New Roman" w:cs="Times New Roman" w:eastAsia="Times New Roman" w:hAnsi="Times New Roman"/>
          <w:sz w:val="17"/>
          <w:szCs w:val="17"/>
          <w:color w:val="auto"/>
        </w:rPr>
      </w:pPr>
    </w:p>
    <w:p>
      <w:pPr>
        <w:jc w:val="both"/>
        <w:ind w:firstLine="606"/>
        <w:spacing w:after="0" w:line="256" w:lineRule="auto"/>
        <w:tabs>
          <w:tab w:leader="none" w:pos="862"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consummation of a merger or consolidation of the Corporation with any other corporation, </w:t>
      </w:r>
      <w:r>
        <w:rPr>
          <w:rFonts w:ascii="Times New Roman" w:cs="Times New Roman" w:eastAsia="Times New Roman" w:hAnsi="Times New Roman"/>
          <w:sz w:val="17"/>
          <w:szCs w:val="17"/>
          <w:u w:val="single" w:color="auto"/>
          <w:color w:val="auto"/>
        </w:rPr>
        <w:t>other</w:t>
      </w:r>
      <w:r>
        <w:rPr>
          <w:rFonts w:ascii="Times New Roman" w:cs="Times New Roman" w:eastAsia="Times New Roman" w:hAnsi="Times New Roman"/>
          <w:sz w:val="17"/>
          <w:szCs w:val="17"/>
          <w:color w:val="auto"/>
        </w:rPr>
        <w:t xml:space="preserve"> than a merger or consolidation that would result in the voting securities of the Corporation outstanding immediately prior thereto continuing to represent (either by remaining outstanding or by being converted into voting securities of the surviving entity) 50% or more of the combined voting power of the voting securities of the Corporation or such surviving entity outstanding immediately after such merger or consolidation;</w:t>
      </w:r>
    </w:p>
    <w:p>
      <w:pPr>
        <w:spacing w:after="0" w:line="174" w:lineRule="exact"/>
        <w:rPr>
          <w:rFonts w:ascii="Times New Roman" w:cs="Times New Roman" w:eastAsia="Times New Roman" w:hAnsi="Times New Roman"/>
          <w:sz w:val="17"/>
          <w:szCs w:val="17"/>
          <w:color w:val="auto"/>
        </w:rPr>
      </w:pPr>
    </w:p>
    <w:p>
      <w:pPr>
        <w:jc w:val="both"/>
        <w:ind w:firstLine="606"/>
        <w:spacing w:after="0" w:line="261" w:lineRule="auto"/>
        <w:tabs>
          <w:tab w:leader="none" w:pos="932"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of a plan of complete liquidation of the Corporation or an agreement for the sale or disposition by the Corporation of all or substantially all of the Corporation’s assets to a person or persons totally unrelated to any Participant or any equity holder of the Corporation (or to any Affiliates and Associates of any such Participant or equity holder).</w:t>
      </w:r>
    </w:p>
    <w:p>
      <w:pPr>
        <w:spacing w:after="0" w:line="169" w:lineRule="exact"/>
        <w:rPr>
          <w:rFonts w:ascii="Times New Roman" w:cs="Times New Roman" w:eastAsia="Times New Roman" w:hAnsi="Times New Roman"/>
          <w:sz w:val="17"/>
          <w:szCs w:val="17"/>
          <w:color w:val="auto"/>
        </w:rPr>
      </w:pPr>
    </w:p>
    <w:p>
      <w:pPr>
        <w:ind w:firstLine="606"/>
        <w:spacing w:after="0" w:line="274" w:lineRule="auto"/>
        <w:tabs>
          <w:tab w:leader="none" w:pos="89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majority of the members of the Corporation’s Board of Directors is replaced, during any 12-month period, by directors whose appointment or election is not endorsed by a majority of the members of the Board of Directors before the date of such appointment or election.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Notwithstanding the foregoing, with respect to Plan Awards constituting “non-qualified deferred compensation” pursuant to the provisions of Code Section 409A and the regulations promulgated thereunder, the term “Change in Control of the Corporation” shall be limited, if necessary, to satisfy the requirements set forth under forth Treas. Reg. §1.409A-3(i)(5). In no instance shall an Initial or Secondary Public Offering of the Corporation’s Common Stock be deemed to constitute a Change in Control of the Corporation.</w:t>
      </w:r>
    </w:p>
    <w:p>
      <w:pPr>
        <w:spacing w:after="0" w:line="175" w:lineRule="exact"/>
        <w:rPr>
          <w:sz w:val="20"/>
          <w:szCs w:val="20"/>
          <w:color w:val="auto"/>
        </w:rPr>
      </w:pPr>
    </w:p>
    <w:p>
      <w:pPr>
        <w:ind w:left="540" w:hanging="237"/>
        <w:spacing w:after="0"/>
        <w:tabs>
          <w:tab w:leader="none" w:pos="5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shall mean the Internal Revenue Code of 1986, as amended, and the rules and regulations thereunder.</w:t>
      </w:r>
    </w:p>
    <w:p>
      <w:pPr>
        <w:spacing w:after="0" w:line="207" w:lineRule="exact"/>
        <w:rPr>
          <w:rFonts w:ascii="Times New Roman" w:cs="Times New Roman" w:eastAsia="Times New Roman" w:hAnsi="Times New Roman"/>
          <w:sz w:val="17"/>
          <w:szCs w:val="17"/>
          <w:color w:val="auto"/>
        </w:rPr>
      </w:pPr>
    </w:p>
    <w:p>
      <w:pPr>
        <w:ind w:firstLine="303"/>
        <w:spacing w:after="0" w:line="274" w:lineRule="auto"/>
        <w:tabs>
          <w:tab w:leader="none" w:pos="503"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Committee</w:t>
      </w:r>
      <w:r>
        <w:rPr>
          <w:rFonts w:ascii="Times New Roman" w:cs="Times New Roman" w:eastAsia="Times New Roman" w:hAnsi="Times New Roman"/>
          <w:sz w:val="17"/>
          <w:szCs w:val="17"/>
          <w:color w:val="auto"/>
        </w:rPr>
        <w:t>” shall, subject to the provisions of Section II(a) hereof, mean the Compensation Committee of the Board or such other Committee as the Board may appoint from time to time to administer the Plan, or the Board itself if no Compensation Committee or other appointed Committee exists.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6" w:name="page37"/>
    <w:bookmarkEnd w:id="36"/>
    <w:p>
      <w:pPr>
        <w:jc w:val="both"/>
        <w:ind w:firstLine="303"/>
        <w:spacing w:after="0" w:line="261" w:lineRule="auto"/>
        <w:tabs>
          <w:tab w:leader="none" w:pos="5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shall mean the common stock of the Corporation, $0.01 par value per share, as authorized from time to time. At all times, the Common Stock made available for grants hereunder shall be “</w:t>
      </w:r>
      <w:r>
        <w:rPr>
          <w:rFonts w:ascii="Times New Roman" w:cs="Times New Roman" w:eastAsia="Times New Roman" w:hAnsi="Times New Roman"/>
          <w:sz w:val="17"/>
          <w:szCs w:val="17"/>
          <w:u w:val="single" w:color="auto"/>
          <w:color w:val="auto"/>
        </w:rPr>
        <w:t>Service Recipient Stock</w:t>
      </w:r>
      <w:r>
        <w:rPr>
          <w:rFonts w:ascii="Times New Roman" w:cs="Times New Roman" w:eastAsia="Times New Roman" w:hAnsi="Times New Roman"/>
          <w:sz w:val="17"/>
          <w:szCs w:val="17"/>
          <w:color w:val="auto"/>
        </w:rPr>
        <w:t>” as defined in Treas. Reg. §1.409A-1(b)(5)(iii)(A) and the terms of the Plan and of any Award Agreement shall be deemed to be modified to the degree necessary to comply with this requirement.</w:t>
      </w:r>
    </w:p>
    <w:p>
      <w:pPr>
        <w:spacing w:after="0" w:line="169" w:lineRule="exact"/>
        <w:rPr>
          <w:rFonts w:ascii="Times New Roman" w:cs="Times New Roman" w:eastAsia="Times New Roman" w:hAnsi="Times New Roman"/>
          <w:sz w:val="17"/>
          <w:szCs w:val="17"/>
          <w:color w:val="auto"/>
        </w:rPr>
      </w:pPr>
    </w:p>
    <w:p>
      <w:pPr>
        <w:ind w:left="540" w:hanging="237"/>
        <w:spacing w:after="0"/>
        <w:tabs>
          <w:tab w:leader="none" w:pos="5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Consultant</w:t>
      </w:r>
      <w:r>
        <w:rPr>
          <w:rFonts w:ascii="Times New Roman" w:cs="Times New Roman" w:eastAsia="Times New Roman" w:hAnsi="Times New Roman"/>
          <w:sz w:val="17"/>
          <w:szCs w:val="17"/>
          <w:color w:val="auto"/>
        </w:rPr>
        <w:t>” shall mean an individual who is in a Consulting Relationship with the Corporation or any Affiliate.</w:t>
      </w:r>
    </w:p>
    <w:p>
      <w:pPr>
        <w:spacing w:after="0" w:line="207" w:lineRule="exact"/>
        <w:rPr>
          <w:rFonts w:ascii="Times New Roman" w:cs="Times New Roman" w:eastAsia="Times New Roman" w:hAnsi="Times New Roman"/>
          <w:sz w:val="17"/>
          <w:szCs w:val="17"/>
          <w:color w:val="auto"/>
        </w:rPr>
      </w:pPr>
    </w:p>
    <w:p>
      <w:pPr>
        <w:jc w:val="both"/>
        <w:ind w:firstLine="303"/>
        <w:spacing w:after="0" w:line="256" w:lineRule="auto"/>
        <w:tabs>
          <w:tab w:leader="none" w:pos="503"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Consulting Relationship</w:t>
      </w:r>
      <w:r>
        <w:rPr>
          <w:rFonts w:ascii="Times New Roman" w:cs="Times New Roman" w:eastAsia="Times New Roman" w:hAnsi="Times New Roman"/>
          <w:sz w:val="17"/>
          <w:szCs w:val="17"/>
          <w:color w:val="auto"/>
        </w:rPr>
        <w:t>” shall mean the relationship that exists between an individual and the Corporation (or any Affiliate) if (i) such individual or (ii) any entity of which such individual is an executive officer or owns a substantial equity interest has entered into a written consulting contract with the Corporation or any Affiliate and if, pursuant to such written consulting agreement, such individual or entity qualifies as a consultant under the applicable rules of the Securities and Exchange Commission for registration of shares on a Form S-8 Registration Statement.</w:t>
      </w:r>
    </w:p>
    <w:p>
      <w:pPr>
        <w:spacing w:after="0" w:line="174" w:lineRule="exact"/>
        <w:rPr>
          <w:rFonts w:ascii="Times New Roman" w:cs="Times New Roman" w:eastAsia="Times New Roman" w:hAnsi="Times New Roman"/>
          <w:sz w:val="17"/>
          <w:szCs w:val="17"/>
          <w:color w:val="auto"/>
        </w:rPr>
      </w:pPr>
    </w:p>
    <w:p>
      <w:pPr>
        <w:ind w:left="580" w:hanging="277"/>
        <w:spacing w:after="0"/>
        <w:tabs>
          <w:tab w:leader="none" w:pos="5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Corporation</w:t>
      </w:r>
      <w:r>
        <w:rPr>
          <w:rFonts w:ascii="Times New Roman" w:cs="Times New Roman" w:eastAsia="Times New Roman" w:hAnsi="Times New Roman"/>
          <w:sz w:val="17"/>
          <w:szCs w:val="17"/>
          <w:color w:val="auto"/>
        </w:rPr>
        <w:t>” shall mean Microbot Medical Inc., a Delaware corporation.</w:t>
      </w:r>
    </w:p>
    <w:p>
      <w:pPr>
        <w:spacing w:after="0" w:line="207" w:lineRule="exact"/>
        <w:rPr>
          <w:rFonts w:ascii="Times New Roman" w:cs="Times New Roman" w:eastAsia="Times New Roman" w:hAnsi="Times New Roman"/>
          <w:sz w:val="17"/>
          <w:szCs w:val="17"/>
          <w:color w:val="auto"/>
        </w:rPr>
      </w:pPr>
    </w:p>
    <w:p>
      <w:pPr>
        <w:jc w:val="both"/>
        <w:ind w:firstLine="303"/>
        <w:spacing w:after="0" w:line="261" w:lineRule="auto"/>
        <w:tabs>
          <w:tab w:leader="none" w:pos="553"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Disability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Disabled</w:t>
      </w:r>
      <w:r>
        <w:rPr>
          <w:rFonts w:ascii="Times New Roman" w:cs="Times New Roman" w:eastAsia="Times New Roman" w:hAnsi="Times New Roman"/>
          <w:sz w:val="17"/>
          <w:szCs w:val="17"/>
          <w:color w:val="auto"/>
        </w:rPr>
        <w:t>” shall have the same meaning as the term “permanent and total disability” under Section 22(e)(3) of the Code or, with respect to Plan Awards constituting “non-qualified deferred compensation” pursuant to the provisions of Code Section 409A and the regulations promulgated thereunder, shall have the meaning set forth in Treas. Reg. §1.409A-3(i)(4)(i).</w:t>
      </w:r>
    </w:p>
    <w:p>
      <w:pPr>
        <w:spacing w:after="0" w:line="169" w:lineRule="exact"/>
        <w:rPr>
          <w:rFonts w:ascii="Times New Roman" w:cs="Times New Roman" w:eastAsia="Times New Roman" w:hAnsi="Times New Roman"/>
          <w:sz w:val="17"/>
          <w:szCs w:val="17"/>
          <w:color w:val="auto"/>
        </w:rPr>
      </w:pPr>
    </w:p>
    <w:p>
      <w:pPr>
        <w:ind w:firstLine="303"/>
        <w:spacing w:after="0" w:line="274" w:lineRule="auto"/>
        <w:tabs>
          <w:tab w:leader="none" w:pos="541"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DRO</w:t>
      </w:r>
      <w:r>
        <w:rPr>
          <w:rFonts w:ascii="Times New Roman" w:cs="Times New Roman" w:eastAsia="Times New Roman" w:hAnsi="Times New Roman"/>
          <w:sz w:val="17"/>
          <w:szCs w:val="17"/>
          <w:color w:val="auto"/>
        </w:rPr>
        <w:t>” shall mean a domestic relations order as defined by the Code or Title I of the Employee Retirement Income Security Act of 1974, as amended, and the rules and regulations thereunder.</w:t>
      </w:r>
    </w:p>
    <w:p>
      <w:pPr>
        <w:spacing w:after="0" w:line="158" w:lineRule="exact"/>
        <w:rPr>
          <w:rFonts w:ascii="Times New Roman" w:cs="Times New Roman" w:eastAsia="Times New Roman" w:hAnsi="Times New Roman"/>
          <w:sz w:val="17"/>
          <w:szCs w:val="17"/>
          <w:color w:val="auto"/>
        </w:rPr>
      </w:pPr>
    </w:p>
    <w:p>
      <w:pPr>
        <w:ind w:firstLine="303"/>
        <w:spacing w:after="0" w:line="274" w:lineRule="auto"/>
        <w:tabs>
          <w:tab w:leader="none" w:pos="553"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Employee</w:t>
      </w:r>
      <w:r>
        <w:rPr>
          <w:rFonts w:ascii="Times New Roman" w:cs="Times New Roman" w:eastAsia="Times New Roman" w:hAnsi="Times New Roman"/>
          <w:sz w:val="17"/>
          <w:szCs w:val="17"/>
          <w:color w:val="auto"/>
        </w:rPr>
        <w:t>” shall mean an employee (as determined in accordance with Section 3401(c) of the Code and the regulations promulgated thereunder) of the Corporation or of any Affiliate.</w:t>
      </w:r>
    </w:p>
    <w:p>
      <w:pPr>
        <w:spacing w:after="0" w:line="158" w:lineRule="exact"/>
        <w:rPr>
          <w:rFonts w:ascii="Times New Roman" w:cs="Times New Roman" w:eastAsia="Times New Roman" w:hAnsi="Times New Roman"/>
          <w:sz w:val="17"/>
          <w:szCs w:val="17"/>
          <w:color w:val="auto"/>
        </w:rPr>
      </w:pPr>
    </w:p>
    <w:p>
      <w:pPr>
        <w:ind w:left="540" w:hanging="237"/>
        <w:spacing w:after="0"/>
        <w:tabs>
          <w:tab w:leader="none" w:pos="5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shall mean the Securities Exchange Act of 1934, as amended, and the rules and regulations thereunder.</w:t>
      </w:r>
    </w:p>
    <w:p>
      <w:pPr>
        <w:spacing w:after="0" w:line="207" w:lineRule="exact"/>
        <w:rPr>
          <w:rFonts w:ascii="Times New Roman" w:cs="Times New Roman" w:eastAsia="Times New Roman" w:hAnsi="Times New Roman"/>
          <w:sz w:val="17"/>
          <w:szCs w:val="17"/>
          <w:color w:val="auto"/>
        </w:rPr>
      </w:pPr>
    </w:p>
    <w:p>
      <w:pPr>
        <w:ind w:left="520" w:hanging="217"/>
        <w:spacing w:after="0"/>
        <w:tabs>
          <w:tab w:leader="none" w:pos="5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Fair Market Value</w:t>
      </w:r>
      <w:r>
        <w:rPr>
          <w:rFonts w:ascii="Times New Roman" w:cs="Times New Roman" w:eastAsia="Times New Roman" w:hAnsi="Times New Roman"/>
          <w:sz w:val="17"/>
          <w:szCs w:val="17"/>
          <w:color w:val="auto"/>
        </w:rPr>
        <w:t>” shall mean:</w:t>
      </w:r>
    </w:p>
    <w:p>
      <w:pPr>
        <w:spacing w:after="0" w:line="207" w:lineRule="exact"/>
        <w:rPr>
          <w:rFonts w:ascii="Times New Roman" w:cs="Times New Roman" w:eastAsia="Times New Roman" w:hAnsi="Times New Roman"/>
          <w:sz w:val="17"/>
          <w:szCs w:val="17"/>
          <w:color w:val="auto"/>
        </w:rPr>
      </w:pPr>
    </w:p>
    <w:p>
      <w:pPr>
        <w:jc w:val="both"/>
        <w:ind w:firstLine="606"/>
        <w:spacing w:after="0" w:line="251" w:lineRule="auto"/>
        <w:tabs>
          <w:tab w:leader="none" w:pos="813"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the Corporation’s Common Stock is publicly traded, the Fair Market Value of such Common Stock on a Trading Day shall mean the closing price of the Common Stock on such Trading Day as reported by the national securities exchange on which the Common Stock then has its primary listing or by the quotation system on which the Common Stock is primarily quoted; provided, however, that, if no sale of shares of Common Stock shall have been reported on such Trading Day, then the immediately preceding Trading Day on which a sale of shares of Common Stock has been so reported shall be used. For purposes of this definition, a “Trading Day” shall mean, if the Common Stock is listed on any national securities exchange, a business day during which such exchange was open for trading and at least one trade of Common Stock was effected on such exchange on such business day, or, if the Common Stock is not listed on any national securities exchange but is traded in the over-the-counter market, a business day during which the over-the-counter market was open for trading and at least one “eligible dealer” quoted both a bid and asked price for the Common Stock. An “eligible dealer” for any day shall include any broker-dealer who quoted both a bid and asked price for such day but shall not include any broker-dealer who quoted only a bid or only an asked price for such day.</w:t>
      </w:r>
    </w:p>
    <w:p>
      <w:pPr>
        <w:spacing w:after="0" w:line="177" w:lineRule="exact"/>
        <w:rPr>
          <w:rFonts w:ascii="Times New Roman" w:cs="Times New Roman" w:eastAsia="Times New Roman" w:hAnsi="Times New Roman"/>
          <w:sz w:val="17"/>
          <w:szCs w:val="17"/>
          <w:color w:val="auto"/>
        </w:rPr>
      </w:pPr>
    </w:p>
    <w:p>
      <w:pPr>
        <w:jc w:val="both"/>
        <w:ind w:firstLine="606"/>
        <w:spacing w:after="0" w:line="252" w:lineRule="auto"/>
        <w:tabs>
          <w:tab w:leader="none" w:pos="854"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the Corporation’s Common Stock is not publicly traded, the Fair Market Value of such Common Stock shall be determined by the Committee in good faith pursuant to the requirements of Treas. Reg. §1.409A-1(b)(5)(iv)(B). The Committee shall determine the Fair Market Value of such Common Stock by reference to the most recent valuation performed by an appraisal or valuation firm selected by the Corporation. If the most recent valuation performed by an appraisal or valuation firm selected by the Corporation is more than 12) months old, then the Committee shall select an appraisal or valuation firm to perform an updated valuation. The appraisal or valuation firm shall be independent of the Corporation and the Participant (or selling stockholder as the case may be). The selection of the appraisal or valuation firm by the Committee shall be final and binding on all persons. The Corporation shall pay the fees and expenses of the appraisal or valuation firm.</w:t>
      </w:r>
    </w:p>
    <w:p>
      <w:pPr>
        <w:spacing w:after="0" w:line="177" w:lineRule="exact"/>
        <w:rPr>
          <w:rFonts w:ascii="Times New Roman" w:cs="Times New Roman" w:eastAsia="Times New Roman" w:hAnsi="Times New Roman"/>
          <w:sz w:val="17"/>
          <w:szCs w:val="17"/>
          <w:color w:val="auto"/>
        </w:rPr>
      </w:pPr>
    </w:p>
    <w:p>
      <w:pPr>
        <w:ind w:left="520" w:hanging="217"/>
        <w:spacing w:after="0"/>
        <w:tabs>
          <w:tab w:leader="none" w:pos="5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Freestanding SAR</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Freestanding Stock Appreciation Right</w:t>
      </w:r>
      <w:r>
        <w:rPr>
          <w:rFonts w:ascii="Times New Roman" w:cs="Times New Roman" w:eastAsia="Times New Roman" w:hAnsi="Times New Roman"/>
          <w:sz w:val="17"/>
          <w:szCs w:val="17"/>
          <w:color w:val="auto"/>
        </w:rPr>
        <w:t>” shall mean an SAR that is granted independently of any Option.</w:t>
      </w:r>
    </w:p>
    <w:p>
      <w:pPr>
        <w:spacing w:after="0" w:line="207" w:lineRule="exact"/>
        <w:rPr>
          <w:rFonts w:ascii="Times New Roman" w:cs="Times New Roman" w:eastAsia="Times New Roman" w:hAnsi="Times New Roman"/>
          <w:sz w:val="17"/>
          <w:szCs w:val="17"/>
          <w:color w:val="auto"/>
        </w:rPr>
      </w:pPr>
    </w:p>
    <w:p>
      <w:pPr>
        <w:jc w:val="both"/>
        <w:ind w:firstLine="303"/>
        <w:spacing w:after="0" w:line="254" w:lineRule="auto"/>
        <w:tabs>
          <w:tab w:leader="none" w:pos="503"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Good Reason</w:t>
      </w:r>
      <w:r>
        <w:rPr>
          <w:rFonts w:ascii="Times New Roman" w:cs="Times New Roman" w:eastAsia="Times New Roman" w:hAnsi="Times New Roman"/>
          <w:sz w:val="17"/>
          <w:szCs w:val="17"/>
          <w:color w:val="auto"/>
        </w:rPr>
        <w:t>” shall, with respect to a Participant (i) have the same meaning as “good reason” or similar term set forth in an employment, consulting, advisory or similar contract entered into by and between the Participant and the Corporation or any Affiliate (but only to the extent such meaning or meanings satisfy the requirements for “good reason” as set forth under Treas. Reg. §1.409A-1(n)(2)(ii)) or, (ii) in the absence of any such contract or defined term, have the “safe-harbor” meaning set forth in such regulation section, and, in the case of both clauses (i) and (ii), a termination of employment or other services shall be deemed to have occurred for Good Reason only if the procedural and time limitation provisions of Treas. Reg. §§1.409A-1(n)(2)(ii)(A), (B) and (C) are satisfied.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7" w:name="page38"/>
    <w:bookmarkEnd w:id="37"/>
    <w:p>
      <w:pPr>
        <w:ind w:firstLine="303"/>
        <w:spacing w:after="0" w:line="274" w:lineRule="auto"/>
        <w:tabs>
          <w:tab w:leader="none" w:pos="541"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Incentive Stock Option</w:t>
      </w:r>
      <w:r>
        <w:rPr>
          <w:rFonts w:ascii="Times New Roman" w:cs="Times New Roman" w:eastAsia="Times New Roman" w:hAnsi="Times New Roman"/>
          <w:sz w:val="17"/>
          <w:szCs w:val="17"/>
          <w:color w:val="auto"/>
        </w:rPr>
        <w:t>” shall mean a stock option satisfying the requirements for tax-favored treatment under Section 422 of the Code and which is intended by the Committee to be treated as an incentive stock option under Code Section 422.</w:t>
      </w:r>
    </w:p>
    <w:p>
      <w:pPr>
        <w:spacing w:after="0" w:line="158" w:lineRule="exact"/>
        <w:rPr>
          <w:rFonts w:ascii="Times New Roman" w:cs="Times New Roman" w:eastAsia="Times New Roman" w:hAnsi="Times New Roman"/>
          <w:sz w:val="17"/>
          <w:szCs w:val="17"/>
          <w:color w:val="auto"/>
        </w:rPr>
      </w:pPr>
    </w:p>
    <w:p>
      <w:pPr>
        <w:ind w:firstLine="303"/>
        <w:spacing w:after="0" w:line="274" w:lineRule="auto"/>
        <w:tabs>
          <w:tab w:leader="none" w:pos="56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Initial or Secondary Public Offering</w:t>
      </w:r>
      <w:r>
        <w:rPr>
          <w:rFonts w:ascii="Times New Roman" w:cs="Times New Roman" w:eastAsia="Times New Roman" w:hAnsi="Times New Roman"/>
          <w:sz w:val="17"/>
          <w:szCs w:val="17"/>
          <w:color w:val="auto"/>
        </w:rPr>
        <w:t>” shall mean the completion of the sale of shares of the Corporation’s equity securities pursuant to an effective registration statement described under the Securities Act of 1933, as amended.</w:t>
      </w:r>
    </w:p>
    <w:p>
      <w:pPr>
        <w:spacing w:after="0" w:line="158" w:lineRule="exact"/>
        <w:rPr>
          <w:rFonts w:ascii="Times New Roman" w:cs="Times New Roman" w:eastAsia="Times New Roman" w:hAnsi="Times New Roman"/>
          <w:sz w:val="17"/>
          <w:szCs w:val="17"/>
          <w:color w:val="auto"/>
        </w:rPr>
      </w:pPr>
    </w:p>
    <w:p>
      <w:pPr>
        <w:ind w:left="580" w:hanging="277"/>
        <w:spacing w:after="0"/>
        <w:tabs>
          <w:tab w:leader="none" w:pos="5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Non-Employee Director</w:t>
      </w:r>
      <w:r>
        <w:rPr>
          <w:rFonts w:ascii="Times New Roman" w:cs="Times New Roman" w:eastAsia="Times New Roman" w:hAnsi="Times New Roman"/>
          <w:sz w:val="17"/>
          <w:szCs w:val="17"/>
          <w:color w:val="auto"/>
        </w:rPr>
        <w:t>” shall mean a member of the Board of Directors of the Corporation who is not an Employee.</w:t>
      </w:r>
    </w:p>
    <w:p>
      <w:pPr>
        <w:spacing w:after="0" w:line="207" w:lineRule="exact"/>
        <w:rPr>
          <w:rFonts w:ascii="Times New Roman" w:cs="Times New Roman" w:eastAsia="Times New Roman" w:hAnsi="Times New Roman"/>
          <w:sz w:val="17"/>
          <w:szCs w:val="17"/>
          <w:color w:val="auto"/>
        </w:rPr>
      </w:pPr>
    </w:p>
    <w:p>
      <w:pPr>
        <w:ind w:firstLine="303"/>
        <w:spacing w:after="0" w:line="274" w:lineRule="auto"/>
        <w:tabs>
          <w:tab w:leader="none" w:pos="56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Non-Qualified Option</w:t>
      </w:r>
      <w:r>
        <w:rPr>
          <w:rFonts w:ascii="Times New Roman" w:cs="Times New Roman" w:eastAsia="Times New Roman" w:hAnsi="Times New Roman"/>
          <w:sz w:val="17"/>
          <w:szCs w:val="17"/>
          <w:color w:val="auto"/>
        </w:rPr>
        <w:t>” shall mean a stock option which does not satisfy the requirements for, or which is not intended to be eligible for, tax-favored treatment under Section 422 of the Code.</w:t>
      </w:r>
    </w:p>
    <w:p>
      <w:pPr>
        <w:spacing w:after="0" w:line="158" w:lineRule="exact"/>
        <w:rPr>
          <w:rFonts w:ascii="Times New Roman" w:cs="Times New Roman" w:eastAsia="Times New Roman" w:hAnsi="Times New Roman"/>
          <w:sz w:val="17"/>
          <w:szCs w:val="17"/>
          <w:color w:val="auto"/>
        </w:rPr>
      </w:pPr>
    </w:p>
    <w:p>
      <w:pPr>
        <w:jc w:val="both"/>
        <w:ind w:firstLine="303"/>
        <w:spacing w:after="0" w:line="261" w:lineRule="auto"/>
        <w:tabs>
          <w:tab w:leader="none" w:pos="541"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Option</w:t>
      </w:r>
      <w:r>
        <w:rPr>
          <w:rFonts w:ascii="Times New Roman" w:cs="Times New Roman" w:eastAsia="Times New Roman" w:hAnsi="Times New Roman"/>
          <w:sz w:val="17"/>
          <w:szCs w:val="17"/>
          <w:color w:val="auto"/>
        </w:rPr>
        <w:t>” shall mean a right to purchase shares of Common Stock at a specified exercise price that is granted under Article V. An Option shall be either a Non-Qualified Option or an Incentive Stock Option; provided, however, that Options granted to Non-Employee Directors and Consultants shall only be Non-Qualified Options.</w:t>
      </w:r>
    </w:p>
    <w:p>
      <w:pPr>
        <w:spacing w:after="0" w:line="169" w:lineRule="exact"/>
        <w:rPr>
          <w:rFonts w:ascii="Times New Roman" w:cs="Times New Roman" w:eastAsia="Times New Roman" w:hAnsi="Times New Roman"/>
          <w:sz w:val="17"/>
          <w:szCs w:val="17"/>
          <w:color w:val="auto"/>
        </w:rPr>
      </w:pPr>
    </w:p>
    <w:p>
      <w:pPr>
        <w:ind w:left="540" w:hanging="237"/>
        <w:spacing w:after="0"/>
        <w:tabs>
          <w:tab w:leader="none" w:pos="5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Optionee</w:t>
      </w:r>
      <w:r>
        <w:rPr>
          <w:rFonts w:ascii="Times New Roman" w:cs="Times New Roman" w:eastAsia="Times New Roman" w:hAnsi="Times New Roman"/>
          <w:sz w:val="17"/>
          <w:szCs w:val="17"/>
          <w:color w:val="auto"/>
        </w:rPr>
        <w:t>” shall mean a Participant who is granted an Option under the terms of the Plan.</w:t>
      </w:r>
    </w:p>
    <w:p>
      <w:pPr>
        <w:spacing w:after="0" w:line="208" w:lineRule="exact"/>
        <w:rPr>
          <w:sz w:val="20"/>
          <w:szCs w:val="20"/>
          <w:color w:val="auto"/>
        </w:rPr>
      </w:pPr>
    </w:p>
    <w:p>
      <w:pPr>
        <w:jc w:val="both"/>
        <w:ind w:firstLine="303"/>
        <w:spacing w:after="0" w:line="261" w:lineRule="auto"/>
        <w:tabs>
          <w:tab w:leader="none" w:pos="631"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shall mean a parent corporation of the Corporation within the meaning of Section 424(e) of the Code. However, a corporation that otherwise qualifies as a Parent will not be so defined if the Plan Award it grants with Common Stock will render the Common Stock not to be Service Recipient Stock (as defined in Section I(j) hereof).</w:t>
      </w:r>
    </w:p>
    <w:p>
      <w:pPr>
        <w:spacing w:after="0" w:line="169" w:lineRule="exact"/>
        <w:rPr>
          <w:rFonts w:ascii="Times New Roman" w:cs="Times New Roman" w:eastAsia="Times New Roman" w:hAnsi="Times New Roman"/>
          <w:sz w:val="17"/>
          <w:szCs w:val="17"/>
          <w:color w:val="auto"/>
        </w:rPr>
      </w:pPr>
    </w:p>
    <w:p>
      <w:pPr>
        <w:ind w:firstLine="303"/>
        <w:spacing w:after="0" w:line="274" w:lineRule="auto"/>
        <w:tabs>
          <w:tab w:leader="none" w:pos="62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Participant</w:t>
      </w:r>
      <w:r>
        <w:rPr>
          <w:rFonts w:ascii="Times New Roman" w:cs="Times New Roman" w:eastAsia="Times New Roman" w:hAnsi="Times New Roman"/>
          <w:sz w:val="17"/>
          <w:szCs w:val="17"/>
          <w:color w:val="auto"/>
        </w:rPr>
        <w:t>” shall mean any Employee, Consultant, member of the Board of Directors or other person identified in Section IV(a), hereof, who is granted a Plan Award under the Plan.</w:t>
      </w:r>
    </w:p>
    <w:p>
      <w:pPr>
        <w:spacing w:after="0" w:line="158" w:lineRule="exact"/>
        <w:rPr>
          <w:rFonts w:ascii="Times New Roman" w:cs="Times New Roman" w:eastAsia="Times New Roman" w:hAnsi="Times New Roman"/>
          <w:sz w:val="17"/>
          <w:szCs w:val="17"/>
          <w:color w:val="auto"/>
        </w:rPr>
      </w:pPr>
    </w:p>
    <w:p>
      <w:pPr>
        <w:ind w:firstLine="303"/>
        <w:spacing w:after="0" w:line="307" w:lineRule="auto"/>
        <w:tabs>
          <w:tab w:leader="none" w:pos="606"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Performance Share</w:t>
      </w:r>
      <w:r>
        <w:rPr>
          <w:rFonts w:ascii="Times New Roman" w:cs="Times New Roman" w:eastAsia="Times New Roman" w:hAnsi="Times New Roman"/>
          <w:sz w:val="16"/>
          <w:szCs w:val="16"/>
          <w:color w:val="auto"/>
        </w:rPr>
        <w:t>” shall mean a Plan Award granted pursuant to the provisions of Article VII hereof, which is similar to Restricted Stock, but which Award is based upon any performance factor established by the Committee on or prior to the date of grant of such Plan Award, pursuant to the provisions of such Article.</w:t>
      </w:r>
    </w:p>
    <w:p>
      <w:pPr>
        <w:spacing w:after="0" w:line="134" w:lineRule="exact"/>
        <w:rPr>
          <w:rFonts w:ascii="Times New Roman" w:cs="Times New Roman" w:eastAsia="Times New Roman" w:hAnsi="Times New Roman"/>
          <w:sz w:val="16"/>
          <w:szCs w:val="16"/>
          <w:color w:val="auto"/>
        </w:rPr>
      </w:pPr>
    </w:p>
    <w:p>
      <w:pPr>
        <w:ind w:firstLine="303"/>
        <w:spacing w:after="0" w:line="274" w:lineRule="auto"/>
        <w:tabs>
          <w:tab w:leader="none" w:pos="62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Performance Unit</w:t>
      </w:r>
      <w:r>
        <w:rPr>
          <w:rFonts w:ascii="Times New Roman" w:cs="Times New Roman" w:eastAsia="Times New Roman" w:hAnsi="Times New Roman"/>
          <w:sz w:val="17"/>
          <w:szCs w:val="17"/>
          <w:color w:val="auto"/>
        </w:rPr>
        <w:t>” shall mean a Plan Award granted pursuant to the provisions of Article VIII hereof, which is similar to a Restricted Stock Unit, but which Award is based upon any performance factor established by the Committee pursuant to the provisions of such Article.</w:t>
      </w:r>
    </w:p>
    <w:p>
      <w:pPr>
        <w:spacing w:after="0" w:line="158" w:lineRule="exact"/>
        <w:rPr>
          <w:rFonts w:ascii="Times New Roman" w:cs="Times New Roman" w:eastAsia="Times New Roman" w:hAnsi="Times New Roman"/>
          <w:sz w:val="17"/>
          <w:szCs w:val="17"/>
          <w:color w:val="auto"/>
        </w:rPr>
      </w:pPr>
    </w:p>
    <w:p>
      <w:pPr>
        <w:jc w:val="both"/>
        <w:ind w:firstLine="303"/>
        <w:spacing w:after="0" w:line="261" w:lineRule="auto"/>
        <w:tabs>
          <w:tab w:leader="none" w:pos="60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Transferee</w:t>
      </w:r>
      <w:r>
        <w:rPr>
          <w:rFonts w:ascii="Times New Roman" w:cs="Times New Roman" w:eastAsia="Times New Roman" w:hAnsi="Times New Roman"/>
          <w:sz w:val="17"/>
          <w:szCs w:val="17"/>
          <w:color w:val="auto"/>
        </w:rPr>
        <w:t>” shall mean, with respect to a Participant, any “family member” (as defined under the instructions related to the Form S-8 Registration Statement under the Securities Act) of the Participant who has acquired a Plan Award from such Participant through a gift or pursuant to a DRO, or any other transferee specifically approved by the Committee after taking into account Applicable Law.</w:t>
      </w:r>
    </w:p>
    <w:p>
      <w:pPr>
        <w:spacing w:after="0" w:line="169" w:lineRule="exact"/>
        <w:rPr>
          <w:rFonts w:ascii="Times New Roman" w:cs="Times New Roman" w:eastAsia="Times New Roman" w:hAnsi="Times New Roman"/>
          <w:sz w:val="17"/>
          <w:szCs w:val="17"/>
          <w:color w:val="auto"/>
        </w:rPr>
      </w:pPr>
    </w:p>
    <w:p>
      <w:pPr>
        <w:ind w:firstLine="303"/>
        <w:spacing w:after="0" w:line="274" w:lineRule="auto"/>
        <w:tabs>
          <w:tab w:leader="none" w:pos="591"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Plan Award</w:t>
      </w:r>
      <w:r>
        <w:rPr>
          <w:rFonts w:ascii="Times New Roman" w:cs="Times New Roman" w:eastAsia="Times New Roman" w:hAnsi="Times New Roman"/>
          <w:sz w:val="17"/>
          <w:szCs w:val="17"/>
          <w:color w:val="auto"/>
        </w:rPr>
        <w:t>” shall mean an Option, Performance Share, Performance Unit, share of Restricted Stock, Restricted Stock Unit, Cash Incentive or Stock Appreciation Right granted pursuant to the terms of the Plan (including any sub-plan).</w:t>
      </w:r>
    </w:p>
    <w:p>
      <w:pPr>
        <w:spacing w:after="0" w:line="158" w:lineRule="exact"/>
        <w:rPr>
          <w:rFonts w:ascii="Times New Roman" w:cs="Times New Roman" w:eastAsia="Times New Roman" w:hAnsi="Times New Roman"/>
          <w:sz w:val="17"/>
          <w:szCs w:val="17"/>
          <w:color w:val="auto"/>
        </w:rPr>
      </w:pPr>
    </w:p>
    <w:p>
      <w:pPr>
        <w:ind w:firstLine="303"/>
        <w:spacing w:after="0" w:line="274" w:lineRule="auto"/>
        <w:tabs>
          <w:tab w:leader="none" w:pos="62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Stock</w:t>
      </w:r>
      <w:r>
        <w:rPr>
          <w:rFonts w:ascii="Times New Roman" w:cs="Times New Roman" w:eastAsia="Times New Roman" w:hAnsi="Times New Roman"/>
          <w:sz w:val="17"/>
          <w:szCs w:val="17"/>
          <w:color w:val="auto"/>
        </w:rPr>
        <w:t>” shall mean a grant of one or more shares of Common Stock subject to certain restrictions as provided under Article VII hereof and the related Award Agreement.</w:t>
      </w:r>
    </w:p>
    <w:p>
      <w:pPr>
        <w:spacing w:after="0" w:line="158" w:lineRule="exact"/>
        <w:rPr>
          <w:rFonts w:ascii="Times New Roman" w:cs="Times New Roman" w:eastAsia="Times New Roman" w:hAnsi="Times New Roman"/>
          <w:sz w:val="17"/>
          <w:szCs w:val="17"/>
          <w:color w:val="auto"/>
        </w:rPr>
      </w:pPr>
    </w:p>
    <w:p>
      <w:pPr>
        <w:ind w:firstLine="303"/>
        <w:spacing w:after="0" w:line="274" w:lineRule="auto"/>
        <w:tabs>
          <w:tab w:leader="none" w:pos="637"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Stock Unit</w:t>
      </w:r>
      <w:r>
        <w:rPr>
          <w:rFonts w:ascii="Times New Roman" w:cs="Times New Roman" w:eastAsia="Times New Roman" w:hAnsi="Times New Roman"/>
          <w:sz w:val="17"/>
          <w:szCs w:val="17"/>
          <w:color w:val="auto"/>
        </w:rPr>
        <w:t>” shall mean a right to receive one share of Common Stock at a date, and subject to any and all restrictions, set forth in the related Award Agreement, as provided in Article VIII, hereof.</w:t>
      </w:r>
    </w:p>
    <w:p>
      <w:pPr>
        <w:spacing w:after="0" w:line="158" w:lineRule="exact"/>
        <w:rPr>
          <w:rFonts w:ascii="Times New Roman" w:cs="Times New Roman" w:eastAsia="Times New Roman" w:hAnsi="Times New Roman"/>
          <w:sz w:val="17"/>
          <w:szCs w:val="17"/>
          <w:color w:val="auto"/>
        </w:rPr>
      </w:pPr>
    </w:p>
    <w:p>
      <w:pPr>
        <w:ind w:left="560" w:hanging="257"/>
        <w:spacing w:after="0"/>
        <w:tabs>
          <w:tab w:leader="none" w:pos="5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shall mean the Securities Act of 1933, as amended, and the rules and regulations thereunder.</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8" w:name="page39"/>
    <w:bookmarkEnd w:id="38"/>
    <w:p>
      <w:pPr>
        <w:ind w:left="560" w:hanging="257"/>
        <w:spacing w:after="0"/>
        <w:tabs>
          <w:tab w:leader="none" w:pos="5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Service</w:t>
      </w:r>
      <w:r>
        <w:rPr>
          <w:rFonts w:ascii="Times New Roman" w:cs="Times New Roman" w:eastAsia="Times New Roman" w:hAnsi="Times New Roman"/>
          <w:sz w:val="16"/>
          <w:szCs w:val="16"/>
          <w:color w:val="auto"/>
        </w:rPr>
        <w:t>” shall mean personal service performed for the Corporation or an Affiliate as an Employee, member of the Board or as a Consultant, as appropriate.</w:t>
      </w:r>
    </w:p>
    <w:p>
      <w:pPr>
        <w:spacing w:after="0" w:line="219" w:lineRule="exact"/>
        <w:rPr>
          <w:rFonts w:ascii="Times New Roman" w:cs="Times New Roman" w:eastAsia="Times New Roman" w:hAnsi="Times New Roman"/>
          <w:sz w:val="16"/>
          <w:szCs w:val="16"/>
          <w:color w:val="auto"/>
        </w:rPr>
      </w:pPr>
    </w:p>
    <w:p>
      <w:pPr>
        <w:ind w:firstLine="303"/>
        <w:spacing w:after="0" w:line="274" w:lineRule="auto"/>
        <w:tabs>
          <w:tab w:leader="none" w:pos="62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Stock Appreciation Right</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SAR</w:t>
      </w:r>
      <w:r>
        <w:rPr>
          <w:rFonts w:ascii="Times New Roman" w:cs="Times New Roman" w:eastAsia="Times New Roman" w:hAnsi="Times New Roman"/>
          <w:sz w:val="17"/>
          <w:szCs w:val="17"/>
          <w:color w:val="auto"/>
        </w:rPr>
        <w:t>” shall mean a right, granted alone or in connection with a related Option, designated as an SAR, to receive a payment on the day the right is exercised, pursuant to the terms of Article VI hereof. Each SAR shall be denominated in terms of one share of Common Stock.</w:t>
      </w:r>
    </w:p>
    <w:p>
      <w:pPr>
        <w:spacing w:after="0" w:line="158" w:lineRule="exact"/>
        <w:rPr>
          <w:rFonts w:ascii="Times New Roman" w:cs="Times New Roman" w:eastAsia="Times New Roman" w:hAnsi="Times New Roman"/>
          <w:sz w:val="17"/>
          <w:szCs w:val="17"/>
          <w:color w:val="auto"/>
        </w:rPr>
      </w:pPr>
    </w:p>
    <w:p>
      <w:pPr>
        <w:jc w:val="both"/>
        <w:ind w:firstLine="303"/>
        <w:spacing w:after="0" w:line="256" w:lineRule="auto"/>
        <w:tabs>
          <w:tab w:leader="none" w:pos="563"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Substitute Award</w:t>
      </w:r>
      <w:r>
        <w:rPr>
          <w:rFonts w:ascii="Times New Roman" w:cs="Times New Roman" w:eastAsia="Times New Roman" w:hAnsi="Times New Roman"/>
          <w:sz w:val="17"/>
          <w:szCs w:val="17"/>
          <w:color w:val="auto"/>
        </w:rPr>
        <w:t>” shall mean a Plan Award granted under the Plan upon the assumption of, or in substitution for, outstanding equity awards previously granted by a company or other entity in connection with a corporate transaction, such as a merger, combination, consolidation or acquisition of property or stock; provided, however, that in no event shall the term “Substitute Award” be construed to refer to an award made in connection with the cancellation and repricing of an Option or Stock Appreciation Right.</w:t>
      </w:r>
    </w:p>
    <w:p>
      <w:pPr>
        <w:spacing w:after="0" w:line="174" w:lineRule="exact"/>
        <w:rPr>
          <w:rFonts w:ascii="Times New Roman" w:cs="Times New Roman" w:eastAsia="Times New Roman" w:hAnsi="Times New Roman"/>
          <w:sz w:val="17"/>
          <w:szCs w:val="17"/>
          <w:color w:val="auto"/>
        </w:rPr>
      </w:pPr>
    </w:p>
    <w:p>
      <w:pPr>
        <w:jc w:val="both"/>
        <w:ind w:firstLine="303"/>
        <w:spacing w:after="0" w:line="261" w:lineRule="auto"/>
        <w:tabs>
          <w:tab w:leader="none" w:pos="743"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shall mean a subsidiary corporation of the Corporation within the meaning of Section 424(f) of the Code. However, a corporation that otherwise qualifies as a Subsidiary will not be so defined if the Plan Award it grants with Common Stock will render the Common Stock not to be Service Recipient Stock (as defined in Section I(j) hereof).</w:t>
      </w:r>
    </w:p>
    <w:p>
      <w:pPr>
        <w:spacing w:after="0" w:line="169" w:lineRule="exact"/>
        <w:rPr>
          <w:rFonts w:ascii="Times New Roman" w:cs="Times New Roman" w:eastAsia="Times New Roman" w:hAnsi="Times New Roman"/>
          <w:sz w:val="17"/>
          <w:szCs w:val="17"/>
          <w:color w:val="auto"/>
        </w:rPr>
      </w:pPr>
    </w:p>
    <w:p>
      <w:pPr>
        <w:jc w:val="both"/>
        <w:ind w:firstLine="303"/>
        <w:spacing w:after="0" w:line="261" w:lineRule="auto"/>
        <w:tabs>
          <w:tab w:leader="none" w:pos="62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Tandem SAR</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Tandem Stock Appreciation Right</w:t>
      </w:r>
      <w:r>
        <w:rPr>
          <w:rFonts w:ascii="Times New Roman" w:cs="Times New Roman" w:eastAsia="Times New Roman" w:hAnsi="Times New Roman"/>
          <w:sz w:val="17"/>
          <w:szCs w:val="17"/>
          <w:color w:val="auto"/>
        </w:rPr>
        <w:t>” shall mean an SAR that is granted in connection with a related Option, the exercise of which shall require forfeiture of the right to purchase a share of Common Stock under the related Option (and when a share of Common Stock is purchased under such Option, the Tandem SAR being similarly canceled).</w:t>
      </w:r>
    </w:p>
    <w:p>
      <w:pPr>
        <w:spacing w:after="0" w:line="169" w:lineRule="exact"/>
        <w:rPr>
          <w:rFonts w:ascii="Times New Roman" w:cs="Times New Roman" w:eastAsia="Times New Roman" w:hAnsi="Times New Roman"/>
          <w:sz w:val="17"/>
          <w:szCs w:val="17"/>
          <w:color w:val="auto"/>
        </w:rPr>
      </w:pPr>
    </w:p>
    <w:p>
      <w:pPr>
        <w:jc w:val="both"/>
        <w:ind w:firstLine="303"/>
        <w:spacing w:after="0" w:line="254" w:lineRule="auto"/>
        <w:tabs>
          <w:tab w:leader="none" w:pos="662"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Termination of Consulting Relationship</w:t>
      </w:r>
      <w:r>
        <w:rPr>
          <w:rFonts w:ascii="Times New Roman" w:cs="Times New Roman" w:eastAsia="Times New Roman" w:hAnsi="Times New Roman"/>
          <w:sz w:val="17"/>
          <w:szCs w:val="17"/>
          <w:color w:val="auto"/>
        </w:rPr>
        <w:t>” shall mean the cessation, abridgment or termination of a Consultant’s Consulting Relationship with the Corporation or any Affiliate as a result of (i) the Consultant’s death, Disability or resignation, (ii) the cancellation, annulment, expiration, termination or breach of the written consulting contract between the Corporation (or any Affiliate) and the Consultant (or any other entity) giving rise to the Consulting Relationship or (iii) if the written consulting contract is not directly between the Corporation (or any Affiliate) and the Consultant, the Consultant’s termination of service with, or sale of all or substantially all of his equity interest in, the entity which has entered into the written consulting contract with the Corporation or Affiliate.</w:t>
      </w:r>
    </w:p>
    <w:p>
      <w:pPr>
        <w:spacing w:after="0" w:line="175" w:lineRule="exact"/>
        <w:rPr>
          <w:rFonts w:ascii="Times New Roman" w:cs="Times New Roman" w:eastAsia="Times New Roman" w:hAnsi="Times New Roman"/>
          <w:sz w:val="17"/>
          <w:szCs w:val="17"/>
          <w:color w:val="auto"/>
        </w:rPr>
      </w:pPr>
    </w:p>
    <w:p>
      <w:pPr>
        <w:ind w:firstLine="303"/>
        <w:spacing w:after="0" w:line="274" w:lineRule="auto"/>
        <w:tabs>
          <w:tab w:leader="none" w:pos="62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Termination of Service</w:t>
      </w:r>
      <w:r>
        <w:rPr>
          <w:rFonts w:ascii="Times New Roman" w:cs="Times New Roman" w:eastAsia="Times New Roman" w:hAnsi="Times New Roman"/>
          <w:sz w:val="17"/>
          <w:szCs w:val="17"/>
          <w:color w:val="auto"/>
        </w:rPr>
        <w:t>” shall mean the termination of a person’s active and full-time Service as a member of the Board, as an Employee or, in the case of a Consultant, his Termination of Consulting Relationship.</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ADMINISTRATION</w:t>
      </w:r>
    </w:p>
    <w:p>
      <w:pPr>
        <w:spacing w:after="0" w:line="192" w:lineRule="exact"/>
        <w:rPr>
          <w:sz w:val="20"/>
          <w:szCs w:val="20"/>
          <w:color w:val="auto"/>
        </w:rPr>
      </w:pPr>
    </w:p>
    <w:p>
      <w:pPr>
        <w:jc w:val="both"/>
        <w:ind w:firstLine="303"/>
        <w:spacing w:after="0" w:line="267" w:lineRule="auto"/>
        <w:tabs>
          <w:tab w:leader="none" w:pos="531"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Committee</w:t>
      </w:r>
      <w:r>
        <w:rPr>
          <w:rFonts w:ascii="Times New Roman" w:cs="Times New Roman" w:eastAsia="Times New Roman" w:hAnsi="Times New Roman"/>
          <w:sz w:val="16"/>
          <w:szCs w:val="16"/>
          <w:color w:val="auto"/>
        </w:rPr>
        <w:t>. The Committee (or another committee or a subcommittee of the Board assuming the functions of the Committee under the Plan) shall administer the Plan (except as otherwise provided herein) and, unless otherwise determined by the Board, shall consist solely of two or more Non-Employee Directors appointed by and holding office at the pleasure of the Board, each of whom is intended to qualify as (i) a “non-employee director” as defined by Rule 16b-3 of the Exchange Act or any successor rule and (ii) an “independent director” under the rules of any national securities exchange or automated quotation system on which the shares of Common Stock are listed, quoted or traded; provided that any action taken by the Committee shall be valid and effective, whether or not members of the Committee at the time of such action are later determined not to have satisfied the requirements for membership set forth above in this Section II(a) or otherwise provided in any charter of the Committee. Except as may otherwise be provided in any charter of the Committee, appointment of Committee members shall be effective upon acceptance of appointment. Committee members may resign at any time by delivering written or electronic notice to the Board. Vacancies in the Committee may only be filled by the Board. Notwithstanding the foregoing, (i) the full Board, acting by a majority of its members in office, shall conduct the general administration of the Plan with respect to Plan Awards granted to Non-Employee Directors (and, if the Committee does not consist solely of two or more Non-Employee Directors, Plan Awards granted to individuals subject to the provisions of Section 16 of the Exchange Act) and, with respect to such Plan Awards, the term “Committee” as used in the Plan shall be deemed to refer to the Board and (ii) the Board or Committee may delegate its authority hereunder to the extent permitted by Section II(f).</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9" w:name="page40"/>
    <w:bookmarkEnd w:id="39"/>
    <w:p>
      <w:pPr>
        <w:jc w:val="both"/>
        <w:ind w:firstLine="303"/>
        <w:spacing w:after="0" w:line="251" w:lineRule="auto"/>
        <w:tabs>
          <w:tab w:leader="none" w:pos="5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Duties and Powers of Committee</w:t>
      </w:r>
      <w:r>
        <w:rPr>
          <w:rFonts w:ascii="Times New Roman" w:cs="Times New Roman" w:eastAsia="Times New Roman" w:hAnsi="Times New Roman"/>
          <w:sz w:val="17"/>
          <w:szCs w:val="17"/>
          <w:color w:val="auto"/>
        </w:rPr>
        <w:t>. It shall be the duty of the Committee to conduct the general administration of the Plan in accordance with its provisions. The Committee shall have the power to interpret the Plan and the Award Agreements, and to adopt such rules for the administration, interpretation and application of the Plan as are not inconsistent therewith, to interpret, amend or revoke any such rules and to amend any Award Agreement; provided that the rights, or obligations, of the Participant that are provided under any such Award Agreement are not adversely affected by such amendment, unless the consent of the Participant is obtained or such amendment is otherwise explicitly permitted under the Plan. Any such Plan Award made under the Plan need not be the same with respect to each Participant. Any such interpretations and rules with respect to Incentive Stock Options shall be consistent with the provisions of Section 422 of the Code. In its sole discretion, the Board may at any time and from time to time exercise any and all rights and duties of the Committee under the Plan except with respect to matters which under Rule 16b-3 under the Exchange Act or any successor rule or the rules of any national securities exchange or automated quotation system on which the shares of Common Stock are listed, quoted or traded are required to be determined in the sole discretion of the Committee.</w:t>
      </w:r>
    </w:p>
    <w:p>
      <w:pPr>
        <w:spacing w:after="0" w:line="177" w:lineRule="exact"/>
        <w:rPr>
          <w:rFonts w:ascii="Times New Roman" w:cs="Times New Roman" w:eastAsia="Times New Roman" w:hAnsi="Times New Roman"/>
          <w:sz w:val="17"/>
          <w:szCs w:val="17"/>
          <w:color w:val="auto"/>
        </w:rPr>
      </w:pPr>
    </w:p>
    <w:p>
      <w:pPr>
        <w:jc w:val="both"/>
        <w:ind w:firstLine="303"/>
        <w:spacing w:after="0" w:line="254" w:lineRule="auto"/>
        <w:tabs>
          <w:tab w:leader="none" w:pos="54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Action by the Committee</w:t>
      </w:r>
      <w:r>
        <w:rPr>
          <w:rFonts w:ascii="Times New Roman" w:cs="Times New Roman" w:eastAsia="Times New Roman" w:hAnsi="Times New Roman"/>
          <w:sz w:val="17"/>
          <w:szCs w:val="17"/>
          <w:color w:val="auto"/>
        </w:rPr>
        <w:t>. Unless otherwise established by the Board or in any charter of the Committee, a majority of the Committee shall constitute a quorum and the acts of a majority of the members present at any meeting at which a quorum is present, and acts approved in writing by all members of the Committee in lieu of a meeting, shall be deemed the acts of the Committee. Each member of the Committee is entitled, in good faith, to rely or act upon any report or other information furnished to that member by any officer or other employee of the Corporation or any Affiliate, the Corporation’s independent registered public accountants, or any executive compensation consultant or other professional retained by the Committee to assist in the design or administration of the Plan.</w:t>
      </w:r>
    </w:p>
    <w:p>
      <w:pPr>
        <w:spacing w:after="0" w:line="175" w:lineRule="exact"/>
        <w:rPr>
          <w:rFonts w:ascii="Times New Roman" w:cs="Times New Roman" w:eastAsia="Times New Roman" w:hAnsi="Times New Roman"/>
          <w:sz w:val="17"/>
          <w:szCs w:val="17"/>
          <w:color w:val="auto"/>
        </w:rPr>
      </w:pPr>
    </w:p>
    <w:p>
      <w:pPr>
        <w:ind w:firstLine="303"/>
        <w:spacing w:after="0" w:line="274" w:lineRule="auto"/>
        <w:tabs>
          <w:tab w:leader="none" w:pos="5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Authority of Committee</w:t>
      </w:r>
      <w:r>
        <w:rPr>
          <w:rFonts w:ascii="Times New Roman" w:cs="Times New Roman" w:eastAsia="Times New Roman" w:hAnsi="Times New Roman"/>
          <w:sz w:val="17"/>
          <w:szCs w:val="17"/>
          <w:color w:val="auto"/>
        </w:rPr>
        <w:t>. Subject to the Corporation’s bylaws, the Committee’s charter and any provision set forth hereunder, the Committee has the exclusive power, authority and sole discretion to:</w:t>
      </w:r>
    </w:p>
    <w:p>
      <w:pPr>
        <w:spacing w:after="0" w:line="158" w:lineRule="exact"/>
        <w:rPr>
          <w:rFonts w:ascii="Times New Roman" w:cs="Times New Roman" w:eastAsia="Times New Roman" w:hAnsi="Times New Roman"/>
          <w:sz w:val="17"/>
          <w:szCs w:val="17"/>
          <w:color w:val="auto"/>
        </w:rPr>
      </w:pPr>
    </w:p>
    <w:p>
      <w:pPr>
        <w:ind w:left="800" w:hanging="194"/>
        <w:spacing w:after="0"/>
        <w:tabs>
          <w:tab w:leader="none" w:pos="80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Designate the Participants who will receive Plan Awards;</w:t>
      </w:r>
    </w:p>
    <w:p>
      <w:pPr>
        <w:spacing w:after="0" w:line="207" w:lineRule="exact"/>
        <w:rPr>
          <w:rFonts w:ascii="Times New Roman" w:cs="Times New Roman" w:eastAsia="Times New Roman" w:hAnsi="Times New Roman"/>
          <w:sz w:val="17"/>
          <w:szCs w:val="17"/>
          <w:color w:val="auto"/>
        </w:rPr>
      </w:pPr>
    </w:p>
    <w:p>
      <w:pPr>
        <w:ind w:left="860" w:hanging="254"/>
        <w:spacing w:after="0"/>
        <w:tabs>
          <w:tab w:leader="none" w:pos="86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type or types of Plan Awards to be granted to Plan Participants;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number of Plan Awards to be granted and the number of shares of Common Stock to which a Plan Award will relate;</w:t>
      </w:r>
    </w:p>
    <w:p>
      <w:pPr>
        <w:spacing w:after="0" w:line="207" w:lineRule="exact"/>
        <w:rPr>
          <w:rFonts w:ascii="Times New Roman" w:cs="Times New Roman" w:eastAsia="Times New Roman" w:hAnsi="Times New Roman"/>
          <w:sz w:val="17"/>
          <w:szCs w:val="17"/>
          <w:color w:val="auto"/>
        </w:rPr>
      </w:pPr>
    </w:p>
    <w:p>
      <w:pPr>
        <w:jc w:val="both"/>
        <w:ind w:firstLine="606"/>
        <w:spacing w:after="0" w:line="256" w:lineRule="auto"/>
        <w:tabs>
          <w:tab w:leader="none" w:pos="902"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terms and conditions of any Plan Award granted pursuant to the Plan, including, but not limited to, the exercise price, grant price, or purchase price, any performance criteria, any restrictions or limitations on the Plan Award, any schedule for vesting, lapse of forfeiture restrictions or restrictions on the exercisability of a Plan Award, and accelerations or waivers thereof, and any provisions related to non-competition and recapture of gain on a Plan Award, based in each case on such considerations as the Committee in its sole discretion determines;</w:t>
      </w:r>
    </w:p>
    <w:p>
      <w:pPr>
        <w:spacing w:after="0" w:line="174" w:lineRule="exact"/>
        <w:rPr>
          <w:rFonts w:ascii="Times New Roman" w:cs="Times New Roman" w:eastAsia="Times New Roman" w:hAnsi="Times New Roman"/>
          <w:sz w:val="17"/>
          <w:szCs w:val="17"/>
          <w:color w:val="auto"/>
        </w:rPr>
      </w:pPr>
    </w:p>
    <w:p>
      <w:pPr>
        <w:ind w:firstLine="606"/>
        <w:spacing w:after="0" w:line="274" w:lineRule="auto"/>
        <w:tabs>
          <w:tab w:leader="none" w:pos="843"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whether, to what extent, and pursuant to what circumstances a Plan Award may be settled in, or the exercise price of a Plan Award may be paid in cash, of shares of Common Stock, other Plan Awards, or other property, or a Plan Award may be canceled, forfeited, or surrendered;</w:t>
      </w:r>
    </w:p>
    <w:p>
      <w:pPr>
        <w:spacing w:after="0" w:line="158" w:lineRule="exact"/>
        <w:rPr>
          <w:rFonts w:ascii="Times New Roman" w:cs="Times New Roman" w:eastAsia="Times New Roman" w:hAnsi="Times New Roman"/>
          <w:sz w:val="17"/>
          <w:szCs w:val="17"/>
          <w:color w:val="auto"/>
        </w:rPr>
      </w:pPr>
    </w:p>
    <w:p>
      <w:pPr>
        <w:ind w:firstLine="606"/>
        <w:spacing w:after="0" w:line="274" w:lineRule="auto"/>
        <w:tabs>
          <w:tab w:leader="none" w:pos="89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 performance factors to take into account changes in law and accounting or tax rules as the Committee deems necessary or appropriate to reflect the impact of extraordinary or unusual items, events or circumstances to avoid windfalls or hardships;</w:t>
      </w:r>
    </w:p>
    <w:p>
      <w:pPr>
        <w:spacing w:after="0" w:line="158" w:lineRule="exact"/>
        <w:rPr>
          <w:rFonts w:ascii="Times New Roman" w:cs="Times New Roman" w:eastAsia="Times New Roman" w:hAnsi="Times New Roman"/>
          <w:sz w:val="17"/>
          <w:szCs w:val="17"/>
          <w:color w:val="auto"/>
        </w:rPr>
      </w:pPr>
    </w:p>
    <w:p>
      <w:pPr>
        <w:ind w:left="940" w:hanging="334"/>
        <w:spacing w:after="0"/>
        <w:tabs>
          <w:tab w:leader="none" w:pos="94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Prescribe the form of each Award Agreement, which need not be identical for each Participant;</w:t>
      </w:r>
    </w:p>
    <w:p>
      <w:pPr>
        <w:spacing w:after="0" w:line="207" w:lineRule="exact"/>
        <w:rPr>
          <w:rFonts w:ascii="Times New Roman" w:cs="Times New Roman" w:eastAsia="Times New Roman" w:hAnsi="Times New Roman"/>
          <w:sz w:val="17"/>
          <w:szCs w:val="17"/>
          <w:color w:val="auto"/>
        </w:rPr>
      </w:pPr>
    </w:p>
    <w:p>
      <w:pPr>
        <w:ind w:left="980" w:hanging="374"/>
        <w:spacing w:after="0"/>
        <w:tabs>
          <w:tab w:leader="none" w:pos="98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Fair Market Value of Common Stock in good faith, if necessary;</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 waivers of Plan or Plan Award conditions;</w:t>
      </w:r>
    </w:p>
    <w:p>
      <w:pPr>
        <w:spacing w:after="0" w:line="207" w:lineRule="exact"/>
        <w:rPr>
          <w:rFonts w:ascii="Times New Roman" w:cs="Times New Roman" w:eastAsia="Times New Roman" w:hAnsi="Times New Roman"/>
          <w:sz w:val="17"/>
          <w:szCs w:val="17"/>
          <w:color w:val="auto"/>
        </w:rPr>
      </w:pPr>
    </w:p>
    <w:p>
      <w:pPr>
        <w:ind w:left="840" w:hanging="234"/>
        <w:spacing w:after="0"/>
        <w:tabs>
          <w:tab w:leader="none" w:pos="84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Correct any defect, supply any omission or reconcile any inconsistency in the Plan, any Plan Award or any Award Agreement;</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whether a Plan Award has been earned;</w:t>
      </w:r>
    </w:p>
    <w:p>
      <w:pPr>
        <w:spacing w:after="0" w:line="207" w:lineRule="exact"/>
        <w:rPr>
          <w:rFonts w:ascii="Times New Roman" w:cs="Times New Roman" w:eastAsia="Times New Roman" w:hAnsi="Times New Roman"/>
          <w:sz w:val="17"/>
          <w:szCs w:val="17"/>
          <w:color w:val="auto"/>
        </w:rPr>
      </w:pPr>
    </w:p>
    <w:p>
      <w:pPr>
        <w:ind w:left="940" w:hanging="334"/>
        <w:spacing w:after="0"/>
        <w:tabs>
          <w:tab w:leader="none" w:pos="94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Decide all other matters that must be determined in connection with a Plan Award;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0" w:name="page41"/>
    <w:bookmarkEnd w:id="40"/>
    <w:p>
      <w:pPr>
        <w:ind w:left="980" w:hanging="374"/>
        <w:spacing w:after="0"/>
        <w:tabs>
          <w:tab w:leader="none" w:pos="9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adopt, or revise any rules and regulations as it may deem necessary or advisable to administer the Plan;</w:t>
      </w:r>
    </w:p>
    <w:p>
      <w:pPr>
        <w:spacing w:after="0" w:line="207" w:lineRule="exact"/>
        <w:rPr>
          <w:rFonts w:ascii="Times New Roman" w:cs="Times New Roman" w:eastAsia="Times New Roman" w:hAnsi="Times New Roman"/>
          <w:sz w:val="17"/>
          <w:szCs w:val="17"/>
          <w:color w:val="auto"/>
        </w:rPr>
      </w:pPr>
    </w:p>
    <w:p>
      <w:pPr>
        <w:ind w:left="980" w:hanging="374"/>
        <w:spacing w:after="0"/>
        <w:tabs>
          <w:tab w:leader="none" w:pos="9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Interpret the terms of, and any matter arising pursuant to, the Plan or any Award Agreement;</w:t>
      </w:r>
    </w:p>
    <w:p>
      <w:pPr>
        <w:spacing w:after="0" w:line="207" w:lineRule="exact"/>
        <w:rPr>
          <w:rFonts w:ascii="Times New Roman" w:cs="Times New Roman" w:eastAsia="Times New Roman" w:hAnsi="Times New Roman"/>
          <w:sz w:val="17"/>
          <w:szCs w:val="17"/>
          <w:color w:val="auto"/>
        </w:rPr>
      </w:pPr>
    </w:p>
    <w:p>
      <w:pPr>
        <w:ind w:left="920" w:hanging="314"/>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all other decisions and determinations that may be required pursuant to the Plan or as the Committee deems necessary or advisable to administer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Plan;</w:t>
      </w:r>
    </w:p>
    <w:p>
      <w:pPr>
        <w:spacing w:after="0" w:line="192" w:lineRule="exact"/>
        <w:rPr>
          <w:sz w:val="20"/>
          <w:szCs w:val="20"/>
          <w:color w:val="auto"/>
        </w:rPr>
      </w:pPr>
    </w:p>
    <w:p>
      <w:pPr>
        <w:ind w:firstLine="606"/>
        <w:spacing w:after="0" w:line="274" w:lineRule="auto"/>
        <w:tabs>
          <w:tab w:leader="none" w:pos="986"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Accelerate wholly or partially the vesting or lapse of restrictions of any Plan Award or portion thereof at any time after the grant of a Plan Award, subject to the terms and conditions set forth under Article X; and</w:t>
      </w:r>
    </w:p>
    <w:p>
      <w:pPr>
        <w:spacing w:after="0" w:line="158" w:lineRule="exact"/>
        <w:rPr>
          <w:rFonts w:ascii="Times New Roman" w:cs="Times New Roman" w:eastAsia="Times New Roman" w:hAnsi="Times New Roman"/>
          <w:sz w:val="17"/>
          <w:szCs w:val="17"/>
          <w:color w:val="auto"/>
        </w:rPr>
      </w:pPr>
    </w:p>
    <w:p>
      <w:pPr>
        <w:jc w:val="both"/>
        <w:ind w:firstLine="606"/>
        <w:spacing w:after="0" w:line="261" w:lineRule="auto"/>
        <w:tabs>
          <w:tab w:leader="none" w:pos="1021"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adopt or revise any rules and regulations, including adopting sub-plans to the Plan, for the purposes of facilitating compliance with foreign laws, easing the administration of the Plan and/or taking advantage of tax-favorable treatment for Awards granted to Participants outside the U.S., in each case as it may deem necessary or advisable;</w:t>
      </w:r>
    </w:p>
    <w:p>
      <w:pPr>
        <w:spacing w:after="0" w:line="169" w:lineRule="exact"/>
        <w:rPr>
          <w:rFonts w:ascii="Times New Roman" w:cs="Times New Roman" w:eastAsia="Times New Roman" w:hAnsi="Times New Roman"/>
          <w:sz w:val="17"/>
          <w:szCs w:val="17"/>
          <w:color w:val="auto"/>
        </w:rPr>
      </w:pPr>
    </w:p>
    <w:p>
      <w:pPr>
        <w:jc w:val="both"/>
        <w:ind w:firstLine="303"/>
        <w:spacing w:after="0" w:line="256" w:lineRule="auto"/>
        <w:tabs>
          <w:tab w:leader="none" w:pos="531"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Decisions Binding</w:t>
      </w:r>
      <w:r>
        <w:rPr>
          <w:rFonts w:ascii="Times New Roman" w:cs="Times New Roman" w:eastAsia="Times New Roman" w:hAnsi="Times New Roman"/>
          <w:sz w:val="17"/>
          <w:szCs w:val="17"/>
          <w:color w:val="auto"/>
        </w:rPr>
        <w:t>. The Committee’s interpretation of the Plan, any Plan Awards granted pursuant to the Plan and any Award Agreement and all decisions and determinations by the Committee with respect to the Plan are final, binding, and conclusive on all persons. Any dispute regarding the interpretation of the Plan or any Award Agreement shall be submitted by the Participant or Corporation to the Committee for review. Subject to the provisions of Section XI(m) and Article XVII, the resolution of such a dispute by the Committee shall be final, binding and conclusive on the Corporation and the Participant.</w:t>
      </w:r>
    </w:p>
    <w:p>
      <w:pPr>
        <w:spacing w:after="0" w:line="174" w:lineRule="exact"/>
        <w:rPr>
          <w:rFonts w:ascii="Times New Roman" w:cs="Times New Roman" w:eastAsia="Times New Roman" w:hAnsi="Times New Roman"/>
          <w:sz w:val="17"/>
          <w:szCs w:val="17"/>
          <w:color w:val="auto"/>
        </w:rPr>
      </w:pPr>
    </w:p>
    <w:p>
      <w:pPr>
        <w:jc w:val="both"/>
        <w:ind w:firstLine="303"/>
        <w:spacing w:after="0" w:line="251" w:lineRule="auto"/>
        <w:tabs>
          <w:tab w:leader="none" w:pos="512"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Delegation of Authority</w:t>
      </w:r>
      <w:r>
        <w:rPr>
          <w:rFonts w:ascii="Times New Roman" w:cs="Times New Roman" w:eastAsia="Times New Roman" w:hAnsi="Times New Roman"/>
          <w:sz w:val="17"/>
          <w:szCs w:val="17"/>
          <w:color w:val="auto"/>
        </w:rPr>
        <w:t>. To the extent permitted by Applicable Law, the Board or Committee may from time to time delegate to a committee of one or more members of the Board or to one or more officers of the Corporation or any Affiliate the authority to grant and/or amend Plan Awards and/or to take other administrative actions pursuant to this Article II; provided, however, that in no event shall an officer of the Corporation or any Affiliate be delegated the authority to grant awards to, or amend awards held by, the following individuals: (i) individuals who are subject to Section 16 of the Exchange Act or (ii) officers of the Corporation (or directors) to whom authority to grant or amend Plan Awards has been delegated hereunder; provided, further, that any delegation of administrative authority shall only be permitted to the extent it does not violate the provisions of Applicable Law. Any delegation hereunder shall be subject to the restrictions and limits that the Board or Committee specifies at the time of such delegation, and the Board or Committee, as the case may be, may, at any time, rescind the authority so delegated or appoint a new delegatee. At all times, the delegatee appointed under this Section II(f) shall serve in such capacity at the pleasure of the Board and the Committee.</w:t>
      </w:r>
    </w:p>
    <w:p>
      <w:pPr>
        <w:spacing w:after="0" w:line="177" w:lineRule="exact"/>
        <w:rPr>
          <w:rFonts w:ascii="Times New Roman" w:cs="Times New Roman" w:eastAsia="Times New Roman" w:hAnsi="Times New Roman"/>
          <w:sz w:val="17"/>
          <w:szCs w:val="17"/>
          <w:color w:val="auto"/>
        </w:rPr>
      </w:pPr>
    </w:p>
    <w:p>
      <w:pPr>
        <w:ind w:firstLine="303"/>
        <w:spacing w:after="0" w:line="274" w:lineRule="auto"/>
        <w:tabs>
          <w:tab w:leader="none" w:pos="5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16 of the Exchange Act</w:t>
      </w:r>
      <w:r>
        <w:rPr>
          <w:rFonts w:ascii="Times New Roman" w:cs="Times New Roman" w:eastAsia="Times New Roman" w:hAnsi="Times New Roman"/>
          <w:sz w:val="17"/>
          <w:szCs w:val="17"/>
          <w:color w:val="auto"/>
        </w:rPr>
        <w:t>. Awards granted to Participants who are subject to Section 16 of the Exchange Act must be approved by two or more “</w:t>
      </w:r>
      <w:r>
        <w:rPr>
          <w:rFonts w:ascii="Times New Roman" w:cs="Times New Roman" w:eastAsia="Times New Roman" w:hAnsi="Times New Roman"/>
          <w:sz w:val="17"/>
          <w:szCs w:val="17"/>
          <w:u w:val="single" w:color="auto"/>
          <w:color w:val="auto"/>
        </w:rPr>
        <w:t>non-employee directors</w:t>
      </w:r>
      <w:r>
        <w:rPr>
          <w:rFonts w:ascii="Times New Roman" w:cs="Times New Roman" w:eastAsia="Times New Roman" w:hAnsi="Times New Roman"/>
          <w:sz w:val="17"/>
          <w:szCs w:val="17"/>
          <w:color w:val="auto"/>
        </w:rPr>
        <w:t>” (as defined in the rules and regulations promulgated under Section 16 of the Exchange Act).</w:t>
      </w:r>
    </w:p>
    <w:p>
      <w:pPr>
        <w:spacing w:after="0" w:line="158" w:lineRule="exact"/>
        <w:rPr>
          <w:rFonts w:ascii="Times New Roman" w:cs="Times New Roman" w:eastAsia="Times New Roman" w:hAnsi="Times New Roman"/>
          <w:sz w:val="17"/>
          <w:szCs w:val="17"/>
          <w:color w:val="auto"/>
        </w:rPr>
      </w:pPr>
    </w:p>
    <w:p>
      <w:pPr>
        <w:jc w:val="both"/>
        <w:ind w:firstLine="303"/>
        <w:spacing w:after="0" w:line="267" w:lineRule="auto"/>
        <w:tabs>
          <w:tab w:leader="none" w:pos="5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 of the Committee</w:t>
      </w:r>
      <w:r>
        <w:rPr>
          <w:rFonts w:ascii="Times New Roman" w:cs="Times New Roman" w:eastAsia="Times New Roman" w:hAnsi="Times New Roman"/>
          <w:sz w:val="16"/>
          <w:szCs w:val="16"/>
          <w:color w:val="auto"/>
        </w:rPr>
        <w:t>. The Corporation shall bear all expenses of administering the Plan. The Corporation shall indemnify and hold harmless each person who is or shall have been a member of the Committee acting as administrator of the Plan, or any agent or person appointed or delegated by the Committee to perform any of its duties, against and from any cost, liability, loss or expense that may be imposed upon or reasonably incurred by such person in connection with or resulting from any action, claim, suit or proceeding to which such person may be a party or in which such person may be involved by reason of any action taken or not taken in good faith under the Plan and against and from any and all amounts paid by such person in settlement thereof, with the Corporation’s approval, or paid by such person in satisfaction of any judgment in any such action, suit or proceeding against such person, provided he or she shall give the Corporation an opportunity, at its own expense, to handle and defend the same before he undertakes to handle and defend it on his own behalf. Notwithstanding the foregoing, the Corporation shall not indemnify and hold harmless any such person if Applicable Law or the Corporation’s Certificate of Incorporation or bylaws prohibit such indemnification. The foregoing right of indemnification shall not be exclusive of any other rights of indemnification to which such persons may be entitled under the Corporation’s Certificate of Incorporation, bylaws or any agreement, as a matter of law or otherwise, or under any other power that the Corporation may have to indemnify or hold harmless such person. The provisions of the foregoing indemnity shall survive indefinitely the term of the Plan.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7"/>
          <w:szCs w:val="17"/>
          <w:b w:val="1"/>
          <w:bCs w:val="1"/>
          <w:color w:val="auto"/>
        </w:rPr>
        <w:t>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SHARES AVAILABLE</w:t>
      </w:r>
    </w:p>
    <w:p>
      <w:pPr>
        <w:spacing w:after="0" w:line="192" w:lineRule="exact"/>
        <w:rPr>
          <w:sz w:val="20"/>
          <w:szCs w:val="20"/>
          <w:color w:val="auto"/>
        </w:rPr>
      </w:pPr>
    </w:p>
    <w:p>
      <w:pPr>
        <w:jc w:val="both"/>
        <w:ind w:firstLine="303"/>
        <w:spacing w:after="0" w:line="252" w:lineRule="auto"/>
        <w:tabs>
          <w:tab w:leader="none" w:pos="54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Number of Shares of Common Stock</w:t>
      </w:r>
      <w:r>
        <w:rPr>
          <w:rFonts w:ascii="Times New Roman" w:cs="Times New Roman" w:eastAsia="Times New Roman" w:hAnsi="Times New Roman"/>
          <w:sz w:val="17"/>
          <w:szCs w:val="17"/>
          <w:color w:val="auto"/>
        </w:rPr>
        <w:t>. Subject to the adjustments provided in Article X of the Plan, the aggregate number of shares of the Common Stock which may be granted for all purposes under the Plan (including, but not limited to, Incentive Stock Options) shall be 3,220,652 shares of Common Stock. Shares of Common Stock underlying Plan Awards and shares of Common Stock directly awarded hereunder (whether or not on a restricted basis) shall be counted against the limitation set forth in the immediately preceding sentence and may be reused to the extent that the related Plan Award to any individual is settled in cash, expires, is terminated unexercised, or is forfeited. To the extent that a Stock Appreciation Right related to an Option is exercised, such Option shall be deemed to have been exercised and vice versa. Common Stock granted to satisfy Plan Awards under the Plan may be authorized and unissued shares of the Common Stock, issued shares of such Common Stock held in the Corporation’s treasury or shares of Common Stock acquired on the open market.</w:t>
      </w:r>
    </w:p>
    <w:p>
      <w:pPr>
        <w:spacing w:after="0" w:line="177" w:lineRule="exact"/>
        <w:rPr>
          <w:rFonts w:ascii="Times New Roman" w:cs="Times New Roman" w:eastAsia="Times New Roman" w:hAnsi="Times New Roman"/>
          <w:sz w:val="17"/>
          <w:szCs w:val="17"/>
          <w:color w:val="auto"/>
        </w:rPr>
      </w:pPr>
    </w:p>
    <w:p>
      <w:pPr>
        <w:jc w:val="both"/>
        <w:ind w:firstLine="303"/>
        <w:spacing w:after="0" w:line="251" w:lineRule="auto"/>
        <w:tabs>
          <w:tab w:leader="none" w:pos="5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Substitute Awards</w:t>
      </w:r>
      <w:r>
        <w:rPr>
          <w:rFonts w:ascii="Times New Roman" w:cs="Times New Roman" w:eastAsia="Times New Roman" w:hAnsi="Times New Roman"/>
          <w:sz w:val="17"/>
          <w:szCs w:val="17"/>
          <w:color w:val="auto"/>
        </w:rPr>
        <w:t>. To the extent permitted by Applicable Law, Substitute Awards shall not reduce the number of shares of Common Stock authorized for grant under the Plan. Additionally, in the event that an entity acquired by the Corporation or any Affiliate or with which the Corporation or any Affiliate combines has shares available under a pre-existing plan approved by stockholders or equity 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Plan Awards under the Plan and shall not reduce the number of shares of Common Stock authorized for grant under the Plan; provided that Plan Awards using such available shares shall not be made after the date awards or grants could have been made under the terms of the pre-existing plan, absent the acquisition or combination, and shall only be made to individuals who were not employed by or providing services to the Corporation or its Affiliates immediately prior to such acquisition or combination.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ELIGIBILITY, ETC.</w:t>
      </w:r>
    </w:p>
    <w:p>
      <w:pPr>
        <w:spacing w:after="0" w:line="192" w:lineRule="exact"/>
        <w:rPr>
          <w:sz w:val="20"/>
          <w:szCs w:val="20"/>
          <w:color w:val="auto"/>
        </w:rPr>
      </w:pPr>
    </w:p>
    <w:p>
      <w:pPr>
        <w:jc w:val="both"/>
        <w:ind w:firstLine="303"/>
        <w:spacing w:after="0" w:line="249" w:lineRule="auto"/>
        <w:tabs>
          <w:tab w:leader="none" w:pos="531"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Eligible Individuals</w:t>
      </w:r>
      <w:r>
        <w:rPr>
          <w:rFonts w:ascii="Times New Roman" w:cs="Times New Roman" w:eastAsia="Times New Roman" w:hAnsi="Times New Roman"/>
          <w:sz w:val="17"/>
          <w:szCs w:val="17"/>
          <w:color w:val="auto"/>
        </w:rPr>
        <w:t>. Any Employee of the Corporation or an Affiliate (including an entity that becomes an Affiliate after the adoption of the Plan), a member of the Board or the board of directors of an Affiliate (including an entity that becomes an Affiliate after the adoption of the Plan) (whether or not such Board or board of directors member is an Employee), any Consultant to the Corporation or an Affiliate (including an entity that becomes an Affiliate after the adoption of the Plan) and any entity which is a wholly-owned alter ego of such Employee, member of the Board or board of directors of an Affiliate or Consultant is eligible to participate in the Plan if the Committee, in its sole discretion, determines that such person or entity has contributed significantly or can be expected to contribute significantly to the profits or growth of the Corporation or any Affiliate or if it is otherwise in the best interest of the Corporation or any Affiliate for such person or entity to participate in the Plan. With respect to any Board member who is (i) designated or nominated to serve as a Board member by a stockholder of the Corporation and (ii) an employee of such stockholder of the Corporation, then, at the irrevocable election of the employing stockholder, the person or entity who shall be eligible to participate in the Plan on behalf of the service of the respective Board member shall be the employing stockholder (or one of its Affiliates). To the extent such election is made, the respective Board member shall have no rights hereunder as a Participant with respect to such Board member’s participation in the Plan. A Plan Award may be granted to a person or entity who has been offered employment or service by the Corporation or an Affiliate and who would otherwise qualify as eligible to receive the Plan Award to the extent that person or entity commences employment or service with the Corporation or an Affiliate, provided that such person or entity may not receive any payment or exercise any right relating to the Plan Award, and the grant of the Plan Award will be contingent, until such person or entity has commenced employment or service with the Corporation or an Affiliate.</w:t>
      </w:r>
    </w:p>
    <w:p>
      <w:pPr>
        <w:spacing w:after="0" w:line="186" w:lineRule="exact"/>
        <w:rPr>
          <w:rFonts w:ascii="Times New Roman" w:cs="Times New Roman" w:eastAsia="Times New Roman" w:hAnsi="Times New Roman"/>
          <w:sz w:val="17"/>
          <w:szCs w:val="17"/>
          <w:color w:val="auto"/>
        </w:rPr>
      </w:pPr>
    </w:p>
    <w:p>
      <w:pPr>
        <w:jc w:val="both"/>
        <w:ind w:firstLine="303"/>
        <w:spacing w:after="0" w:line="254" w:lineRule="auto"/>
        <w:tabs>
          <w:tab w:leader="none" w:pos="553"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Limitations Applicable to Section 16 Persons</w:t>
      </w:r>
      <w:r>
        <w:rPr>
          <w:rFonts w:ascii="Times New Roman" w:cs="Times New Roman" w:eastAsia="Times New Roman" w:hAnsi="Times New Roman"/>
          <w:sz w:val="17"/>
          <w:szCs w:val="17"/>
          <w:color w:val="auto"/>
        </w:rPr>
        <w:t>. Notwithstanding any other provision of the Plan to the contrary, any Plan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and the Plan, Plan Awards granted or awarded hereunder shall be deemed amended to the extent necessary to conform to such applicable exemptive rule.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2" w:name="page43"/>
    <w:bookmarkEnd w:id="42"/>
    <w:p>
      <w:pPr>
        <w:jc w:val="both"/>
        <w:ind w:firstLine="303"/>
        <w:spacing w:after="0" w:line="250" w:lineRule="auto"/>
        <w:tabs>
          <w:tab w:leader="none" w:pos="531"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Foreign Participant</w:t>
      </w:r>
      <w:r>
        <w:rPr>
          <w:rFonts w:ascii="Times New Roman" w:cs="Times New Roman" w:eastAsia="Times New Roman" w:hAnsi="Times New Roman"/>
          <w:sz w:val="17"/>
          <w:szCs w:val="17"/>
          <w:color w:val="auto"/>
        </w:rPr>
        <w:t>. Notwithstanding any provision of the Plan to the contrary, in order to comply with the laws, rules, regulations and/or taxes in countries other than the United States in which the Corporation and its Affiliates operate or have Employees, Non-Employee Directors or Consultants, or in order to comply with the requirements of any foreign securities exchange, the Committee, in its sole discretion, shall have the power and authority to: (i) determine which Affiliates shall be covered by the Plan; (ii) determine which individuals outside the United States are eligible to participate in the Plan; (iii) modify the terms and conditions of any Plan Award granted to individuals outside the United States to comply with applicable foreign laws or listing requirements of any such foreign securities exchange; (iv) establish subplans and modify exercise procedures and other terms and procedures, to the extent such actions may be necessary or advisable (any such subplans and/or modifications to be attached to the Plan as appendices); provided, however, that no such subplans and/or modifications shall increase the share limitations contained in Article III; and (v) take any action, before or after a Plan Award is made, that it deems advisable to obtain approval or comply with any necessary local governmental regulatory exemptions or approvals or listing requirements of any such foreign securities exchange. Notwithstanding the foregoing, the Committee may not take any actions hereunder, and no Plan Awards shall be granted, that would violate Applicable Law. For purposes of the Plan, all references to foreign laws, rules, regulations or taxes shall be references to the laws, rules, regulations and taxes of any applicable jurisdiction other than the United States or a political subdivision thereof.</w:t>
      </w:r>
    </w:p>
    <w:p>
      <w:pPr>
        <w:spacing w:after="0" w:line="178" w:lineRule="exact"/>
        <w:rPr>
          <w:rFonts w:ascii="Times New Roman" w:cs="Times New Roman" w:eastAsia="Times New Roman" w:hAnsi="Times New Roman"/>
          <w:sz w:val="17"/>
          <w:szCs w:val="17"/>
          <w:color w:val="auto"/>
        </w:rPr>
      </w:pPr>
    </w:p>
    <w:p>
      <w:pPr>
        <w:jc w:val="both"/>
        <w:ind w:firstLine="303"/>
        <w:spacing w:after="0" w:line="253" w:lineRule="auto"/>
        <w:tabs>
          <w:tab w:leader="none" w:pos="553"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Non-Employee Director Awards</w:t>
      </w:r>
      <w:r>
        <w:rPr>
          <w:rFonts w:ascii="Times New Roman" w:cs="Times New Roman" w:eastAsia="Times New Roman" w:hAnsi="Times New Roman"/>
          <w:sz w:val="17"/>
          <w:szCs w:val="17"/>
          <w:color w:val="auto"/>
        </w:rPr>
        <w:t>. The Committee may, in its sole discretion, provide that Plan Awards granted to Non-Employee Directors shall be granted pursuant to a written formula established by the Committee (the “</w:t>
      </w:r>
      <w:r>
        <w:rPr>
          <w:rFonts w:ascii="Times New Roman" w:cs="Times New Roman" w:eastAsia="Times New Roman" w:hAnsi="Times New Roman"/>
          <w:sz w:val="17"/>
          <w:szCs w:val="17"/>
          <w:u w:val="single" w:color="auto"/>
          <w:color w:val="auto"/>
        </w:rPr>
        <w:t>Non-Employee Director Compensation Policy</w:t>
      </w:r>
      <w:r>
        <w:rPr>
          <w:rFonts w:ascii="Times New Roman" w:cs="Times New Roman" w:eastAsia="Times New Roman" w:hAnsi="Times New Roman"/>
          <w:sz w:val="17"/>
          <w:szCs w:val="17"/>
          <w:color w:val="auto"/>
        </w:rPr>
        <w:t>”), subject to the limitations of the Plan. The Non-Employee Director Compensation Policy shall set forth the type of Plan Award(s) to be granted to Non-Employee Directors, the number of shares of Common Stock to be subject to Non-Employee Director Plan Awards, the conditions on which such Plan Awards shall be granted, become exercisable and/or payable and expire, and such other terms and conditions as the Committee shall determine in its sole discretion. The Non-Employee Director Compensation Policy may be modified by the Committee from time to time in its sole discretion.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 OPTIONS</w:t>
      </w:r>
    </w:p>
    <w:p>
      <w:pPr>
        <w:spacing w:after="0" w:line="19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 xml:space="preserve">The Committee shall have the authority, in its sole discretion, to grant Incentive Stock Options or to grant Non-Qualified Stock Options or to grant both types of Options. Notwithstanding anything contained herein to the contrary, an Incentive Stock Option may be granted only to common law employees of the Corporation or of any Affiliate now existing or hereafter formed or acquired, and not to any director or officer who is not also such a common law employee. The terms and conditions of the Options shall be determined from time to time by the Committee;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Options granted under the Plan shall be subject to the following:</w:t>
      </w:r>
    </w:p>
    <w:p>
      <w:pPr>
        <w:spacing w:after="0" w:line="176" w:lineRule="exact"/>
        <w:rPr>
          <w:sz w:val="20"/>
          <w:szCs w:val="20"/>
          <w:color w:val="auto"/>
        </w:rPr>
      </w:pPr>
    </w:p>
    <w:p>
      <w:pPr>
        <w:jc w:val="both"/>
        <w:ind w:firstLine="303"/>
        <w:spacing w:after="0" w:line="267" w:lineRule="auto"/>
        <w:tabs>
          <w:tab w:leader="none" w:pos="531"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Exercise Price</w:t>
      </w:r>
      <w:r>
        <w:rPr>
          <w:rFonts w:ascii="Times New Roman" w:cs="Times New Roman" w:eastAsia="Times New Roman" w:hAnsi="Times New Roman"/>
          <w:sz w:val="16"/>
          <w:szCs w:val="16"/>
          <w:color w:val="auto"/>
        </w:rPr>
        <w:t xml:space="preserve">. The Committee shall establish the exercise price at the time any Option is granted at such amount as the Committee shall determine;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the exercise price for each share of Common Stock purchasable under (i) any Incentive Stock Option granted hereunder or (ii) any Option intended to satisfy the requirements of Treas. Reg. §1.409A-1(b)(5)(i)(A) shall at all times be not less than such amount as the Committee shall, in its best judgment, determine to be 100% of the Fair Market Value per share of Common Stock at the date the Option is granted; and </w:t>
      </w:r>
      <w:r>
        <w:rPr>
          <w:rFonts w:ascii="Times New Roman" w:cs="Times New Roman" w:eastAsia="Times New Roman" w:hAnsi="Times New Roman"/>
          <w:sz w:val="16"/>
          <w:szCs w:val="16"/>
          <w:u w:val="single" w:color="auto"/>
          <w:color w:val="auto"/>
        </w:rPr>
        <w:t>provided, further</w:t>
      </w:r>
      <w:r>
        <w:rPr>
          <w:rFonts w:ascii="Times New Roman" w:cs="Times New Roman" w:eastAsia="Times New Roman" w:hAnsi="Times New Roman"/>
          <w:sz w:val="16"/>
          <w:szCs w:val="16"/>
          <w:color w:val="auto"/>
        </w:rPr>
        <w:t>, that in the case of an Incentive Stock Option granted to a person who, at the time such Incentive Stock Option is granted, owns (or, pursuant to Section 422(b)(6) of the Code and the regulations promulgated thereunder, is deemed to own) shares of stock of the Corporation or of any Affiliate which possess more than 10% of the total combined voting power of all classes of shares of stock of the Corporation or of any Affiliate, the exercise price for each share of Common Stock shall be such amount as the Committee, in its best judgment, shall determine to be not less than 110% of the Fair Market Value per share of Common Stock at the date the Option is granted. The exercise price of any Option will be subject to adjustment in accordance with the provisions of Section X of the Plan. Notwithstanding the foregoing, the Committee shall have sole discretion, with respect to Non-Qualified Stock Options, to establish an exercise price at less than the Fair Market Value per share of Common Stock on the date the Option is granted, but only if any such Option is designed to comply with the requirements of Section 409A of the Code by including one of the following provisions:</w:t>
      </w:r>
    </w:p>
    <w:p>
      <w:pPr>
        <w:spacing w:after="0" w:line="169" w:lineRule="exact"/>
        <w:rPr>
          <w:sz w:val="20"/>
          <w:szCs w:val="20"/>
          <w:color w:val="auto"/>
        </w:rPr>
      </w:pPr>
    </w:p>
    <w:p>
      <w:pPr>
        <w:jc w:val="both"/>
        <w:ind w:firstLine="605"/>
        <w:spacing w:after="0" w:line="221" w:lineRule="auto"/>
        <w:rPr>
          <w:sz w:val="20"/>
          <w:szCs w:val="20"/>
          <w:color w:val="auto"/>
        </w:rPr>
      </w:pPr>
      <w:r>
        <w:rPr>
          <w:rFonts w:ascii="Times New Roman" w:cs="Times New Roman" w:eastAsia="Times New Roman" w:hAnsi="Times New Roman"/>
          <w:sz w:val="17"/>
          <w:szCs w:val="17"/>
          <w:color w:val="auto"/>
        </w:rPr>
        <w:t>(i) The Award Agreement related to any such Option must provide that, under all circumstances, the Common Stock (or cash or other property) to be received by the Participant (or other person) upon the exercise or settlement of the Option must be so received no later than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of the third month of the year immediately following the year during which the Option vests;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3" w:name="page44"/>
    <w:bookmarkEnd w:id="43"/>
    <w:p>
      <w:pPr>
        <w:jc w:val="both"/>
        <w:ind w:firstLine="606"/>
        <w:spacing w:after="0" w:line="261" w:lineRule="auto"/>
        <w:tabs>
          <w:tab w:leader="none" w:pos="869" w:val="left"/>
        </w:tabs>
        <w:numPr>
          <w:ilvl w:val="2"/>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Award Agreement related to any such Option must provide that the Option may be exercised only during a specific year specified in the Award Agreement or upon a payment event permitted under Section 409A of the Code and the regulations promulgated thereunder (with such year(s) and payment events being set forth in the related Award Agreement); or</w:t>
      </w:r>
    </w:p>
    <w:p>
      <w:pPr>
        <w:spacing w:after="0" w:line="169" w:lineRule="exact"/>
        <w:rPr>
          <w:rFonts w:ascii="Times New Roman" w:cs="Times New Roman" w:eastAsia="Times New Roman" w:hAnsi="Times New Roman"/>
          <w:sz w:val="17"/>
          <w:szCs w:val="17"/>
          <w:color w:val="auto"/>
        </w:rPr>
      </w:pPr>
    </w:p>
    <w:p>
      <w:pPr>
        <w:jc w:val="both"/>
        <w:ind w:firstLine="606"/>
        <w:spacing w:after="0" w:line="261" w:lineRule="auto"/>
        <w:tabs>
          <w:tab w:leader="none" w:pos="912" w:val="left"/>
        </w:tabs>
        <w:numPr>
          <w:ilvl w:val="2"/>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Award Agreement related to any such Option must provide that Common Stock (or cash or other property) deliverable to a Participant (or other person) pursuant to an exercise or settlement of the Option may not be so delivered until a specified date or payment event permitted under Section 409A of the Code and the regulations promulgated thereunder (with such date(s) and payment events being set forth in the related Award Agreement).</w:t>
      </w:r>
    </w:p>
    <w:p>
      <w:pPr>
        <w:spacing w:after="0" w:line="169" w:lineRule="exact"/>
        <w:rPr>
          <w:rFonts w:ascii="Times New Roman" w:cs="Times New Roman" w:eastAsia="Times New Roman" w:hAnsi="Times New Roman"/>
          <w:sz w:val="17"/>
          <w:szCs w:val="17"/>
          <w:color w:val="auto"/>
        </w:rPr>
      </w:pPr>
    </w:p>
    <w:p>
      <w:pPr>
        <w:jc w:val="both"/>
        <w:ind w:firstLine="303"/>
        <w:spacing w:after="0" w:line="256" w:lineRule="auto"/>
        <w:tabs>
          <w:tab w:leader="none" w:pos="54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of Exercise Price</w:t>
      </w:r>
      <w:r>
        <w:rPr>
          <w:rFonts w:ascii="Times New Roman" w:cs="Times New Roman" w:eastAsia="Times New Roman" w:hAnsi="Times New Roman"/>
          <w:sz w:val="17"/>
          <w:szCs w:val="17"/>
          <w:color w:val="auto"/>
        </w:rPr>
        <w:t>. The exercise price per share of Common Stock with respect to each Option shall be payable at the time the Option is exercised. Such price shall be payable in cash or pursuant to any of the other methods set forth in Section V(g) hereof, as determined by the Committee. Shares of Common Stock delivered to the Corporation in payment of the exercise price shall be valued at the Fair Market Value of the Common Stock on the date preceding the date of the exercise of the Option.</w:t>
      </w:r>
    </w:p>
    <w:p>
      <w:pPr>
        <w:spacing w:after="0" w:line="174" w:lineRule="exact"/>
        <w:rPr>
          <w:rFonts w:ascii="Times New Roman" w:cs="Times New Roman" w:eastAsia="Times New Roman" w:hAnsi="Times New Roman"/>
          <w:sz w:val="17"/>
          <w:szCs w:val="17"/>
          <w:color w:val="auto"/>
        </w:rPr>
      </w:pPr>
    </w:p>
    <w:p>
      <w:pPr>
        <w:jc w:val="both"/>
        <w:ind w:firstLine="303"/>
        <w:spacing w:after="0" w:line="256" w:lineRule="auto"/>
        <w:tabs>
          <w:tab w:leader="none" w:pos="544"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Exercisability of Options</w:t>
      </w:r>
      <w:r>
        <w:rPr>
          <w:rFonts w:ascii="Times New Roman" w:cs="Times New Roman" w:eastAsia="Times New Roman" w:hAnsi="Times New Roman"/>
          <w:sz w:val="17"/>
          <w:szCs w:val="17"/>
          <w:color w:val="auto"/>
        </w:rPr>
        <w:t>. Except as provided in Section V(e) hereof, each Option shall be exercisable in whole or in installments, and at such time(s), and subject to the fulfillment of any conditions on, and to any limitations on, exercisability as may be determined by the Committee at the time of the grant of such Option. The right to purchase shares of Common Stock shall be cumulative so that when the right to purchase any shares of Common Stock has accrued such shares of Common Stock or any part thereof may be purchased at any time thereafter until the expiration or termination of the Option.</w:t>
      </w:r>
    </w:p>
    <w:p>
      <w:pPr>
        <w:spacing w:after="0" w:line="174" w:lineRule="exact"/>
        <w:rPr>
          <w:rFonts w:ascii="Times New Roman" w:cs="Times New Roman" w:eastAsia="Times New Roman" w:hAnsi="Times New Roman"/>
          <w:sz w:val="17"/>
          <w:szCs w:val="17"/>
          <w:color w:val="auto"/>
        </w:rPr>
      </w:pPr>
    </w:p>
    <w:p>
      <w:pPr>
        <w:jc w:val="both"/>
        <w:ind w:firstLine="303"/>
        <w:spacing w:after="0" w:line="254" w:lineRule="auto"/>
        <w:tabs>
          <w:tab w:leader="none" w:pos="54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Expiration of Options</w:t>
      </w:r>
      <w:r>
        <w:rPr>
          <w:rFonts w:ascii="Times New Roman" w:cs="Times New Roman" w:eastAsia="Times New Roman" w:hAnsi="Times New Roman"/>
          <w:sz w:val="17"/>
          <w:szCs w:val="17"/>
          <w:color w:val="auto"/>
        </w:rPr>
        <w:t xml:space="preserve">. No Incentive Stock Option by its terms shall be exercisable after the 10 years from the date of grant of such Option;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in the case of an Incentive Stock Option granted to a person who, at the time such Option is granted, owns (or, pursuant to Section 422(b)(6) of the Code and the regulations promulgated thereunder, is deemed to own) shares of stock of the Corporation or of any Affiliate possessing more than 10% of the total combined voting power of all classes of shares of stock of the Corporation or of any Affiliate, such Option shall not be exercisable after the expiration of five years from the date of grant of such Option.</w:t>
      </w:r>
    </w:p>
    <w:p>
      <w:pPr>
        <w:spacing w:after="0" w:line="175" w:lineRule="exact"/>
        <w:rPr>
          <w:rFonts w:ascii="Times New Roman" w:cs="Times New Roman" w:eastAsia="Times New Roman" w:hAnsi="Times New Roman"/>
          <w:sz w:val="17"/>
          <w:szCs w:val="17"/>
          <w:color w:val="auto"/>
        </w:rPr>
      </w:pPr>
    </w:p>
    <w:p>
      <w:pPr>
        <w:jc w:val="both"/>
        <w:ind w:firstLine="303"/>
        <w:spacing w:after="0" w:line="251" w:lineRule="auto"/>
        <w:tabs>
          <w:tab w:leader="none" w:pos="531"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Upon Optionee’s Termination of Service</w:t>
      </w:r>
      <w:r>
        <w:rPr>
          <w:rFonts w:ascii="Times New Roman" w:cs="Times New Roman" w:eastAsia="Times New Roman" w:hAnsi="Times New Roman"/>
          <w:sz w:val="17"/>
          <w:szCs w:val="17"/>
          <w:color w:val="auto"/>
        </w:rPr>
        <w:t>. If the Service of an Optionee is terminated by the Optionee, the Corporation or any Affiliate for any reason other than death, any Incentive Stock Option granted to such Optionee may not be exercised later than three months (one year in the case of Termination of Service due to Disability) after the date of such Termination of Service. For purposes of determining whether any Optionee has incurred a Termination of Service, an Optionee who is both an Employee (or a Consultant) and a member of the Board shall (with respect to any Non-Qualified Option that may have been granted to him) be considered to have incurred a Termination of Service only upon his Termination of Service both as an employee (or as a Consultant) and as a member of the Board. Furthermore, except as otherwise may be provided in, and only with respect to, a particular Plan Award, if an Optionee engages in an act or omission that would give rise to his Termination of Service by the Corporation or by any Affiliate for Cause, then the Optionee shall, at the time of such Termination of Service, automatically forfeit his rights to exercise any and all of the outstanding Option(s) theretofore granted to him.</w:t>
      </w:r>
    </w:p>
    <w:p>
      <w:pPr>
        <w:spacing w:after="0" w:line="180" w:lineRule="exact"/>
        <w:rPr>
          <w:rFonts w:ascii="Times New Roman" w:cs="Times New Roman" w:eastAsia="Times New Roman" w:hAnsi="Times New Roman"/>
          <w:sz w:val="17"/>
          <w:szCs w:val="17"/>
          <w:color w:val="auto"/>
        </w:rPr>
      </w:pPr>
    </w:p>
    <w:p>
      <w:pPr>
        <w:ind w:left="520" w:hanging="217"/>
        <w:spacing w:after="0"/>
        <w:tabs>
          <w:tab w:leader="none" w:pos="52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Maximum Amount of Incentive Stock Options</w:t>
      </w:r>
      <w:r>
        <w:rPr>
          <w:rFonts w:ascii="Times New Roman" w:cs="Times New Roman" w:eastAsia="Times New Roman" w:hAnsi="Times New Roman"/>
          <w:sz w:val="17"/>
          <w:szCs w:val="17"/>
          <w:color w:val="auto"/>
        </w:rPr>
        <w:t>. Each Plan Award under which Incentive Stock Options are granted shall provide that to the extent the sum of</w:t>
      </w:r>
    </w:p>
    <w:p>
      <w:pPr>
        <w:spacing w:after="0" w:line="22" w:lineRule="exact"/>
        <w:rPr>
          <w:rFonts w:ascii="Times New Roman" w:cs="Times New Roman" w:eastAsia="Times New Roman" w:hAnsi="Times New Roman"/>
          <w:sz w:val="17"/>
          <w:szCs w:val="17"/>
          <w:color w:val="auto"/>
        </w:rPr>
      </w:pPr>
    </w:p>
    <w:p>
      <w:pPr>
        <w:jc w:val="both"/>
        <w:ind w:firstLine="1"/>
        <w:spacing w:after="0" w:line="249" w:lineRule="auto"/>
        <w:tabs>
          <w:tab w:leader="none" w:pos="202"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Market Value of the shares of Common Stock (determined as of the date of the grant of the Option) subject to such Incentive Stock Option plus (ii) the Fair Market Values (determined as of the date(s) of grant of the option(s)) of all other shares of Common Stock subject to Incentive Stock Options granted to an Optionee by the Corporation or any Affiliate, which are exercisable for the first time by any person during any calendar year, exceed(s) $100,000, such excess shares of Common Stock shall not be deemed to be purchasable pursuant to Incentive Stock Options. The terms of the immediately preceding sentence shall be applied by taking all options, whether or not granted under the Plan, into account in the order in which they are granted.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4" w:name="page45"/>
    <w:bookmarkEnd w:id="44"/>
    <w:p>
      <w:pPr>
        <w:jc w:val="both"/>
        <w:ind w:firstLine="303"/>
        <w:spacing w:after="0" w:line="249" w:lineRule="auto"/>
        <w:tabs>
          <w:tab w:leader="none" w:pos="5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Procedures for Exercise of Option</w:t>
      </w:r>
      <w:r>
        <w:rPr>
          <w:rFonts w:ascii="Times New Roman" w:cs="Times New Roman" w:eastAsia="Times New Roman" w:hAnsi="Times New Roman"/>
          <w:sz w:val="17"/>
          <w:szCs w:val="17"/>
          <w:color w:val="auto"/>
        </w:rPr>
        <w:t>. The Committee may, in its sole discretion, establish procedures for an Optionee (i) to exercise an Option by payment of cash, (ii) to have withheld from the total number of shares of Common Stock to be acquired upon the exercise of an Option that number of shares having a Fair Market Value, which, together with such cash as shall be paid in respect of fractional shares, shall equal the Option exercise price of the total number of shares of Common Stock to be acquired, (iii) to exercise all or a portion of an Option by delivering that number of shares of Common Stock already owned by the Optionee having a Fair Market Value which shall equal the Option exercise price for the portion exercised and, in cases where an Option is not exercised in its entirety, and subject to the requirements of the Code, to permit the Optionee to deliver the shares of Common Stock thus acquired by him in payment of shares of Common Stock to be received pursuant to the exercise of additional portions of such Option, the effect of which shall be that an Optionee can in sequence utilize such newly acquired shares of Common Stock in payment of the exercise price of the entire Option, together with such cash as shall be paid in respect of fractional shares, (iv) delivery of a written or electronic notice that the Participant has placed a market sell order with a broker with respect to shares of Common Stock then issuable upon exercise of an Option, and that the broker has been directed to pay a sufficient portion of the net proceeds of the sale to the Corporation in satisfaction of the aggregate payments required; provided that payment of such proceeds is then made to the Corporation upon settlement of such sale, (v) other form of legal consideration acceptable to the Committee, or (vi) any combination of the foregoing. The Committee shall also determine the methods by which shares of Common Stock shall be delivered or deemed to be delivered to Participants. Notwithstanding any other provision of the Plan to the contrary, no Participant who is a member of the Board or an “executive officer” of the Corporation within the meaning of Section 13(k) of the Exchange Act shall be permitted to make payment with respect to any Options granted under the Plan, or continue any extension of credit with respect to such payment, with a loan from the Corporation or a loan arranged by the Corporation in violation of Section 13(k) of the Exchange Act, to the extent applicable. The Committee may, in its sole discretion, require that an exercise described under any one or more of the methods described under clause (iii) of the immediately preceding sentence (to the extent such exercise is, or is deemed to constitute, an exercise effected by the tendering of Common Stock) be consummated with Common Stock (i) held by the Optionee for at least six months or (ii) acquired by the Optionee other than under the Plan or a similar program.</w:t>
      </w:r>
    </w:p>
    <w:p>
      <w:pPr>
        <w:spacing w:after="0" w:line="181" w:lineRule="exact"/>
        <w:rPr>
          <w:rFonts w:ascii="Times New Roman" w:cs="Times New Roman" w:eastAsia="Times New Roman" w:hAnsi="Times New Roman"/>
          <w:sz w:val="17"/>
          <w:szCs w:val="17"/>
          <w:color w:val="auto"/>
        </w:rPr>
      </w:pPr>
    </w:p>
    <w:p>
      <w:pPr>
        <w:jc w:val="both"/>
        <w:ind w:firstLine="303"/>
        <w:spacing w:after="0" w:line="252" w:lineRule="auto"/>
        <w:tabs>
          <w:tab w:leader="none" w:pos="5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Substitute Awards</w:t>
      </w:r>
      <w:r>
        <w:rPr>
          <w:rFonts w:ascii="Times New Roman" w:cs="Times New Roman" w:eastAsia="Times New Roman" w:hAnsi="Times New Roman"/>
          <w:sz w:val="17"/>
          <w:szCs w:val="17"/>
          <w:color w:val="auto"/>
        </w:rPr>
        <w:t>. Notwithstanding the foregoing provisions of this Article V to the contrary, but subject to the requirements of Sections 409A and 424 of the Code, in the case of an Option that is a Substitute Award, the exercise price per share of the shares of Common Stock subject to such Option may be less than the Fair Market Value per share on the date of grant of the Substitute Award; provided that the excess of: (i) the aggregate Fair Market Value (as of the date such Substitute Award is granted) of the shares of Common Stock subject to the Substitute Award, over (ii) the aggregate exercise price thereof does not exceed the excess of: (x) the aggregate Fair Market Value (as of the time immediately preceding the transaction giving rise to the Substitute Award, such Fair Market Value to be determined by the Committee) of the shares of the predecessor entity that were subject to the grant assumed or substituted for by the Corporation, over (y) the aggregate exercise price of such shares pursuant to the option of the acquired company or other entity for which the Substitute Award substitutes.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 APPRECIATION RIGHTS</w:t>
      </w:r>
    </w:p>
    <w:p>
      <w:pPr>
        <w:spacing w:after="0" w:line="192" w:lineRule="exact"/>
        <w:rPr>
          <w:sz w:val="20"/>
          <w:szCs w:val="20"/>
          <w:color w:val="auto"/>
        </w:rPr>
      </w:pPr>
    </w:p>
    <w:p>
      <w:pPr>
        <w:jc w:val="both"/>
        <w:ind w:firstLine="303"/>
        <w:spacing w:after="0" w:line="265" w:lineRule="auto"/>
        <w:tabs>
          <w:tab w:leader="none" w:pos="531"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Tandem Stock Appreciation Rights</w:t>
      </w:r>
      <w:r>
        <w:rPr>
          <w:rFonts w:ascii="Times New Roman" w:cs="Times New Roman" w:eastAsia="Times New Roman" w:hAnsi="Times New Roman"/>
          <w:sz w:val="16"/>
          <w:szCs w:val="16"/>
          <w:color w:val="auto"/>
        </w:rPr>
        <w:t xml:space="preserve">. The Committee shall have the authority to grant Tandem Stock Appreciation Rights in tandem with an Option at the time of the grant of the Option. Each such Tandem Stock Appreciation Right shall be subject to the same terms and conditions as the related Option, if any, and shall be exercisable only at such times and to such extent as the related Option is exercisable;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a Tandem Stock Appreciation Right may be exercised only when the Fair Market Value of the Common Stock exceeds the exercise price of the related Option. A Tandem Stock Appreciation Right shall entitle the Optionee to surrender to the Corporation unexercised the related Option, or any portion thereof, and, except as provided below, to receive from the Corporation in exchange therefor that number of shares of Common Stock equal in value to the excess of the Fair Market Value of one share of the Common Stock of the Corporation on the Trading Day preceding the surrender of such Option over the exercise price per share of Common Stock multiplied by the number of shares of Common Stock provided for under the Option, or portion thereof, which is surrendered;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no fractional shares of Common Stock shall be issued by reason thereof (cash being delivered to the Participant in lieu of such fractional shares). The number of shares of Common Stock which may be received pursuant to the exercise of a Tandem Stock Appreciation Right may not exceed the number of shares of Common Stock provided for under the Option, or portion thereof, which is surrendered. The Committee shall have the right, in its sole discretion, to require a Participant to receive cash in whole or in part in settlement of a Tandem Stock Appreciation Right. Within 30 days following the receipt by the Committee of a request by the Participant to receive cash in whole or in part in settlement of a Tandem Stock Appreciation Right, the Committee shall, in its sole discretion, either consent to or disapprove, in whole or in part, such a request. A request to receive cash in whole or in part in settlement of a Tandem Stock Appreciation Right may provide that, to the extent that the Committee shall disapprove such request, such request shall be deemed to be an exercise of such Tandem Stock Appreciation Right for shares of Common Stock. Each Tandem SAR shall comply with the requirements of Treas. Reg. §1.409A-1(b)(5)(i)(B); provided, however, that the Committee shall have sole discretion, with respect to Stock Appreciation Rights, to establish an exercise price at less than the Fair Market Value per share of Common Stock on the date the Stock Appreciation Right is granted, but only if any such Stock Appreciation Right is designed to comply with the requirements of Section 409A of the Code by including one or more of the following provisions:</w:t>
      </w:r>
    </w:p>
    <w:p>
      <w:pPr>
        <w:spacing w:after="0" w:line="379" w:lineRule="exact"/>
        <w:rPr>
          <w:rFonts w:ascii="Times New Roman" w:cs="Times New Roman" w:eastAsia="Times New Roman" w:hAnsi="Times New Roman"/>
          <w:sz w:val="16"/>
          <w:szCs w:val="16"/>
          <w:color w:val="auto"/>
        </w:rPr>
      </w:pPr>
    </w:p>
    <w:p>
      <w:pPr>
        <w:jc w:val="both"/>
        <w:ind w:firstLine="606"/>
        <w:spacing w:after="0" w:line="261" w:lineRule="auto"/>
        <w:tabs>
          <w:tab w:leader="none" w:pos="821"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Award Agreement related to any such Stock Appreciation Right must provide that, under all circumstances, the Common Stock (or cash or other property) to be received by the Participant (or other person) upon the exercise or settlement of the Stock Appreciation Right must be so received no later than the 15th day of the third month of the year immediately following the year during which the Stock Appreciation Right vests;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5" w:name="page46"/>
    <w:bookmarkEnd w:id="45"/>
    <w:p>
      <w:pPr>
        <w:jc w:val="both"/>
        <w:ind w:firstLine="606"/>
        <w:spacing w:after="0" w:line="261" w:lineRule="auto"/>
        <w:tabs>
          <w:tab w:leader="none" w:pos="868"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Award Agreement related to any such Stock Appreciation Right must provide that the Stock Appreciation Right may be exercised only during a specific year specified in the Award Agreement or upon a payment event permitted under Section 409A of the Code and the regulations promulgated thereunder (with such year(s) and payment events being set forth in the related Award Agreement); or</w:t>
      </w:r>
    </w:p>
    <w:p>
      <w:pPr>
        <w:spacing w:after="0" w:line="169" w:lineRule="exact"/>
        <w:rPr>
          <w:rFonts w:ascii="Times New Roman" w:cs="Times New Roman" w:eastAsia="Times New Roman" w:hAnsi="Times New Roman"/>
          <w:sz w:val="17"/>
          <w:szCs w:val="17"/>
          <w:color w:val="auto"/>
        </w:rPr>
      </w:pPr>
    </w:p>
    <w:p>
      <w:pPr>
        <w:jc w:val="both"/>
        <w:ind w:firstLine="606"/>
        <w:spacing w:after="0" w:line="256" w:lineRule="auto"/>
        <w:tabs>
          <w:tab w:leader="none" w:pos="920"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Award Agreement related to any such Stock Appreciation Right must provide that Common Stock (or cash or other property) deliverable to a Participant (or other person) pursuant to an exercise or settlement of the Stock Appreciation Right may not be so delivered until a specified date or payment event permitted under Section 409A of the Code and the regulations promulgated thereunder (with such date(s) and payment events being set forth in the related Award Agreement).</w:t>
      </w:r>
    </w:p>
    <w:p>
      <w:pPr>
        <w:spacing w:after="0" w:line="174" w:lineRule="exact"/>
        <w:rPr>
          <w:rFonts w:ascii="Times New Roman" w:cs="Times New Roman" w:eastAsia="Times New Roman" w:hAnsi="Times New Roman"/>
          <w:sz w:val="17"/>
          <w:szCs w:val="17"/>
          <w:color w:val="auto"/>
        </w:rPr>
      </w:pPr>
    </w:p>
    <w:p>
      <w:pPr>
        <w:jc w:val="both"/>
        <w:ind w:firstLine="303"/>
        <w:spacing w:after="0" w:line="249" w:lineRule="auto"/>
        <w:tabs>
          <w:tab w:leader="none" w:pos="5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Freestanding Stock Appreciation Rights</w:t>
      </w:r>
      <w:r>
        <w:rPr>
          <w:rFonts w:ascii="Times New Roman" w:cs="Times New Roman" w:eastAsia="Times New Roman" w:hAnsi="Times New Roman"/>
          <w:sz w:val="17"/>
          <w:szCs w:val="17"/>
          <w:color w:val="auto"/>
        </w:rPr>
        <w:t xml:space="preserve">. The Committee also shall have the authority to grant Stock Appreciation Rights unrelated to any Option that may be granted hereunder. Each such Freestanding Stock Appreciation Right shall be subject to such terms and conditions as determined by the Committee. Freestanding Stock Appreciation Rights shall entitle the Participant to surrender to the Corporation a portion or all of such rights and, except as provided below, to receive from the Corporation in exchange therefor that number of shares of Common Stock (or cash, as provided below) equal in value to the excess of the Fair Market Value of one share of the Common Stock of the Corporation on the Trading Day preceding the surrender of such Freestanding Stock Appreciation Rights over the Fair Market Value per share of Common Stock (determined as of the date the Stock Appreciation Right was granted) multiplied by the number of Freestanding Stock Appreciation Rights which are surrendered;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 fractional shares of Common Stock shall be issued by reason thereof (cash being delivered to the Participant in lieu of such fractional shares). The Committee shall have the right, in its sole discretion, to require a Participant to receive cash in whole or in part in settlement of a Stock Appreciation Right. Within 30 days following the receipt by the Committee of a request by the Participant to receive cash in whole or in part in settlement of a Stock Appreciation Right, the Committee shall, in its sole discretion, either consent to or disapprove, in whole or in part, such a request. A request to receive cash in whole or in part in settlement of a Stock Appreciation Right may provide that, to the extent that the Committee shall disapprove such request, such request shall be deemed to be an exercise of such Stock Appreciation Right for shares of Common Stock. Each Freestanding Stock Appreciation Right shall comply with the requirements of Treas. Reg. §1.409A-1(b)(5)(i)(B); provided, however, that the Committee shall have sole discretion, with respect to Stock Appreciation Rights, to establish an exercise price at less than the Fair Market Value per share of Common Stock on the date the Stock Appreciation Right is granted, but only if any such Stock Appreciation Right is designed to comply with the requirements of Section 409A of the Code by including one or more of the following provisions:</w:t>
      </w:r>
    </w:p>
    <w:p>
      <w:pPr>
        <w:spacing w:after="0" w:line="185" w:lineRule="exact"/>
        <w:rPr>
          <w:rFonts w:ascii="Times New Roman" w:cs="Times New Roman" w:eastAsia="Times New Roman" w:hAnsi="Times New Roman"/>
          <w:sz w:val="17"/>
          <w:szCs w:val="17"/>
          <w:color w:val="auto"/>
        </w:rPr>
      </w:pPr>
    </w:p>
    <w:p>
      <w:pPr>
        <w:jc w:val="both"/>
        <w:ind w:firstLine="682"/>
        <w:spacing w:after="0" w:line="261" w:lineRule="auto"/>
        <w:tabs>
          <w:tab w:leader="none" w:pos="893" w:val="left"/>
        </w:tabs>
        <w:numPr>
          <w:ilvl w:val="2"/>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Award Agreement related to any such Stock Appreciation Right must provide that, under all circumstances, the Common Stock (or cash or other property) to be received by the Participant (or other person) upon the exercise or settlement of the Stock Appreciation Right must be so received no later than the 15th day of the third month of the year immediately following the year during which the Stock Appreciation Right vests;</w:t>
      </w:r>
    </w:p>
    <w:p>
      <w:pPr>
        <w:spacing w:after="0" w:line="169" w:lineRule="exact"/>
        <w:rPr>
          <w:rFonts w:ascii="Times New Roman" w:cs="Times New Roman" w:eastAsia="Times New Roman" w:hAnsi="Times New Roman"/>
          <w:sz w:val="17"/>
          <w:szCs w:val="17"/>
          <w:color w:val="auto"/>
        </w:rPr>
      </w:pPr>
    </w:p>
    <w:p>
      <w:pPr>
        <w:jc w:val="both"/>
        <w:ind w:firstLine="682"/>
        <w:spacing w:after="0" w:line="261" w:lineRule="auto"/>
        <w:tabs>
          <w:tab w:leader="none" w:pos="940" w:val="left"/>
        </w:tabs>
        <w:numPr>
          <w:ilvl w:val="2"/>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Award Agreement related to any such Stock Appreciation Right must provide that the Stock Appreciation Right may be exercised only during a specific year specified in the Award Agreement or upon a payment event permitted under Section 409A of the Code and the regulations promulgated thereunder (with such year(s) and payment events being set forth in the related Award Agreement); or</w:t>
      </w:r>
    </w:p>
    <w:p>
      <w:pPr>
        <w:spacing w:after="0" w:line="169" w:lineRule="exact"/>
        <w:rPr>
          <w:rFonts w:ascii="Times New Roman" w:cs="Times New Roman" w:eastAsia="Times New Roman" w:hAnsi="Times New Roman"/>
          <w:sz w:val="17"/>
          <w:szCs w:val="17"/>
          <w:color w:val="auto"/>
        </w:rPr>
      </w:pPr>
    </w:p>
    <w:p>
      <w:pPr>
        <w:jc w:val="both"/>
        <w:ind w:firstLine="682"/>
        <w:spacing w:after="0" w:line="256" w:lineRule="auto"/>
        <w:tabs>
          <w:tab w:leader="none" w:pos="992" w:val="left"/>
        </w:tabs>
        <w:numPr>
          <w:ilvl w:val="2"/>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Award Agreement related to any such Stock Appreciation Right must provide that Common Stock (or cash or other property) deliverable to a Participant (or other person) pursuant to an exercise or settlement of the Stock Appreciation Right may not be so delivered until a specified date or payment event permitted under Section 409A of the Code and the regulations promulgated thereunder (with such date(s) and payment events being set forth in the related Award Agreement).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6" w:name="page47"/>
    <w:bookmarkEnd w:id="46"/>
    <w:p>
      <w:pPr>
        <w:jc w:val="both"/>
        <w:ind w:firstLine="303"/>
        <w:spacing w:after="0" w:line="252" w:lineRule="auto"/>
        <w:tabs>
          <w:tab w:leader="none" w:pos="544"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of Stock Appreciation Rights.</w:t>
      </w:r>
      <w:r>
        <w:rPr>
          <w:rFonts w:ascii="Times New Roman" w:cs="Times New Roman" w:eastAsia="Times New Roman" w:hAnsi="Times New Roman"/>
          <w:sz w:val="17"/>
          <w:szCs w:val="17"/>
          <w:color w:val="auto"/>
        </w:rPr>
        <w:t xml:space="preserve"> The exercisability of a Plan Award granted under this Article VI shall be determined as set forth in any agreement executed by the Corporation and such Participant hereunder. For purposes of determining whether a Participant has incurred a Termination of Service (in the context of determining the non-forfeitability of his Stock Appreciation Rights), a Participant who is both an Employee (or a Consultant) and a member of the Board shall be considered to have incurred a Termination of Service only upon his Termination of Service both as an Employee (or as a Consultant) and as a member of the Board. Except as otherwise may be provided in, and only with respect to, a particular Plan Award, if the Participant engages in any act or omission that would give rise to his involuntary Termination of Service for Cause, then the Participant shall, at the time of such Termination of Service, forfeit his rights to exercise any and all of the outstanding Plan Awards granted under this Article VI.</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RESTRICTED STOCK AND PERFORMANCE SHARES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Committee shall have the authority to grant shares of Restricted Stock and/or Performance Shares. The terms and conditions of Performance Shares and shares of</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Restricted Stock shall be determined from time to time by the Committee, without limitation, except as otherwise provided in the Plan. Furthermore:</w:t>
      </w:r>
    </w:p>
    <w:p>
      <w:pPr>
        <w:spacing w:after="0" w:line="192" w:lineRule="exact"/>
        <w:rPr>
          <w:sz w:val="20"/>
          <w:szCs w:val="20"/>
          <w:color w:val="auto"/>
        </w:rPr>
      </w:pPr>
    </w:p>
    <w:p>
      <w:pPr>
        <w:jc w:val="both"/>
        <w:ind w:firstLine="303"/>
        <w:spacing w:after="0" w:line="261" w:lineRule="auto"/>
        <w:tabs>
          <w:tab w:leader="none" w:pos="531"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Services Rendered</w:t>
      </w:r>
      <w:r>
        <w:rPr>
          <w:rFonts w:ascii="Times New Roman" w:cs="Times New Roman" w:eastAsia="Times New Roman" w:hAnsi="Times New Roman"/>
          <w:sz w:val="17"/>
          <w:szCs w:val="17"/>
          <w:color w:val="auto"/>
        </w:rPr>
        <w:t xml:space="preserve">. Each such Award of Restricted Stock and Performance Shares shall be granted for Services rendered or to be rendered;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with regard to Common Stock-based Plan Awards, the value of the Services performed must equal or exceed the par value of such shares of Common Stock to be granted to the Participant.</w:t>
      </w:r>
    </w:p>
    <w:p>
      <w:pPr>
        <w:spacing w:after="0" w:line="169" w:lineRule="exact"/>
        <w:rPr>
          <w:rFonts w:ascii="Times New Roman" w:cs="Times New Roman" w:eastAsia="Times New Roman" w:hAnsi="Times New Roman"/>
          <w:sz w:val="17"/>
          <w:szCs w:val="17"/>
          <w:color w:val="auto"/>
        </w:rPr>
      </w:pPr>
    </w:p>
    <w:p>
      <w:pPr>
        <w:jc w:val="both"/>
        <w:ind w:firstLine="303"/>
        <w:spacing w:after="0" w:line="254" w:lineRule="auto"/>
        <w:tabs>
          <w:tab w:leader="none" w:pos="5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Duration of Performance or Restricted Period; Satisfaction of Conditions</w:t>
      </w:r>
      <w:r>
        <w:rPr>
          <w:rFonts w:ascii="Times New Roman" w:cs="Times New Roman" w:eastAsia="Times New Roman" w:hAnsi="Times New Roman"/>
          <w:sz w:val="17"/>
          <w:szCs w:val="17"/>
          <w:color w:val="auto"/>
        </w:rPr>
        <w:t>. The duration of the performance or restricted period and the condition or conditions upon which (i) such restrictions will lapse (and upon which the restricted period will end), (ii) the performance goals will be deemed to have been satisfied and (iii) such Plan Awards will be paid or distributed shall, except as otherwise provided herein, be determined by the Committee at the time each such grant is made and will be set forth under the subject Award Agreement. More than one grant may be outstanding at any one time, and performance or restricted periods may be of different lengths.</w:t>
      </w:r>
    </w:p>
    <w:p>
      <w:pPr>
        <w:spacing w:after="0" w:line="175" w:lineRule="exact"/>
        <w:rPr>
          <w:rFonts w:ascii="Times New Roman" w:cs="Times New Roman" w:eastAsia="Times New Roman" w:hAnsi="Times New Roman"/>
          <w:sz w:val="17"/>
          <w:szCs w:val="17"/>
          <w:color w:val="auto"/>
        </w:rPr>
      </w:pPr>
    </w:p>
    <w:p>
      <w:pPr>
        <w:jc w:val="both"/>
        <w:ind w:firstLine="303"/>
        <w:spacing w:after="0" w:line="249" w:lineRule="auto"/>
        <w:tabs>
          <w:tab w:leader="none" w:pos="531"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Restricted Stock</w:t>
      </w:r>
      <w:r>
        <w:rPr>
          <w:rFonts w:ascii="Times New Roman" w:cs="Times New Roman" w:eastAsia="Times New Roman" w:hAnsi="Times New Roman"/>
          <w:sz w:val="17"/>
          <w:szCs w:val="17"/>
          <w:color w:val="auto"/>
        </w:rPr>
        <w:t>. Shares of Common Stock granted in the form of Restricted Stock shall be registered in the name of the Participant and, together with a stock power endorsed by the Participant in blank, deposited with the Corporation at the time the Plan Award is granted. With respect to such Restricted Stock, the Participant shall generally have the rights and privileges of a stockholder of the Corporation as to such shares except that the following restrictions shall apply: (i) the Participant shall not be entitled to delivery of a certificate until the expiration or termination of the restricted period; (ii) none of the shares of Restricted Stock may be sold, transferred, assigned, pledged, or otherwise encumbered or disposed of during the restricted period; and (iii) all of the shares of Restricted Stock shall be forfeited by the Participant without further obligation on the part of the Corporation as set forth in this Section VII(c) hereof. Cash and stock dividends and distributions with respect to the Restricted Stock will be withheld by the Corporation for the Participant’s account, and interest may be paid on the amount of cash dividends withheld at a rate and subject to such terms as may be determined by the Committee. All cash or stock dividends and distributions so withheld by the Corporation shall initially be subject to forfeiture, but shall become non-forfeitable and payable at the same times, and at the same rate, as determined with respect to the lapse of restrictions on the underlying Restricted Stock. Upon the forfeiture of any shares of Restricted Stock, such forfeited shares of Common Stock (and any dividends and distributions set aside thereon) shall be transferred to the Corporation without further action by the Participant. Upon the expiration or termination of the restricted period, the restrictions imposed on the appropriate shares of Restricted Stock shall lapse and a stock certificate for the number of shares of Restricted Stock with respect to which the restrictions have lapsed shall be delivered, free of all such restrictions, except any that may be imposed by Applicable Law or by any applicable agreement, to the Participant. A Participant who files an election with the Internal Revenue Service to include the Fair Market Value of any Restricted Stock in gross income while they are still subject to restrictions shall promptly furnish the Corporation with a copy of such election together with the amount of any federal, state, local or other taxes that may be required to be withheld to enable the Corporation to claim an income tax deduction with respect to such election.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7" w:name="page48"/>
    <w:bookmarkEnd w:id="47"/>
    <w:p>
      <w:pPr>
        <w:ind w:firstLine="303"/>
        <w:spacing w:after="0" w:line="274" w:lineRule="auto"/>
        <w:tabs>
          <w:tab w:leader="none" w:pos="5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Performance Shares</w:t>
      </w:r>
      <w:r>
        <w:rPr>
          <w:rFonts w:ascii="Times New Roman" w:cs="Times New Roman" w:eastAsia="Times New Roman" w:hAnsi="Times New Roman"/>
          <w:sz w:val="17"/>
          <w:szCs w:val="17"/>
          <w:color w:val="auto"/>
        </w:rPr>
        <w:t>. For purposes of this Article VII, Performance Shares shall be substantially identical to shares of Restricted Stock except that the vesting of such Performance Shares will be based solely upon the attainment of one or more performance targets, as further described below.</w:t>
      </w:r>
    </w:p>
    <w:p>
      <w:pPr>
        <w:spacing w:after="0" w:line="158" w:lineRule="exact"/>
        <w:rPr>
          <w:rFonts w:ascii="Times New Roman" w:cs="Times New Roman" w:eastAsia="Times New Roman" w:hAnsi="Times New Roman"/>
          <w:sz w:val="17"/>
          <w:szCs w:val="17"/>
          <w:color w:val="auto"/>
        </w:rPr>
      </w:pPr>
    </w:p>
    <w:p>
      <w:pPr>
        <w:jc w:val="both"/>
        <w:ind w:firstLine="303"/>
        <w:spacing w:after="0" w:line="250" w:lineRule="auto"/>
        <w:tabs>
          <w:tab w:leader="none" w:pos="544"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Performance Targets</w:t>
      </w:r>
      <w:r>
        <w:rPr>
          <w:rFonts w:ascii="Times New Roman" w:cs="Times New Roman" w:eastAsia="Times New Roman" w:hAnsi="Times New Roman"/>
          <w:sz w:val="17"/>
          <w:szCs w:val="17"/>
          <w:color w:val="auto"/>
        </w:rPr>
        <w:t>. At the time of each grant, the Committee shall establish specific performance targets (to be satisfied during the performance period) and/or periods of service to which the vesting of Performance Shares and shares of Restricted Stock shall be subject. The Committee may also establish a relationship between performance targets and the number of Performance Shares and shares of Restricted Stock which shall become vested. Furthermore, the Committee also may establish a relationship between performance results other than the targets and the number of Performance Shares and shares of Restricted Stock which shall become vested. The Committee shall determine the measures of performance to be used in determining the extent to which restrictions on shares of Restricted Stock and Performance Shares shall lapse. Performance measures and targets may vary among grants and the Committee may, in its sole discretion, make such adjustments as it may deem necessary or advisable in the event of material changes in the criteria used for establishing performance targets which would result in the dilution or enlargement of a Participant’s award outside the goals intended by the Committee at the time of the grant of the Plan Award. The performance targets must be established in writing (i) at the time of the grant of the Plan Award or (ii) if the performance period is 12 months or longer and the Participant performs Services on a continuous basis from the beginning of the performance period or, if later, from the date the performance targets are determined, no later than six months before the end of the performance period. Notwithstanding the foregoing, the performance targets must be established in writing while the attainment of such targets remains uncertain.</w:t>
      </w:r>
    </w:p>
    <w:p>
      <w:pPr>
        <w:spacing w:after="0" w:line="178" w:lineRule="exact"/>
        <w:rPr>
          <w:rFonts w:ascii="Times New Roman" w:cs="Times New Roman" w:eastAsia="Times New Roman" w:hAnsi="Times New Roman"/>
          <w:sz w:val="17"/>
          <w:szCs w:val="17"/>
          <w:color w:val="auto"/>
        </w:rPr>
      </w:pPr>
    </w:p>
    <w:p>
      <w:pPr>
        <w:jc w:val="both"/>
        <w:ind w:firstLine="303"/>
        <w:spacing w:after="0" w:line="252" w:lineRule="auto"/>
        <w:tabs>
          <w:tab w:leader="none" w:pos="538"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Service</w:t>
      </w:r>
      <w:r>
        <w:rPr>
          <w:rFonts w:ascii="Times New Roman" w:cs="Times New Roman" w:eastAsia="Times New Roman" w:hAnsi="Times New Roman"/>
          <w:sz w:val="17"/>
          <w:szCs w:val="17"/>
          <w:color w:val="auto"/>
        </w:rPr>
        <w:t>. The vesting of a Plan Award granted under this Article VII shall be determined as set forth in any agreement executed by the Corporation and such Participant hereunder. For these purposes, any Participant who is both an Employee (or a Consultant) and a member of the Board will be considered to have incurred a Termination of Service only upon his Termination of Service both as an Employee (or as a Consultant) and as a member of the Board. Except as otherwise may be provided in, and only with respect to, a particular Plan Award, if the Participant engages in any act or omission that would give rise to his Termination of Service for Cause, all Plan Awards granted under this Section VII and subject to restrictions shall be immediately forfeited. In such case, the Corporation shall have the right to complete the blank stock power with respect to shares of Restricted Stock and Performance Shares and transfer the same to the Corporation’s treasury.</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RESTRICTED STOCK UNITS AND PERFORMANCE UNITS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Committee shall have the authority to grant Restricted Stock Units and/or Performance Units either separately or in combination with other Plan Awards. The terms and conditions of Restricted Stock Units and Performance Units shall be determined from time to time by the Committee, without limitation, except as otherwise provided in the Plan. Furthermore:</w:t>
      </w:r>
    </w:p>
    <w:p>
      <w:pPr>
        <w:spacing w:after="0" w:line="169" w:lineRule="exact"/>
        <w:rPr>
          <w:sz w:val="20"/>
          <w:szCs w:val="20"/>
          <w:color w:val="auto"/>
        </w:rPr>
      </w:pPr>
    </w:p>
    <w:p>
      <w:pPr>
        <w:ind w:firstLine="303"/>
        <w:spacing w:after="0" w:line="274" w:lineRule="auto"/>
        <w:tabs>
          <w:tab w:leader="none" w:pos="531"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Services Rendered</w:t>
      </w:r>
      <w:r>
        <w:rPr>
          <w:rFonts w:ascii="Times New Roman" w:cs="Times New Roman" w:eastAsia="Times New Roman" w:hAnsi="Times New Roman"/>
          <w:sz w:val="17"/>
          <w:szCs w:val="17"/>
          <w:color w:val="auto"/>
        </w:rPr>
        <w:t xml:space="preserve">. Each such Plan Award shall be granted for Services rendered or to be rendered;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with regard to Common Stock-based Plan Awards, the value of the Services performed must equal or exceed the par value of such shares of Common Stock to be granted to the Participant.</w:t>
      </w:r>
    </w:p>
    <w:p>
      <w:pPr>
        <w:spacing w:after="0" w:line="158" w:lineRule="exact"/>
        <w:rPr>
          <w:rFonts w:ascii="Times New Roman" w:cs="Times New Roman" w:eastAsia="Times New Roman" w:hAnsi="Times New Roman"/>
          <w:sz w:val="17"/>
          <w:szCs w:val="17"/>
          <w:color w:val="auto"/>
        </w:rPr>
      </w:pPr>
    </w:p>
    <w:p>
      <w:pPr>
        <w:jc w:val="both"/>
        <w:ind w:firstLine="303"/>
        <w:spacing w:after="0" w:line="254" w:lineRule="auto"/>
        <w:tabs>
          <w:tab w:leader="none" w:pos="5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Duration of Performance or Restricted Period; Satisfaction of Conditions</w:t>
      </w:r>
      <w:r>
        <w:rPr>
          <w:rFonts w:ascii="Times New Roman" w:cs="Times New Roman" w:eastAsia="Times New Roman" w:hAnsi="Times New Roman"/>
          <w:sz w:val="17"/>
          <w:szCs w:val="17"/>
          <w:color w:val="auto"/>
        </w:rPr>
        <w:t>. The duration of the performance or restricted period and the condition or conditions upon which (i) such restrictions will lapse (and upon which the restricted period will end), (ii) the performance goals will be deemed to have been satisfied and (iii) such Plan Awards will be paid or distributed shall, except as otherwise provided herein, be determined by the Committee at the time each such grant is made and will be set forth under the subject Award Agreement. More than one grant may be outstanding at any one time, and performance or restricted periods may be of different lengths.</w:t>
      </w:r>
    </w:p>
    <w:p>
      <w:pPr>
        <w:spacing w:after="0" w:line="175" w:lineRule="exact"/>
        <w:rPr>
          <w:rFonts w:ascii="Times New Roman" w:cs="Times New Roman" w:eastAsia="Times New Roman" w:hAnsi="Times New Roman"/>
          <w:sz w:val="17"/>
          <w:szCs w:val="17"/>
          <w:color w:val="auto"/>
        </w:rPr>
      </w:pPr>
    </w:p>
    <w:p>
      <w:pPr>
        <w:jc w:val="both"/>
        <w:ind w:firstLine="303"/>
        <w:spacing w:after="0" w:line="254" w:lineRule="auto"/>
        <w:tabs>
          <w:tab w:leader="none" w:pos="531"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Restricted Stock Units</w:t>
      </w:r>
      <w:r>
        <w:rPr>
          <w:rFonts w:ascii="Times New Roman" w:cs="Times New Roman" w:eastAsia="Times New Roman" w:hAnsi="Times New Roman"/>
          <w:sz w:val="17"/>
          <w:szCs w:val="17"/>
          <w:color w:val="auto"/>
        </w:rPr>
        <w:t>. The Committee may grant one or more Restricted Stock Units to a Participant. Such Restricted Stock Units shall vest pursuant to the vesting schedule set forth in the related Award Agreement and the shares of Common Stock underlying vested Restricted Stock Units will be distributed to the Participant on the date(s), or upon the event(s), set forth in the related Award Agreement in the amount of one share of Common Stock for each vested Restricted Stock Unit. At the time of distribution, a stock certificate for such number of shares of Common Stock shall be delivered to the Participant free of all restrictions (except any restrictions that may be imposed (i) under the Award Agreement, (ii) by Applicable Law, or (iii) by any applicable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8" w:name="page49"/>
    <w:bookmarkEnd w:id="48"/>
    <w:p>
      <w:pPr>
        <w:ind w:firstLine="303"/>
        <w:spacing w:after="0" w:line="274" w:lineRule="auto"/>
        <w:tabs>
          <w:tab w:leader="none" w:pos="553"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Performance Units</w:t>
      </w:r>
      <w:r>
        <w:rPr>
          <w:rFonts w:ascii="Times New Roman" w:cs="Times New Roman" w:eastAsia="Times New Roman" w:hAnsi="Times New Roman"/>
          <w:sz w:val="17"/>
          <w:szCs w:val="17"/>
          <w:color w:val="auto"/>
        </w:rPr>
        <w:t>. For purposes of this Article VIII, Performance Units shall be substantially identical to shares of Restricted Stock Units except that the vesting of such Performance Units will be based solely upon the attainment of one or more performance targets, as further described below.</w:t>
      </w:r>
    </w:p>
    <w:p>
      <w:pPr>
        <w:spacing w:after="0" w:line="158" w:lineRule="exact"/>
        <w:rPr>
          <w:rFonts w:ascii="Times New Roman" w:cs="Times New Roman" w:eastAsia="Times New Roman" w:hAnsi="Times New Roman"/>
          <w:sz w:val="17"/>
          <w:szCs w:val="17"/>
          <w:color w:val="auto"/>
        </w:rPr>
      </w:pPr>
    </w:p>
    <w:p>
      <w:pPr>
        <w:jc w:val="both"/>
        <w:ind w:firstLine="303"/>
        <w:spacing w:after="0" w:line="250" w:lineRule="auto"/>
        <w:tabs>
          <w:tab w:leader="none" w:pos="544"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Performance Targets</w:t>
      </w:r>
      <w:r>
        <w:rPr>
          <w:rFonts w:ascii="Times New Roman" w:cs="Times New Roman" w:eastAsia="Times New Roman" w:hAnsi="Times New Roman"/>
          <w:sz w:val="17"/>
          <w:szCs w:val="17"/>
          <w:color w:val="auto"/>
        </w:rPr>
        <w:t>. At the time of each grant, the Committee shall establish specific performance targets (to be satisfied during the performance period) and/or periods of service to which the vesting of Performance Units and Restricted Stock Units shall be conditioned. The Committee may also establish a relationship between performance targets and the number of Performance Units and Restricted Stock Units which shall be earned. Furthermore, the Committee also may establish a relationship between performance results other than the targets and the number of Restricted Stock Units and the number or value of Performance Units which shall be earned. The Committee shall determine the measures of performance to be used in determining the extent to which restrictions on Restricted Stock Units or Performance Units shall lapse. Performance measures and targets may vary among grants and the Committee may, in its sole discretion, make such adjustments as it may deem necessary or advisable in the event of material changes in the criteria used for establishing performance targets which would result in the dilution or enlargement of a Participant’s award outside the goals intended by the Committee at the time of the grant of the Plan Award. The performance targets must be established in writing (i) at the time of the grant of the Plan Award or (ii) if the performance period is 12 months or longer and the Participant performs Services on a continuous basis from the beginning of the performance period or, if later, from the date the performance targets are determined, no later than six months before the end of the performance period. Notwithstanding the foregoing, the performance targets must be established in writing while the attainment of such targets remains uncertain.</w:t>
      </w:r>
    </w:p>
    <w:p>
      <w:pPr>
        <w:spacing w:after="0" w:line="178" w:lineRule="exact"/>
        <w:rPr>
          <w:rFonts w:ascii="Times New Roman" w:cs="Times New Roman" w:eastAsia="Times New Roman" w:hAnsi="Times New Roman"/>
          <w:sz w:val="17"/>
          <w:szCs w:val="17"/>
          <w:color w:val="auto"/>
        </w:rPr>
      </w:pPr>
    </w:p>
    <w:p>
      <w:pPr>
        <w:jc w:val="both"/>
        <w:ind w:firstLine="303"/>
        <w:spacing w:after="0" w:line="254" w:lineRule="auto"/>
        <w:tabs>
          <w:tab w:leader="none" w:pos="538"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 or Interest Equivalents for Restricted Stock Units and Performance Units</w:t>
      </w:r>
      <w:r>
        <w:rPr>
          <w:rFonts w:ascii="Times New Roman" w:cs="Times New Roman" w:eastAsia="Times New Roman" w:hAnsi="Times New Roman"/>
          <w:sz w:val="17"/>
          <w:szCs w:val="17"/>
          <w:color w:val="auto"/>
        </w:rPr>
        <w:t>. The Committee may provide that amounts equivalent to dividends, distributions or interest shall be payable with respect to Restricted Stock Units or Performance Units held in the Participant’s performance account. Such amounts shall be credited to the performance account, and shall be payable to the Participant in cash or in Common Stock, as set forth under the terms of the subject Plan Award, at such time as the Restricted Stock Units or Performance Units are earned. The Committee further may provide that amounts equivalent to interest, dividends or distributions held in the performance accounts shall be credited to such accounts on a periodic or other basis.</w:t>
      </w:r>
    </w:p>
    <w:p>
      <w:pPr>
        <w:spacing w:after="0" w:line="175" w:lineRule="exact"/>
        <w:rPr>
          <w:rFonts w:ascii="Times New Roman" w:cs="Times New Roman" w:eastAsia="Times New Roman" w:hAnsi="Times New Roman"/>
          <w:sz w:val="17"/>
          <w:szCs w:val="17"/>
          <w:color w:val="auto"/>
        </w:rPr>
      </w:pPr>
    </w:p>
    <w:p>
      <w:pPr>
        <w:jc w:val="both"/>
        <w:ind w:firstLine="303"/>
        <w:spacing w:after="0" w:line="254" w:lineRule="auto"/>
        <w:tabs>
          <w:tab w:leader="none" w:pos="553"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Service</w:t>
      </w:r>
      <w:r>
        <w:rPr>
          <w:rFonts w:ascii="Times New Roman" w:cs="Times New Roman" w:eastAsia="Times New Roman" w:hAnsi="Times New Roman"/>
          <w:sz w:val="17"/>
          <w:szCs w:val="17"/>
          <w:color w:val="auto"/>
        </w:rPr>
        <w:t>. The vesting of a Plan Award granted under this Article VIII shall be determined as set forth in any agreement executed by the Corporation and such Participant hereunder. For these purposes, any Participant who is both an Employee (or a Consultant) and a member of the Board will be considered to have incurred a Termination of Service only upon his Termination of Service both as an Employee (or as a Consultant) and as a member of the Board. Except as otherwise may be provided in, and only with respect to, a particular Plan Award, if the Participant engages in any act or omission that would give rise to his Termination of Service for Cause, all Plan Awards granted under this Section VIII and subject to restrictions shall be immediately forfeited.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IX</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CASH INCENTIVES</w:t>
      </w:r>
    </w:p>
    <w:p>
      <w:pPr>
        <w:spacing w:after="0" w:line="19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Committee shall have the authority to grant Cash Incentives either separately or in combination with other Plan Awards. The terms and conditions of Cash Incentives shall be determined from time to time by the Committee, without limitation, except as otherwise provided in the Plan. Furthermore:</w:t>
      </w:r>
    </w:p>
    <w:p>
      <w:pPr>
        <w:spacing w:after="0" w:line="159" w:lineRule="exact"/>
        <w:rPr>
          <w:sz w:val="20"/>
          <w:szCs w:val="20"/>
          <w:color w:val="auto"/>
        </w:rPr>
      </w:pPr>
    </w:p>
    <w:p>
      <w:pPr>
        <w:ind w:left="540" w:hanging="237"/>
        <w:spacing w:after="0"/>
        <w:tabs>
          <w:tab w:leader="none" w:pos="5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Services Rendered</w:t>
      </w:r>
      <w:r>
        <w:rPr>
          <w:rFonts w:ascii="Times New Roman" w:cs="Times New Roman" w:eastAsia="Times New Roman" w:hAnsi="Times New Roman"/>
          <w:sz w:val="17"/>
          <w:szCs w:val="17"/>
          <w:color w:val="auto"/>
        </w:rPr>
        <w:t>. Each such Plan Award shall be granted for Services rendered or to be rendered.</w:t>
      </w:r>
    </w:p>
    <w:p>
      <w:pPr>
        <w:spacing w:after="0" w:line="207" w:lineRule="exact"/>
        <w:rPr>
          <w:rFonts w:ascii="Times New Roman" w:cs="Times New Roman" w:eastAsia="Times New Roman" w:hAnsi="Times New Roman"/>
          <w:sz w:val="17"/>
          <w:szCs w:val="17"/>
          <w:color w:val="auto"/>
        </w:rPr>
      </w:pPr>
    </w:p>
    <w:p>
      <w:pPr>
        <w:jc w:val="both"/>
        <w:ind w:firstLine="303"/>
        <w:spacing w:after="0" w:line="254" w:lineRule="auto"/>
        <w:tabs>
          <w:tab w:leader="none" w:pos="5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Duration of Performance or Restricted Period; Satisfaction of Conditions</w:t>
      </w:r>
      <w:r>
        <w:rPr>
          <w:rFonts w:ascii="Times New Roman" w:cs="Times New Roman" w:eastAsia="Times New Roman" w:hAnsi="Times New Roman"/>
          <w:sz w:val="17"/>
          <w:szCs w:val="17"/>
          <w:color w:val="auto"/>
        </w:rPr>
        <w:t>. The duration of the performance or restricted period and the condition or conditions upon which (i) such restrictions will lapse (and upon which the restricted period will end), upon which (ii) the performance goals will be deemed to have been satisfied and (iii) such Plan Awards will be paid or distributed shall, except as otherwise provided herein, be determined by the Committee at the time each such grant is made and will be set forth under the subject Award Agreement. More than one grant may be outstanding at any one time, and performance or restricted periods may be of different lengths.</w:t>
      </w:r>
    </w:p>
    <w:p>
      <w:pPr>
        <w:spacing w:after="0" w:line="175" w:lineRule="exact"/>
        <w:rPr>
          <w:rFonts w:ascii="Times New Roman" w:cs="Times New Roman" w:eastAsia="Times New Roman" w:hAnsi="Times New Roman"/>
          <w:sz w:val="17"/>
          <w:szCs w:val="17"/>
          <w:color w:val="auto"/>
        </w:rPr>
      </w:pPr>
    </w:p>
    <w:p>
      <w:pPr>
        <w:jc w:val="both"/>
        <w:ind w:firstLine="303"/>
        <w:spacing w:after="0" w:line="254" w:lineRule="auto"/>
        <w:tabs>
          <w:tab w:leader="none" w:pos="531"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Cash Incentives</w:t>
      </w:r>
      <w:r>
        <w:rPr>
          <w:rFonts w:ascii="Times New Roman" w:cs="Times New Roman" w:eastAsia="Times New Roman" w:hAnsi="Times New Roman"/>
          <w:sz w:val="17"/>
          <w:szCs w:val="17"/>
          <w:color w:val="auto"/>
        </w:rPr>
        <w:t>. The Committee may grant Cash Incentive awards to one or more Participants, which provide that the recipients will receive cash payments (of either a fixed dollar amount or an amount determined by formula) at a specified time in the future based upon the attainment of certain vesting requirements one or more annual or multi-year performance goals, as further described below. Except as may be provided in an Award Agreement with respect to a particular Participant, any Cash Incentives earned during a performance period shall be paid in cash within 2½ months after the end of the performance period to which such Plan Award relates.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9" w:name="page50"/>
    <w:bookmarkEnd w:id="49"/>
    <w:p>
      <w:pPr>
        <w:jc w:val="both"/>
        <w:ind w:firstLine="303"/>
        <w:spacing w:after="0" w:line="250" w:lineRule="auto"/>
        <w:tabs>
          <w:tab w:leader="none" w:pos="553"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Performance Targets</w:t>
      </w:r>
      <w:r>
        <w:rPr>
          <w:rFonts w:ascii="Times New Roman" w:cs="Times New Roman" w:eastAsia="Times New Roman" w:hAnsi="Times New Roman"/>
          <w:sz w:val="17"/>
          <w:szCs w:val="17"/>
          <w:color w:val="auto"/>
        </w:rPr>
        <w:t>. At the time of each grant, the Committee shall establish specific performance targets (to be satisfied during the performance period) and/or periods of service to which the vesting of Cash Incentives shall be conditioned. The Committee may also establish a relationship between performance targets and the amount of Cash Incentives which shall be earned. Furthermore, the Committee also may establish a relationship between performance results other than the targets and the amount of Cash Incentives which shall be earned. The Committee shall determine the measures of performance to be used in determining the extent to which Cash Incentives are earned. Performance measures and targets may vary among grants and the Committee may, in its sole discretion, make such adjustments as it may deem necessary or advisable in the event of material changes in the criteria used for establishing performance targets which would result in the dilution or enlargement of a Participant’s award outside the goals intended by the Committee at the time of the grant of the Plan Award. The performance targets must be established in writing (i) at the time of the grant of the Plan Award or (ii) if the performance period is 12 months or longer and the Participant performs Services on a continuous basis from the beginning of the performance period or, if later, from the date the performance targets are determined, no later than six months before the end of the performance period. Notwithstanding the foregoing, the performance targets must be established in writing while the attainment of such targets remains uncertain.</w:t>
      </w:r>
    </w:p>
    <w:p>
      <w:pPr>
        <w:spacing w:after="0" w:line="180" w:lineRule="exact"/>
        <w:rPr>
          <w:rFonts w:ascii="Times New Roman" w:cs="Times New Roman" w:eastAsia="Times New Roman" w:hAnsi="Times New Roman"/>
          <w:sz w:val="17"/>
          <w:szCs w:val="17"/>
          <w:color w:val="auto"/>
        </w:rPr>
      </w:pPr>
    </w:p>
    <w:p>
      <w:pPr>
        <w:jc w:val="both"/>
        <w:ind w:firstLine="303"/>
        <w:spacing w:after="0" w:line="254" w:lineRule="auto"/>
        <w:tabs>
          <w:tab w:leader="none" w:pos="55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Service</w:t>
      </w:r>
      <w:r>
        <w:rPr>
          <w:rFonts w:ascii="Times New Roman" w:cs="Times New Roman" w:eastAsia="Times New Roman" w:hAnsi="Times New Roman"/>
          <w:sz w:val="17"/>
          <w:szCs w:val="17"/>
          <w:color w:val="auto"/>
        </w:rPr>
        <w:t>. The vesting of a Plan Award granted under this Article IX shall be determined as set forth in any agreement executed by the Corporation and such Participant hereunder. For these purposes, any Participant who is both an Employee (or a Consultant) and a member of the Board will be considered to have incurred a Termination of Service only upon his Termination of Service both as an Employee (or as a Consultant) and as a member of the Board. Except as otherwise may be provided in, and only with respect to, a particular Plan Award, if the Participant engages in any act or omission that would give rise to his Termination of Service for Cause, all Plan Awards granted under this Section IX and subject to restrictions shall be immediately forfeited.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X</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ADJUSTMENT OF SHARES; MERGER OR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CONSOLIDATION, ETC. OF THE CORPORATION</w:t>
      </w:r>
    </w:p>
    <w:p>
      <w:pPr>
        <w:spacing w:after="0" w:line="192" w:lineRule="exact"/>
        <w:rPr>
          <w:sz w:val="20"/>
          <w:szCs w:val="20"/>
          <w:color w:val="auto"/>
        </w:rPr>
      </w:pPr>
    </w:p>
    <w:p>
      <w:pPr>
        <w:jc w:val="both"/>
        <w:ind w:firstLine="303"/>
        <w:spacing w:after="0" w:line="266" w:lineRule="auto"/>
        <w:tabs>
          <w:tab w:leader="none" w:pos="556"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Recapitalization, Etc</w:t>
      </w:r>
      <w:r>
        <w:rPr>
          <w:rFonts w:ascii="Times New Roman" w:cs="Times New Roman" w:eastAsia="Times New Roman" w:hAnsi="Times New Roman"/>
          <w:sz w:val="16"/>
          <w:szCs w:val="16"/>
          <w:color w:val="auto"/>
        </w:rPr>
        <w:t>. In the event there is any change in the number of the outstanding shares of Common Stock of the Corporation by reason of any reorganization, recapitalization, reincorporation, stock split, reverse stock split, stock dividend, combination of shares or otherwise, or in the case of the payment of an extraordinary dividend as defined in Section 1059(c) of the Code, there shall be automatically substituted for or added to each share of Common Stock theretofore appropriated or thereafter subject, or which may become subject, to the Plan and any Option, Stock Appreciation Right, grant of Restricted Stock, Restricted Stock Unit, Performance Share or Performance Unit award, the number and kind of shares of stock or other securities into which each outstanding share of Common Stock shall be so changed or for which each such share shall be exchanged, or to which each such share shall be entitled, as the case may be, and the per share price thereof also shall be appropriately adjusted. Notwithstanding the foregoing, (i) each such adjustment shall comply with the requirements of Treas. Reg. §1.409A-1(b)(5)(v),</w:t>
      </w:r>
    </w:p>
    <w:p>
      <w:pPr>
        <w:ind w:firstLine="1"/>
        <w:spacing w:after="0" w:line="286" w:lineRule="auto"/>
        <w:tabs>
          <w:tab w:leader="none" w:pos="249"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such adjustment with respect to an Incentive Stock Option shall comply with the rules of Section 424(a) of the Code and (iii) in no event shall any adjustment be made which would render any Incentive Stock Option granted hereunder to be other than an incentive stock option for purposes of Section 422 of the Code.</w:t>
      </w:r>
    </w:p>
    <w:p>
      <w:pPr>
        <w:spacing w:after="0" w:line="150" w:lineRule="exact"/>
        <w:rPr>
          <w:rFonts w:ascii="Times New Roman" w:cs="Times New Roman" w:eastAsia="Times New Roman" w:hAnsi="Times New Roman"/>
          <w:sz w:val="16"/>
          <w:szCs w:val="16"/>
          <w:color w:val="auto"/>
        </w:rPr>
      </w:pPr>
    </w:p>
    <w:p>
      <w:pPr>
        <w:ind w:left="540" w:hanging="237"/>
        <w:spacing w:after="0"/>
        <w:tabs>
          <w:tab w:leader="none" w:pos="54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Merger, Consolidation, Change in Control of the Corporation or Sale of Assets</w:t>
      </w:r>
      <w:r>
        <w:rPr>
          <w:rFonts w:ascii="Times New Roman" w:cs="Times New Roman" w:eastAsia="Times New Roman" w:hAnsi="Times New Roman"/>
          <w:sz w:val="17"/>
          <w:szCs w:val="17"/>
          <w:color w:val="auto"/>
        </w:rPr>
        <w:t>. Upon:</w:t>
      </w:r>
    </w:p>
    <w:p>
      <w:pPr>
        <w:spacing w:after="0" w:line="207" w:lineRule="exact"/>
        <w:rPr>
          <w:rFonts w:ascii="Times New Roman" w:cs="Times New Roman" w:eastAsia="Times New Roman" w:hAnsi="Times New Roman"/>
          <w:sz w:val="17"/>
          <w:szCs w:val="17"/>
          <w:color w:val="auto"/>
        </w:rPr>
      </w:pPr>
    </w:p>
    <w:p>
      <w:pPr>
        <w:jc w:val="both"/>
        <w:ind w:firstLine="606"/>
        <w:spacing w:after="0" w:line="256" w:lineRule="auto"/>
        <w:tabs>
          <w:tab w:leader="none" w:pos="812" w:val="left"/>
        </w:tabs>
        <w:numPr>
          <w:ilvl w:val="2"/>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merger or consolidation of the Corporation with or into another corporation (pursuant to which the stockholders of the Corporation immediately prior to such merger or consolidation will not, as of the date of such merger or consolidation, own a beneficial interest in shares of voting securities of the corporation surviving such merger or consolidation having at least a majority of the combined voting power of such corporation’s then outstanding securities), if the agreement of merger or consolidation does not provide for:</w:t>
      </w:r>
    </w:p>
    <w:p>
      <w:pPr>
        <w:spacing w:after="0" w:line="174" w:lineRule="exact"/>
        <w:rPr>
          <w:rFonts w:ascii="Times New Roman" w:cs="Times New Roman" w:eastAsia="Times New Roman" w:hAnsi="Times New Roman"/>
          <w:sz w:val="17"/>
          <w:szCs w:val="17"/>
          <w:color w:val="auto"/>
        </w:rPr>
      </w:pPr>
    </w:p>
    <w:p>
      <w:pPr>
        <w:ind w:firstLine="909"/>
        <w:spacing w:after="0" w:line="274" w:lineRule="auto"/>
        <w:tabs>
          <w:tab w:leader="none" w:pos="1170" w:val="left"/>
        </w:tabs>
        <w:numPr>
          <w:ilvl w:val="3"/>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continuance of the Options, Stock Appreciation Rights, Restricted Stock Units, Performance Units, shares of Restricted Stock, Performance Shares and/or Cash Incentives granted hereunder, or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0" w:name="page51"/>
    <w:bookmarkEnd w:id="50"/>
    <w:p>
      <w:pPr>
        <w:jc w:val="both"/>
        <w:ind w:firstLine="909"/>
        <w:spacing w:after="0" w:line="261" w:lineRule="auto"/>
        <w:tabs>
          <w:tab w:leader="none" w:pos="1155"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substitution of new cash incentives, options, stock appreciation rights, restricted stock units, performance units, shares of restricted stock and/or performance shares for Cash Incentives, Options, Stock Appreciation Rights, Restricted Stock Units, Performance Units, shares of Restricted Stock or Performance Shares granted hereunder, or for the assumption of the same by the surviving corporation,</w:t>
      </w:r>
    </w:p>
    <w:p>
      <w:pPr>
        <w:spacing w:after="0" w:line="169" w:lineRule="exact"/>
        <w:rPr>
          <w:rFonts w:ascii="Times New Roman" w:cs="Times New Roman" w:eastAsia="Times New Roman" w:hAnsi="Times New Roman"/>
          <w:sz w:val="17"/>
          <w:szCs w:val="17"/>
          <w:color w:val="auto"/>
        </w:rPr>
      </w:pPr>
    </w:p>
    <w:p>
      <w:pPr>
        <w:jc w:val="both"/>
        <w:ind w:firstLine="606"/>
        <w:spacing w:after="0" w:line="285" w:lineRule="auto"/>
        <w:tabs>
          <w:tab w:leader="none" w:pos="857"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dissolution or liquidation of the Corporation, or a sale of all or substantially all the assets of the Corporation to a person who is (A) not an “Affiliate” or “Associate” (as defined under Section 12b-2 of the General Rules and Regulations promulgated under the Exchange Act) of the Corporation or to (B) a direct or indirect owner of a majority of the voting power of the Corporation’s then outstanding voting securities (such sale of assets being referred to as an “Asset Sale”), or</w:t>
      </w:r>
    </w:p>
    <w:p>
      <w:pPr>
        <w:spacing w:after="0" w:line="151" w:lineRule="exact"/>
        <w:rPr>
          <w:rFonts w:ascii="Times New Roman" w:cs="Times New Roman" w:eastAsia="Times New Roman" w:hAnsi="Times New Roman"/>
          <w:sz w:val="16"/>
          <w:szCs w:val="16"/>
          <w:color w:val="auto"/>
        </w:rPr>
      </w:pPr>
    </w:p>
    <w:p>
      <w:pPr>
        <w:jc w:val="both"/>
        <w:ind w:firstLine="606"/>
        <w:spacing w:after="0" w:line="274" w:lineRule="auto"/>
        <w:tabs>
          <w:tab w:leader="none" w:pos="923"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Change in Control of the Corporation, if after such Change in Control of the Corporation the Plan (or another plan of the Corporation or of a successor to the Corporation) does not provide for (1) the continuance of the Cash Incentives, Options, Stock Appreciation Rights, Restricted Stock Units, Performance Units, shares of Restricted Stock and/or Performance Shares granted hereunder or (2) the substitution of new cash incentives, options, stock appreciation rights, restricted stock units, shares of restricted stock, performance units or performance shares for Cash Incentives, Options, Stock Appreciation Rights, Restricted Stock Units, shares of Restricted Stock, Performance Shares or Performance Units granted hereunder, or for the assumption of the same by the surviving corporation,</w:t>
      </w:r>
    </w:p>
    <w:p>
      <w:pPr>
        <w:spacing w:after="0" w:line="1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Then, (A) with respect to such Options and Stock Appreciation Rights, the holder of any such Option or Stock Appreciation Right theretofore granted and still outstanding (and not otherwise expired) shall have the right immediately prior to the effective date of such merger, consolidation, dissolution, liquidation, Asset Sale or Change in Control of the Corporation to exercise such Option(s) or Stock Appreciation Right(s) in whole or in part without regard to any installment provision that may have been made part of the terms and conditions of such Option(s) or Stock Appreciation Right(s), (B) all restrictions regarding transferability and forfeiture on shares of Restricted Stock, Restricted Stock Units, Performance Shares and Performance Units shall be removed immediately prior to the effective date of such merger, consolidation, dissolution, liquidation, Asset Sale or Change in Control of the Corporation (and the shares of Common Stock underlying any such Restricted Stock Units and Performance Units shall be immediately distributed to the applicable Participants) and (C) the outstanding amount of Cash Incentives, to the extent vested and earned, shall immediately be paid to the Participant; provided that all conditions precedent to (x) the exercise of such Option(s) or Stock Appreciation Right(s), (y) the transferability of such shares of Restricted Stock or Performance Shares and the vesting of Restricted Stock Units and Performance Units and (z) the payment of such Cash Incentives, other than the passage of time, have occurred.</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Corporation, to the extent practicable, shall give advance notice to affected Optionees and holders of Stock Appreciation Rights of any such merger, consolidation, dissolution, liquidation, Asset Sale or Change in Control of the Corporation. Unless otherwise provided in the subject Award Agreement or merger, consolidation or Asset Sale agreement, all such Options and Stock Appreciation Rights which are not so exercised shall be forfeited as of the effective time of such merger, consolidation, dissolution, liquidation or Asset Sale (but not in the case of a Change in Control of the Corporation). In the event the Corporation becomes a subsidiary of another corporation (the “New Parent Corporation”) with respect to which the stockholders of the Corporation (as determined immediately before such transaction) own, immediately after such transaction, a beneficial interest in shares of voting securities of the New Parent Corporation having at least a majority of the combined voting power of such New Parent Corporation’s then outstanding securities, then, notwithstanding the provisions of the immediately preceding paragraph, there shall be substituted for Cash Incentives, Options, Stock Appreciation Rights, Restricted Stock Units, shares of Restricted Stock, Performance Shares and Performance Units granted hereunder, (i) cash incentives and (ii) options to purchase, stock appreciation rights issued with respect to, restricted stock units (and performance units) related to shares of the New Parent Corporation and restricted shares of common stock (and performance shares) of the New Parent Corporation. The substitution described in the immediately preceding sentence shall be effected in a manner such that any option granted by the New Parent Corporation (i) shall comply with Treas. Reg. §1.409A-1(b)(5)(v) and (ii) which is intended to replace an Incentive Stock Option granted hereunder shall satisfy the requirements of Section 422 of the Code.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1" w:name="page52"/>
    <w:bookmarkEnd w:id="51"/>
    <w:p>
      <w:pPr>
        <w:jc w:val="both"/>
        <w:ind w:firstLine="303"/>
        <w:spacing w:after="0" w:line="269" w:lineRule="auto"/>
        <w:tabs>
          <w:tab w:leader="none" w:pos="531"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Effect of Merger or Consolidation on Performance-Based Plan Awards, Etc.</w:t>
      </w:r>
      <w:r>
        <w:rPr>
          <w:rFonts w:ascii="Times New Roman" w:cs="Times New Roman" w:eastAsia="Times New Roman" w:hAnsi="Times New Roman"/>
          <w:sz w:val="16"/>
          <w:szCs w:val="16"/>
          <w:color w:val="auto"/>
        </w:rPr>
        <w:t xml:space="preserve"> Notwithstanding the above, as of the effective date of any merger, consolidation, dissolution, liquidation or Asset Sale described in Section X(b), above, no Participant shall earn any additional performance-based Plan Award or dividend or interest equivalent under the Plan. Furthermore, if the value of any such Plan Award cannot be determined as of such date because such Plan Award is conditioned upon the future financial performance of the Corporation, such Plan Award (including any applicable dividend or interest equivalents) shall, unless otherwise provided in the subject Award Agreement, be prorated based upon the assumption that such performance criteria have been satisfied at the target level. Except as provided in Section X(b), any Plan Award payable after the date of the merger, consolidation, dissolution, liquidation or Asset Sale shall be paid in cash (unless the appropriate merger, consolidation or Asset Sale agreement provides otherwise) as of the date such Plan Award originally was to have been paid, or as of such earlier date as may be determined by the Corporation or its successor but subject to the provisions of Section 409A of the Code and the regulations promulgated thereunder.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XI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MISCELLANEOUS PROVISIONS</w:t>
      </w:r>
    </w:p>
    <w:p>
      <w:pPr>
        <w:spacing w:after="0" w:line="192" w:lineRule="exact"/>
        <w:rPr>
          <w:sz w:val="20"/>
          <w:szCs w:val="20"/>
          <w:color w:val="auto"/>
        </w:rPr>
      </w:pPr>
    </w:p>
    <w:p>
      <w:pPr>
        <w:ind w:firstLine="303"/>
        <w:spacing w:after="0" w:line="274" w:lineRule="auto"/>
        <w:tabs>
          <w:tab w:leader="none" w:pos="531"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Administrative Procedures</w:t>
      </w:r>
      <w:r>
        <w:rPr>
          <w:rFonts w:ascii="Times New Roman" w:cs="Times New Roman" w:eastAsia="Times New Roman" w:hAnsi="Times New Roman"/>
          <w:sz w:val="17"/>
          <w:szCs w:val="17"/>
          <w:color w:val="auto"/>
        </w:rPr>
        <w:t>. The Committee may establish any procedures determined by it to be appropriate in discharging its responsibilities under the Plan. All actions and decisions of the Committee shall be final.</w:t>
      </w:r>
    </w:p>
    <w:p>
      <w:pPr>
        <w:spacing w:after="0" w:line="158" w:lineRule="exact"/>
        <w:rPr>
          <w:rFonts w:ascii="Times New Roman" w:cs="Times New Roman" w:eastAsia="Times New Roman" w:hAnsi="Times New Roman"/>
          <w:sz w:val="17"/>
          <w:szCs w:val="17"/>
          <w:color w:val="auto"/>
        </w:rPr>
      </w:pPr>
    </w:p>
    <w:p>
      <w:pPr>
        <w:jc w:val="both"/>
        <w:ind w:firstLine="303"/>
        <w:spacing w:after="0" w:line="261" w:lineRule="auto"/>
        <w:tabs>
          <w:tab w:leader="none" w:pos="553"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Assignment or Transfer</w:t>
      </w:r>
      <w:r>
        <w:rPr>
          <w:rFonts w:ascii="Times New Roman" w:cs="Times New Roman" w:eastAsia="Times New Roman" w:hAnsi="Times New Roman"/>
          <w:sz w:val="17"/>
          <w:szCs w:val="17"/>
          <w:color w:val="auto"/>
        </w:rPr>
        <w:t>. Except as provided in Article XII, no grant or award of any Plan Award or any rights or interests therein shall be assignable or transferable by a Participant. During the lifetime of a Participant, Incentive Stock Options granted hereunder to such Participant shall be exercisable only by the Participant.</w:t>
      </w:r>
    </w:p>
    <w:p>
      <w:pPr>
        <w:spacing w:after="0" w:line="169" w:lineRule="exact"/>
        <w:rPr>
          <w:rFonts w:ascii="Times New Roman" w:cs="Times New Roman" w:eastAsia="Times New Roman" w:hAnsi="Times New Roman"/>
          <w:sz w:val="17"/>
          <w:szCs w:val="17"/>
          <w:color w:val="auto"/>
        </w:rPr>
      </w:pPr>
    </w:p>
    <w:p>
      <w:pPr>
        <w:jc w:val="both"/>
        <w:ind w:firstLine="303"/>
        <w:spacing w:after="0" w:line="254" w:lineRule="auto"/>
        <w:tabs>
          <w:tab w:leader="none" w:pos="544"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Investment Representation</w:t>
      </w:r>
      <w:r>
        <w:rPr>
          <w:rFonts w:ascii="Times New Roman" w:cs="Times New Roman" w:eastAsia="Times New Roman" w:hAnsi="Times New Roman"/>
          <w:sz w:val="17"/>
          <w:szCs w:val="17"/>
          <w:color w:val="auto"/>
        </w:rPr>
        <w:t>. In the case of Plan Awards paid in shares of Common Stock or other securities, or, with respect to shares of Common Stock received pursuant to the exercise of an Option or a Stock Appreciation Right, or upon the payment upon any Plan Award, the Committee may require, as a condition of receiving such securities, that the Participant furnish to the Corporation such written representations and information as the Committee deems appropriate to permit the Corporation, in light of the existence or nonexistence of an effective registration statement under the Securities Act, to deliver such securities in compliance with the provisions of the Securities Act or other Applicable Law.</w:t>
      </w:r>
    </w:p>
    <w:p>
      <w:pPr>
        <w:spacing w:after="0" w:line="175" w:lineRule="exact"/>
        <w:rPr>
          <w:rFonts w:ascii="Times New Roman" w:cs="Times New Roman" w:eastAsia="Times New Roman" w:hAnsi="Times New Roman"/>
          <w:sz w:val="17"/>
          <w:szCs w:val="17"/>
          <w:color w:val="auto"/>
        </w:rPr>
      </w:pPr>
    </w:p>
    <w:p>
      <w:pPr>
        <w:jc w:val="both"/>
        <w:ind w:firstLine="303"/>
        <w:spacing w:after="0" w:line="250" w:lineRule="auto"/>
        <w:tabs>
          <w:tab w:leader="none" w:pos="553"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Withholding Taxes</w:t>
      </w:r>
      <w:r>
        <w:rPr>
          <w:rFonts w:ascii="Times New Roman" w:cs="Times New Roman" w:eastAsia="Times New Roman" w:hAnsi="Times New Roman"/>
          <w:sz w:val="17"/>
          <w:szCs w:val="17"/>
          <w:color w:val="auto"/>
        </w:rPr>
        <w:t>. The Corporation (or the appropriate Affiliate) shall have the right to deduct and withhold from all payments hereunder the statutorily required federal, state, local or foreign taxes due to be withheld with respect to such payments. In the case of the issuance or distribution of Common Stock or other securities hereunder, either directly or upon the exercise of or payment upon any Plan Award, the Corporation, as a condition of such issuance or distribution, may require the payment (through withholding from the Participant’s salary, reduction of the number of shares of Common Stock or other securities to be issued, or otherwise) of any such taxes. Each Participant may satisfy the withholding obligations by paying to the Corporation (or the appropriate Affiliate) a cash amount equal to the amount required to be withheld or, subject to the Committee’s consent thereto, by tendering to the Corporation (or to the appropriate Affiliate) a number of shares of Common Stock having a Fair Market Value equivalent to such cash amount, or by use of the following procedure if approved in writing by the Committee: A procedure whereby a number of shares of Common Stock or other securities may be withheld from the total number of shares of Common Stock or other securities to be issued upon exercise, vesting or payment upon an Option, Stock Appreciation Right or other grant of Plan Awards, as applicable. The Committee may, in its sole discretion, require that if any such withholding is effected by the tendering of Common Stock, such withholding shall be consummated with Common Stock (i) held by the Optionee for at least six months or (ii) acquired by the Optionee other than under the Plan or a similar program.</w:t>
      </w:r>
    </w:p>
    <w:p>
      <w:pPr>
        <w:spacing w:after="0" w:line="180" w:lineRule="exact"/>
        <w:rPr>
          <w:rFonts w:ascii="Times New Roman" w:cs="Times New Roman" w:eastAsia="Times New Roman" w:hAnsi="Times New Roman"/>
          <w:sz w:val="17"/>
          <w:szCs w:val="17"/>
          <w:color w:val="auto"/>
        </w:rPr>
      </w:pPr>
    </w:p>
    <w:p>
      <w:pPr>
        <w:ind w:firstLine="303"/>
        <w:spacing w:after="0" w:line="274" w:lineRule="auto"/>
        <w:tabs>
          <w:tab w:leader="none" w:pos="531"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Costs and Expenses</w:t>
      </w:r>
      <w:r>
        <w:rPr>
          <w:rFonts w:ascii="Times New Roman" w:cs="Times New Roman" w:eastAsia="Times New Roman" w:hAnsi="Times New Roman"/>
          <w:sz w:val="17"/>
          <w:szCs w:val="17"/>
          <w:color w:val="auto"/>
        </w:rPr>
        <w:t>. The costs and expenses of administering the Plan shall be borne by the Corporation and shall not be charged against any award nor to any person receiving a Plan Award.</w:t>
      </w:r>
    </w:p>
    <w:p>
      <w:pPr>
        <w:spacing w:after="0" w:line="158" w:lineRule="exact"/>
        <w:rPr>
          <w:rFonts w:ascii="Times New Roman" w:cs="Times New Roman" w:eastAsia="Times New Roman" w:hAnsi="Times New Roman"/>
          <w:sz w:val="17"/>
          <w:szCs w:val="17"/>
          <w:color w:val="auto"/>
        </w:rPr>
      </w:pPr>
    </w:p>
    <w:p>
      <w:pPr>
        <w:jc w:val="both"/>
        <w:ind w:firstLine="303"/>
        <w:spacing w:after="0" w:line="256" w:lineRule="auto"/>
        <w:tabs>
          <w:tab w:leader="none" w:pos="512"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Funding of Plan</w:t>
      </w:r>
      <w:r>
        <w:rPr>
          <w:rFonts w:ascii="Times New Roman" w:cs="Times New Roman" w:eastAsia="Times New Roman" w:hAnsi="Times New Roman"/>
          <w:sz w:val="17"/>
          <w:szCs w:val="17"/>
          <w:color w:val="auto"/>
        </w:rPr>
        <w:t>. The Plan shall be unfunded. The Corporation (and the appropriate Affiliates) shall not be required to segregate any of their assets to assure the payment of any Plan Award under the Plan. Neither the Participants nor any other persons shall have any interest in any fund or in any specific asset or assets of the Corporation or any other entity by reason of any Plan Award, except to the extent expressly provided hereunder. The interests of each Participant and former Participant hereunder are unsecured and shall be subject to the claims of the general creditors of the Corporation and of the Affiliates.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2" w:name="page53"/>
    <w:bookmarkEnd w:id="52"/>
    <w:p>
      <w:pPr>
        <w:ind w:firstLine="303"/>
        <w:spacing w:after="0" w:line="274" w:lineRule="auto"/>
        <w:tabs>
          <w:tab w:leader="none" w:pos="56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Incentive Plans</w:t>
      </w:r>
      <w:r>
        <w:rPr>
          <w:rFonts w:ascii="Times New Roman" w:cs="Times New Roman" w:eastAsia="Times New Roman" w:hAnsi="Times New Roman"/>
          <w:sz w:val="17"/>
          <w:szCs w:val="17"/>
          <w:color w:val="auto"/>
        </w:rPr>
        <w:t>. The adoption of the Plan does not preclude the utilization of existing, or adoption by appropriate means of any other, incentive, performance or other plan for Employees, Non-Employee Directors or other service providers or any other person eligible to be granted a Plan Award.</w:t>
      </w:r>
    </w:p>
    <w:p>
      <w:pPr>
        <w:spacing w:after="0" w:line="158" w:lineRule="exact"/>
        <w:rPr>
          <w:rFonts w:ascii="Times New Roman" w:cs="Times New Roman" w:eastAsia="Times New Roman" w:hAnsi="Times New Roman"/>
          <w:sz w:val="17"/>
          <w:szCs w:val="17"/>
          <w:color w:val="auto"/>
        </w:rPr>
      </w:pPr>
    </w:p>
    <w:p>
      <w:pPr>
        <w:ind w:firstLine="303"/>
        <w:spacing w:after="0" w:line="274" w:lineRule="auto"/>
        <w:tabs>
          <w:tab w:leader="none" w:pos="5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In case any provision of the Plan shall be held illegal or void, such illegality or invalidity shall not affect the remaining provisions of the Plan, but shall be fully severable, and the Plan shall be construed and enforced as if said illegal or invalid provisions had never been inserted herein.</w:t>
      </w:r>
    </w:p>
    <w:p>
      <w:pPr>
        <w:spacing w:after="0" w:line="158" w:lineRule="exact"/>
        <w:rPr>
          <w:rFonts w:ascii="Times New Roman" w:cs="Times New Roman" w:eastAsia="Times New Roman" w:hAnsi="Times New Roman"/>
          <w:sz w:val="17"/>
          <w:szCs w:val="17"/>
          <w:color w:val="auto"/>
        </w:rPr>
      </w:pPr>
    </w:p>
    <w:p>
      <w:pPr>
        <w:jc w:val="both"/>
        <w:ind w:firstLine="303"/>
        <w:spacing w:after="0" w:line="253" w:lineRule="auto"/>
        <w:tabs>
          <w:tab w:leader="none" w:pos="51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Payments Due Missing Persons</w:t>
      </w:r>
      <w:r>
        <w:rPr>
          <w:rFonts w:ascii="Times New Roman" w:cs="Times New Roman" w:eastAsia="Times New Roman" w:hAnsi="Times New Roman"/>
          <w:sz w:val="17"/>
          <w:szCs w:val="17"/>
          <w:color w:val="auto"/>
        </w:rPr>
        <w:t>. The Corporation shall make a reasonable effort to locate all persons entitled to benefits under the Plan (the “Benefits”). However, notwithstanding any provisions of the Plan to the contrary, if, after a period of one (1) year from the date such Benefits shall be due, any such persons entitled to Benefits have not been located, their rights under the Plan with respect to such Benefits shall stand suspended. Before this provision becomes operative, the Corporation shall send a certified letter to all such persons at their last known addresses advising them that their rights under the Plan shall be suspended. Subject to all applicable state laws, any such suspended Benefits shall be held by the Corporation for a period of one (1) additional year and thereafter such Benefits shall be forfeited and thereafter remain the property of the Corporation.</w:t>
      </w:r>
    </w:p>
    <w:p>
      <w:pPr>
        <w:spacing w:after="0" w:line="175" w:lineRule="exact"/>
        <w:rPr>
          <w:rFonts w:ascii="Times New Roman" w:cs="Times New Roman" w:eastAsia="Times New Roman" w:hAnsi="Times New Roman"/>
          <w:sz w:val="17"/>
          <w:szCs w:val="17"/>
          <w:color w:val="auto"/>
        </w:rPr>
      </w:pPr>
    </w:p>
    <w:p>
      <w:pPr>
        <w:ind w:left="500" w:hanging="197"/>
        <w:spacing w:after="0"/>
        <w:tabs>
          <w:tab w:leader="none" w:pos="5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Liability and Indemnification</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firstLine="606"/>
        <w:spacing w:after="0" w:line="256" w:lineRule="auto"/>
        <w:tabs>
          <w:tab w:leader="none" w:pos="822"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Corporation nor any Affiliate shall be responsible in any way for any action or omission of the Committee, or any other fiduciaries in the performance of their duties and obligations as set forth in the Plan. Furthermore, neither the Corporation nor any Affiliate shall be responsible for any act or omission of any of their agents, or with respect to reliance upon advice of their counsel, provided that the Corporation and/or the appropriate Affiliate relied in good faith upon the action of such agent or the advice of such counsel.</w:t>
      </w:r>
    </w:p>
    <w:p>
      <w:pPr>
        <w:spacing w:after="0" w:line="174" w:lineRule="exact"/>
        <w:rPr>
          <w:rFonts w:ascii="Times New Roman" w:cs="Times New Roman" w:eastAsia="Times New Roman" w:hAnsi="Times New Roman"/>
          <w:sz w:val="17"/>
          <w:szCs w:val="17"/>
          <w:color w:val="auto"/>
        </w:rPr>
      </w:pPr>
    </w:p>
    <w:p>
      <w:pPr>
        <w:ind w:firstLine="606"/>
        <w:spacing w:after="0" w:line="274" w:lineRule="auto"/>
        <w:tabs>
          <w:tab w:leader="none" w:pos="865"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Corporation, nor any Affiliate, the Committee, nor any agents, employees, officers, directors or stockholders of any of them, nor any other person shall have any liability or responsibility with respect to the Plan, except as expressly provided herein.</w:t>
      </w:r>
    </w:p>
    <w:p>
      <w:pPr>
        <w:spacing w:after="0" w:line="158" w:lineRule="exact"/>
        <w:rPr>
          <w:rFonts w:ascii="Times New Roman" w:cs="Times New Roman" w:eastAsia="Times New Roman" w:hAnsi="Times New Roman"/>
          <w:sz w:val="17"/>
          <w:szCs w:val="17"/>
          <w:color w:val="auto"/>
        </w:rPr>
      </w:pPr>
    </w:p>
    <w:p>
      <w:pPr>
        <w:jc w:val="both"/>
        <w:ind w:firstLine="303"/>
        <w:spacing w:after="0" w:line="252" w:lineRule="auto"/>
        <w:tabs>
          <w:tab w:leader="none" w:pos="5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Incapacity</w:t>
      </w:r>
      <w:r>
        <w:rPr>
          <w:rFonts w:ascii="Times New Roman" w:cs="Times New Roman" w:eastAsia="Times New Roman" w:hAnsi="Times New Roman"/>
          <w:sz w:val="17"/>
          <w:szCs w:val="17"/>
          <w:color w:val="auto"/>
        </w:rPr>
        <w:t>. If the Committee shall receive evidence satisfactory to it that a person entitled to receive payment of, or exercise, any Plan Award is, at the time when such benefit becomes payable or exercisable, a minor, or is physically or mentally incompetent to receive or exercise such Plan Award and to give a valid release thereof, and that another person or an institution is then maintaining or has custody of such person and that no guardian, committee or other representative of the estate of such person shall have been duly appointed, the Committee may make payment of such Plan Award otherwise payable to such person to (or permit such Plan Award to be exercised by) such other person or institution, including a custodian under the Uniform Gifts to Minors Act or corresponding legislation (who shall be an adult, a guardian of the minor or a trust company), and the release by such other person or institution shall be a valid and complete discharge for the payment or exercise of such Plan Award.</w:t>
      </w:r>
    </w:p>
    <w:p>
      <w:pPr>
        <w:spacing w:after="0" w:line="177" w:lineRule="exact"/>
        <w:rPr>
          <w:rFonts w:ascii="Times New Roman" w:cs="Times New Roman" w:eastAsia="Times New Roman" w:hAnsi="Times New Roman"/>
          <w:sz w:val="17"/>
          <w:szCs w:val="17"/>
          <w:color w:val="auto"/>
        </w:rPr>
      </w:pPr>
    </w:p>
    <w:p>
      <w:pPr>
        <w:ind w:firstLine="303"/>
        <w:spacing w:after="0" w:line="274" w:lineRule="auto"/>
        <w:tabs>
          <w:tab w:leader="none" w:pos="503"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Cooperation of Parties</w:t>
      </w:r>
      <w:r>
        <w:rPr>
          <w:rFonts w:ascii="Times New Roman" w:cs="Times New Roman" w:eastAsia="Times New Roman" w:hAnsi="Times New Roman"/>
          <w:sz w:val="17"/>
          <w:szCs w:val="17"/>
          <w:color w:val="auto"/>
        </w:rPr>
        <w:t>. The Corporation, each Participant and any person claiming any interest hereunder agree to perform any and all acts and execute any and all documents and papers which are necessary or desirable for carrying out the Plan or any of its provisions.</w:t>
      </w:r>
    </w:p>
    <w:p>
      <w:pPr>
        <w:spacing w:after="0" w:line="158" w:lineRule="exact"/>
        <w:rPr>
          <w:rFonts w:ascii="Times New Roman" w:cs="Times New Roman" w:eastAsia="Times New Roman" w:hAnsi="Times New Roman"/>
          <w:sz w:val="17"/>
          <w:szCs w:val="17"/>
          <w:color w:val="auto"/>
        </w:rPr>
      </w:pPr>
    </w:p>
    <w:p>
      <w:pPr>
        <w:jc w:val="both"/>
        <w:ind w:firstLine="303"/>
        <w:spacing w:after="0" w:line="254" w:lineRule="auto"/>
        <w:tabs>
          <w:tab w:leader="none" w:pos="587"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All questions pertaining to the validity, construction and administration of the Plan shall be determined in accordance with the laws of the State of Delaware without regard to its principles of conflicts of law. Subject to the provisions of Article XVII hereof, and to any provision contained in an Award Agreement or any appendix or exhibit thereto to the contrary, in the event that any person is compelled to bring a claim related to the Plan, to interpret or enforce the provisions of the Plan, to recover damages as a result of a breach of the terms of the Plan, or from any other cause (a “</w:t>
      </w:r>
      <w:r>
        <w:rPr>
          <w:rFonts w:ascii="Times New Roman" w:cs="Times New Roman" w:eastAsia="Times New Roman" w:hAnsi="Times New Roman"/>
          <w:sz w:val="17"/>
          <w:szCs w:val="17"/>
          <w:u w:val="single" w:color="auto"/>
          <w:color w:val="auto"/>
        </w:rPr>
        <w:t>Claim</w:t>
      </w:r>
      <w:r>
        <w:rPr>
          <w:rFonts w:ascii="Times New Roman" w:cs="Times New Roman" w:eastAsia="Times New Roman" w:hAnsi="Times New Roman"/>
          <w:sz w:val="17"/>
          <w:szCs w:val="17"/>
          <w:color w:val="auto"/>
        </w:rPr>
        <w:t>”), such Claim must be processed in the manner set forth below:</w:t>
      </w:r>
    </w:p>
    <w:p>
      <w:pPr>
        <w:spacing w:after="0" w:line="171" w:lineRule="exact"/>
        <w:rPr>
          <w:rFonts w:ascii="Times New Roman" w:cs="Times New Roman" w:eastAsia="Times New Roman" w:hAnsi="Times New Roman"/>
          <w:sz w:val="17"/>
          <w:szCs w:val="17"/>
          <w:color w:val="auto"/>
        </w:rPr>
      </w:pPr>
    </w:p>
    <w:p>
      <w:pPr>
        <w:jc w:val="both"/>
        <w:ind w:firstLine="606"/>
        <w:spacing w:after="0" w:line="258" w:lineRule="auto"/>
        <w:tabs>
          <w:tab w:leader="none" w:pos="831"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THE SOLE AND EXCLUSIVE METHOD TO RESOLVE ANY CLAIM IS BINDING ARBITRATION, AND THE CORPORATION AND EACH PARTICIPANT (INCLUDING FORMER PARTICIPANTS, BENEFICIARIES OF PARTICIPANTS OR OF FORMER PARTICIPANTS OR PERSONS ACTING FOR OR ON BEHALF THEREOF) WAIVE THE RIGHT TO A JURY TRIAL OR COURT TRIAL. </w:t>
      </w:r>
      <w:r>
        <w:rPr>
          <w:rFonts w:ascii="Times New Roman" w:cs="Times New Roman" w:eastAsia="Times New Roman" w:hAnsi="Times New Roman"/>
          <w:sz w:val="17"/>
          <w:szCs w:val="17"/>
          <w:color w:val="auto"/>
        </w:rPr>
        <w:t>No Participant shall initiate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prosecute any lawsuit in any way related to any Claim covered by the terms of the Plan.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3" w:name="page54"/>
    <w:bookmarkEnd w:id="53"/>
    <w:p>
      <w:pPr>
        <w:jc w:val="both"/>
        <w:ind w:firstLine="606"/>
        <w:spacing w:after="0" w:line="249" w:lineRule="auto"/>
        <w:tabs>
          <w:tab w:leader="none" w:pos="85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arbitration shall be binding and conducted before a single arbitrator in accordance with the then-current rules of the American Arbitration Association (the “</w:t>
      </w:r>
      <w:r>
        <w:rPr>
          <w:rFonts w:ascii="Times New Roman" w:cs="Times New Roman" w:eastAsia="Times New Roman" w:hAnsi="Times New Roman"/>
          <w:sz w:val="17"/>
          <w:szCs w:val="17"/>
          <w:u w:val="single" w:color="auto"/>
          <w:color w:val="auto"/>
        </w:rPr>
        <w:t>AAA</w:t>
      </w:r>
      <w:r>
        <w:rPr>
          <w:rFonts w:ascii="Times New Roman" w:cs="Times New Roman" w:eastAsia="Times New Roman" w:hAnsi="Times New Roman"/>
          <w:sz w:val="17"/>
          <w:szCs w:val="17"/>
          <w:color w:val="auto"/>
        </w:rPr>
        <w:t>”), as modified by the terms and conditions of this paragraph. Venue for any arbitration pursuant to this Plan will lie in Boston, Massachusetts. The arbitrator will be selected by mutual agreement of the parties to the arbitration proceeding (the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 or, if the Parties cannot agree, then by striking from a list of arbitrators supplied by the AAA. Each Party shall pay its own arbitrator’s fees and arbitration costs. Upon the conclusion of the arbitration hearing, the arbitrator shall issue a written opinion revealing, however briefly, the essential findings and conclusions upon which the arbitrator’s award is based. The award of the arbitrator shall be final and binding. Upon the conclusion of an arbitration the losing Party shall reimburse the prevailing Party for any reasonable legal fees and expenses incurred by the prevailing Party. As used herein, that the prevailing Party of an arbitration shall be determined by the arbitrator or, if applicable, by the following procedure. At any time up until ten days following the delivery of the initial “complaint” of the Party commencing arbitration to the other party, either Party may make one or more written settlement offers to the other Party (the “</w:t>
      </w:r>
      <w:r>
        <w:rPr>
          <w:rFonts w:ascii="Times New Roman" w:cs="Times New Roman" w:eastAsia="Times New Roman" w:hAnsi="Times New Roman"/>
          <w:sz w:val="17"/>
          <w:szCs w:val="17"/>
          <w:u w:val="single" w:color="auto"/>
          <w:color w:val="auto"/>
        </w:rPr>
        <w:t>Final Settlement Date</w:t>
      </w:r>
      <w:r>
        <w:rPr>
          <w:rFonts w:ascii="Times New Roman" w:cs="Times New Roman" w:eastAsia="Times New Roman" w:hAnsi="Times New Roman"/>
          <w:sz w:val="17"/>
          <w:szCs w:val="17"/>
          <w:color w:val="auto"/>
        </w:rPr>
        <w:t xml:space="preserve">”). Each such offer must state that it is binding and enforceable against the offeror if accepted in writing by the offeree on or before the date that is five days following the Final Settlement Date, unless first withdrawn or superseded by another offer from such Party prior to written acceptance. A copy of such settlement offers will be sent either to an escrow agent agreed to by the Parties or to the AAA, but shall </w:t>
      </w:r>
      <w:r>
        <w:rPr>
          <w:rFonts w:ascii="Times New Roman" w:cs="Times New Roman" w:eastAsia="Times New Roman" w:hAnsi="Times New Roman"/>
          <w:sz w:val="17"/>
          <w:szCs w:val="17"/>
          <w:b w:val="1"/>
          <w:bCs w:val="1"/>
          <w:u w:val="single" w:color="auto"/>
          <w:color w:val="auto"/>
        </w:rPr>
        <w:t>NOT</w:t>
      </w:r>
      <w:r>
        <w:rPr>
          <w:rFonts w:ascii="Times New Roman" w:cs="Times New Roman" w:eastAsia="Times New Roman" w:hAnsi="Times New Roman"/>
          <w:sz w:val="17"/>
          <w:szCs w:val="17"/>
          <w:color w:val="auto"/>
        </w:rPr>
        <w:t xml:space="preserve"> be shown to the arbitrator or arbitrators until after he, she or they have rendered their decision in all respects, except with respect of determining the prevailing Party and determined the amount of recoverable legal fees. After such time, the arbitrator or arbitrators shall review the settlement offers and the Party whose settlement offer is deemed by the arbitrator or arbitrators to be the closest to the arbitrator’s decision or award shall be deemed to be the prevailing Party. Judgment upon any award may be entered in any court having jurisdiction thereof.</w:t>
      </w:r>
    </w:p>
    <w:p>
      <w:pPr>
        <w:spacing w:after="0" w:line="185" w:lineRule="exact"/>
        <w:rPr>
          <w:rFonts w:ascii="Times New Roman" w:cs="Times New Roman" w:eastAsia="Times New Roman" w:hAnsi="Times New Roman"/>
          <w:sz w:val="17"/>
          <w:szCs w:val="17"/>
          <w:color w:val="auto"/>
        </w:rPr>
      </w:pPr>
    </w:p>
    <w:p>
      <w:pPr>
        <w:jc w:val="both"/>
        <w:ind w:firstLine="303"/>
        <w:spacing w:after="0" w:line="254" w:lineRule="auto"/>
        <w:tabs>
          <w:tab w:leader="none" w:pos="5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Nonguarantee of Employment or Consulting Relationship</w:t>
      </w:r>
      <w:r>
        <w:rPr>
          <w:rFonts w:ascii="Times New Roman" w:cs="Times New Roman" w:eastAsia="Times New Roman" w:hAnsi="Times New Roman"/>
          <w:sz w:val="17"/>
          <w:szCs w:val="17"/>
          <w:color w:val="auto"/>
        </w:rPr>
        <w:t xml:space="preserve">. Nothing contained in the Plan shall be construed as a contract of employment (or as a consulting, advisory or similar contract) between the Corporation (or any Affiliate), and any Employee, Consultant or Participant, as a right of any Employee, Consultant or Participant to be continued in the employ of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or in a Consulting Relationship with) the Corporation (or any Affiliate), or as a limitation on the right of the Corporation or any Affiliate to discharge any of its Employees (or Consultants), at any time, with or without cause (but subject to the terms of any applicable employment, consulting, advisory or similar agreement).</w:t>
      </w:r>
    </w:p>
    <w:p>
      <w:pPr>
        <w:spacing w:after="0" w:line="175" w:lineRule="exact"/>
        <w:rPr>
          <w:rFonts w:ascii="Times New Roman" w:cs="Times New Roman" w:eastAsia="Times New Roman" w:hAnsi="Times New Roman"/>
          <w:sz w:val="17"/>
          <w:szCs w:val="17"/>
          <w:color w:val="auto"/>
        </w:rPr>
      </w:pPr>
    </w:p>
    <w:p>
      <w:pPr>
        <w:jc w:val="both"/>
        <w:ind w:firstLine="303"/>
        <w:spacing w:after="0" w:line="251" w:lineRule="auto"/>
        <w:tabs>
          <w:tab w:leader="none" w:pos="5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Each notice relating to this Plan shall be in writing and delivered in person, by E-Mail, by recognized overnight courier, Unites States Postal Service (“USPS”) Express Mail or by USPS Certified Mail, return receipt requested to the proper address set forth below. All notices to the Corporation or the Committee shall be addressed to them at 25 Recreation Park Drive, Unit 108, Hingham, MA 02043; Attn: Chairman. All notices to Participants, former Participants, estates of Participants or other persons acting for or on behalf of such persons shall be addressed to such person at the last address for such person maintained in the Committee’s records. All notices to any individual or entity (i) delivered in person shall be considered to be received on delivery, (ii) sent by E-Mail shall be deemed to have been received 12 hours after posting, (iii) sent by recognized overnight courier or USPS Express Mail shall be deemed to have been received at the close of business on the second business day after posting and (iv) sent by USPS Certified Mail return receipt requested shall be deemed to have been received at the close of business on the third business day after posting.</w:t>
      </w:r>
    </w:p>
    <w:p>
      <w:pPr>
        <w:spacing w:after="0" w:line="180" w:lineRule="exact"/>
        <w:rPr>
          <w:rFonts w:ascii="Times New Roman" w:cs="Times New Roman" w:eastAsia="Times New Roman" w:hAnsi="Times New Roman"/>
          <w:sz w:val="17"/>
          <w:szCs w:val="17"/>
          <w:color w:val="auto"/>
        </w:rPr>
      </w:pPr>
    </w:p>
    <w:p>
      <w:pPr>
        <w:ind w:firstLine="303"/>
        <w:spacing w:after="0" w:line="274" w:lineRule="auto"/>
        <w:tabs>
          <w:tab w:leader="none" w:pos="5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Written Agreements</w:t>
      </w:r>
      <w:r>
        <w:rPr>
          <w:rFonts w:ascii="Times New Roman" w:cs="Times New Roman" w:eastAsia="Times New Roman" w:hAnsi="Times New Roman"/>
          <w:sz w:val="17"/>
          <w:szCs w:val="17"/>
          <w:color w:val="auto"/>
        </w:rPr>
        <w:t>. Each Plan Award shall be evidenced by a signed written Award Agreement between the Corporation and the Participant containing the terms and conditions of the Plan Award.</w:t>
      </w:r>
    </w:p>
    <w:p>
      <w:pPr>
        <w:spacing w:after="0" w:line="158" w:lineRule="exact"/>
        <w:rPr>
          <w:rFonts w:ascii="Times New Roman" w:cs="Times New Roman" w:eastAsia="Times New Roman" w:hAnsi="Times New Roman"/>
          <w:sz w:val="17"/>
          <w:szCs w:val="17"/>
          <w:color w:val="auto"/>
        </w:rPr>
      </w:pPr>
    </w:p>
    <w:p>
      <w:pPr>
        <w:ind w:left="540" w:hanging="237"/>
        <w:spacing w:after="0"/>
        <w:tabs>
          <w:tab w:leader="none" w:pos="5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409A of the Code</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firstLine="606"/>
        <w:spacing w:after="0" w:line="252" w:lineRule="auto"/>
        <w:tabs>
          <w:tab w:leader="none" w:pos="807"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Plan and the related Award Agreements (collectively, for purposes of this Section XI(q), the “Plan”) are intended to comply with the requirements of Section 409A of the Code (“Section 409A”). Deferrals of compensation subject to the restrictions set forth under Section 409A and the regulations promulgated thereunder (hereinafter, “Non-Qualified Deferred Compensation”) may only be made under this Plan to a Participant subject to the provisions of Section 409A upon an event and in a manner permitted by Section 409A. Any amounts payable solely on account of an involuntary separation from service of the Participant within the meaning of Section 409A shall be excludible from the requirements of Section 409A, either as involuntary separation pay (exempt from the provisions of Section 409A under Treas. Reg. §1.409A-1(b)(9)) or as short-term deferral amounts (as described in Treas. Reg. §1.409A-1(b)(4)), to the maximum possible extent. For purposes of Section 409A, the right to a series of installment payments under this Plan shall be treated as a right to a series of separate payments.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4" w:name="page55"/>
    <w:bookmarkEnd w:id="54"/>
    <w:p>
      <w:pPr>
        <w:jc w:val="both"/>
        <w:ind w:firstLine="606"/>
        <w:spacing w:after="0" w:line="253" w:lineRule="auto"/>
        <w:tabs>
          <w:tab w:leader="none" w:pos="869"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extent required by Section 409A, and notwithstanding any other provision of the Plan to the contrary, no payment of Non-Qualified Deferred Compensation will be provided to, or with respect to, a Participant on account of his separation from service until the first to occur of (i) the date of the Participant’s death or (ii) the date which is one day after the six month anniversary of his separation from service, </w:t>
      </w:r>
      <w:r>
        <w:rPr>
          <w:rFonts w:ascii="Times New Roman" w:cs="Times New Roman" w:eastAsia="Times New Roman" w:hAnsi="Times New Roman"/>
          <w:sz w:val="17"/>
          <w:szCs w:val="17"/>
          <w:b w:val="1"/>
          <w:bCs w:val="1"/>
          <w:color w:val="auto"/>
        </w:rPr>
        <w:t>but in either case only if he is a “specified employee”</w:t>
      </w:r>
      <w:r>
        <w:rPr>
          <w:rFonts w:ascii="Times New Roman" w:cs="Times New Roman" w:eastAsia="Times New Roman" w:hAnsi="Times New Roman"/>
          <w:sz w:val="17"/>
          <w:szCs w:val="17"/>
          <w:color w:val="auto"/>
        </w:rPr>
        <w:t xml:space="preserve"> (as defined under Section 409A(a)(2)(B)(i) of the Code and the regulations promulgated thereunder) in the year of his separation from service. Any payment that is delayed pursuant to the provisions of the immediately preceding sentence shall instead be paid in a lump sum within 10 days following the first to occur of the two dates specified in such immediately preceding sentence.</w:t>
      </w:r>
    </w:p>
    <w:p>
      <w:pPr>
        <w:spacing w:after="0" w:line="175" w:lineRule="exact"/>
        <w:rPr>
          <w:rFonts w:ascii="Times New Roman" w:cs="Times New Roman" w:eastAsia="Times New Roman" w:hAnsi="Times New Roman"/>
          <w:sz w:val="17"/>
          <w:szCs w:val="17"/>
          <w:color w:val="auto"/>
        </w:rPr>
      </w:pPr>
    </w:p>
    <w:p>
      <w:pPr>
        <w:jc w:val="both"/>
        <w:ind w:firstLine="606"/>
        <w:spacing w:after="0" w:line="261" w:lineRule="auto"/>
        <w:tabs>
          <w:tab w:leader="none" w:pos="9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payment of Non-Qualified Deferred Compensation made pursuant to a voluntary or involuntary Termination of Service shall be withheld until the Participant (who is subject to the provisions of Section 409A) incurs both (i) a Termination of Service and (ii) a “separation from service” with the Corporation and all of the Affiliates, as such term is defined in Treas. Reg. §1.409A-1(h).</w:t>
      </w:r>
    </w:p>
    <w:p>
      <w:pPr>
        <w:spacing w:after="0" w:line="169" w:lineRule="exact"/>
        <w:rPr>
          <w:rFonts w:ascii="Times New Roman" w:cs="Times New Roman" w:eastAsia="Times New Roman" w:hAnsi="Times New Roman"/>
          <w:sz w:val="17"/>
          <w:szCs w:val="17"/>
          <w:color w:val="auto"/>
        </w:rPr>
      </w:pPr>
    </w:p>
    <w:p>
      <w:pPr>
        <w:jc w:val="both"/>
        <w:ind w:firstLine="606"/>
        <w:spacing w:after="0" w:line="261" w:lineRule="auto"/>
        <w:tabs>
          <w:tab w:leader="none" w:pos="89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Participant subject to the provisions of Section 409A is permitted to elect to defer a Plan Award or any payment under a Plan Award, such election shall be made in accordance with the requirements of Code Section 409A. Each initial deferral election (an “Initial Deferral Election”) must be received by the Committee prior to the following dates or will have no effect whatsoever:</w:t>
      </w:r>
    </w:p>
    <w:p>
      <w:pPr>
        <w:spacing w:after="0" w:line="104" w:lineRule="exact"/>
        <w:rPr>
          <w:rFonts w:ascii="Times New Roman" w:cs="Times New Roman" w:eastAsia="Times New Roman" w:hAnsi="Times New Roman"/>
          <w:sz w:val="17"/>
          <w:szCs w:val="17"/>
          <w:color w:val="auto"/>
        </w:rPr>
      </w:pPr>
    </w:p>
    <w:p>
      <w:pPr>
        <w:ind w:left="1140" w:hanging="231"/>
        <w:spacing w:after="0"/>
        <w:tabs>
          <w:tab w:leader="none" w:pos="114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provided below or in Treas. Reg. §1.409A-2, the December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immediately preceding the year in which the compensation is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earned;</w:t>
      </w:r>
    </w:p>
    <w:p>
      <w:pPr>
        <w:spacing w:after="0" w:line="189" w:lineRule="exact"/>
        <w:rPr>
          <w:rFonts w:ascii="Times New Roman" w:cs="Times New Roman" w:eastAsia="Times New Roman" w:hAnsi="Times New Roman"/>
          <w:sz w:val="17"/>
          <w:szCs w:val="17"/>
          <w:color w:val="auto"/>
        </w:rPr>
      </w:pPr>
    </w:p>
    <w:p>
      <w:pPr>
        <w:ind w:left="1140" w:hanging="231"/>
        <w:spacing w:after="0"/>
        <w:tabs>
          <w:tab w:leader="none" w:pos="114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first year of participation in the Plan, within 30 days of the beginning of such year;</w:t>
      </w:r>
    </w:p>
    <w:p>
      <w:pPr>
        <w:spacing w:after="0" w:line="207" w:lineRule="exact"/>
        <w:rPr>
          <w:rFonts w:ascii="Times New Roman" w:cs="Times New Roman" w:eastAsia="Times New Roman" w:hAnsi="Times New Roman"/>
          <w:sz w:val="17"/>
          <w:szCs w:val="17"/>
          <w:color w:val="auto"/>
        </w:rPr>
      </w:pPr>
    </w:p>
    <w:p>
      <w:pPr>
        <w:jc w:val="both"/>
        <w:ind w:firstLine="909"/>
        <w:spacing w:after="0" w:line="261" w:lineRule="auto"/>
        <w:tabs>
          <w:tab w:leader="none" w:pos="1149"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annual or long-term incentive pay which qualifies as “performance-based compensation” within the meaning of Code Section 409A, by the date six months prior to the end of the performance measurement period applicable to such incentive pay provided such additional requirements set forth in Code Section 409A are met;</w:t>
      </w:r>
    </w:p>
    <w:p>
      <w:pPr>
        <w:spacing w:after="0" w:line="169" w:lineRule="exact"/>
        <w:rPr>
          <w:rFonts w:ascii="Times New Roman" w:cs="Times New Roman" w:eastAsia="Times New Roman" w:hAnsi="Times New Roman"/>
          <w:sz w:val="17"/>
          <w:szCs w:val="17"/>
          <w:color w:val="auto"/>
        </w:rPr>
      </w:pPr>
    </w:p>
    <w:p>
      <w:pPr>
        <w:ind w:firstLine="909"/>
        <w:spacing w:after="0" w:line="274" w:lineRule="auto"/>
        <w:tabs>
          <w:tab w:leader="none" w:pos="1171"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“fiscal year compensation” as defined under Code Section 409A, by the last day of the Corporation’s fiscal year immediately preceding the year in which the fiscal year compensation is earned; or</w:t>
      </w:r>
    </w:p>
    <w:p>
      <w:pPr>
        <w:spacing w:after="0" w:line="158" w:lineRule="exact"/>
        <w:rPr>
          <w:rFonts w:ascii="Times New Roman" w:cs="Times New Roman" w:eastAsia="Times New Roman" w:hAnsi="Times New Roman"/>
          <w:sz w:val="17"/>
          <w:szCs w:val="17"/>
          <w:color w:val="auto"/>
        </w:rPr>
      </w:pPr>
    </w:p>
    <w:p>
      <w:pPr>
        <w:ind w:left="1140" w:hanging="231"/>
        <w:spacing w:after="0"/>
        <w:tabs>
          <w:tab w:leader="none" w:pos="1140"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mid-year Plan Awards or other legally binding rights to a payment of compensation in a subsequent year that is subject to a forfeiture</w:t>
      </w:r>
    </w:p>
    <w:p>
      <w:pPr>
        <w:spacing w:after="0" w:line="34"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condition requiring the Participant’s continued service for a period of at least 12 months, on or before the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following the grant of such Plan Award (or the date such legally binding right to a payment of compensation arises), provided that the election is made at least 12 months in advance of the earliest date at which the forfeiture condition could lapse.</w:t>
      </w:r>
    </w:p>
    <w:p>
      <w:pPr>
        <w:spacing w:after="0" w:line="187" w:lineRule="exact"/>
        <w:rPr>
          <w:sz w:val="20"/>
          <w:szCs w:val="20"/>
          <w:color w:val="auto"/>
        </w:rPr>
      </w:pPr>
    </w:p>
    <w:p>
      <w:pPr>
        <w:jc w:val="both"/>
        <w:ind w:firstLine="606"/>
        <w:spacing w:after="0" w:line="251" w:lineRule="auto"/>
        <w:tabs>
          <w:tab w:leader="none" w:pos="85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Plan so permits, the Committee may, in its sole discretion, permit Participants to submit additional deferral elections in order to delay, but not to accelerate, a payment, or to change the form of payment of an amount of deferred compensation (a “Subsequent Deferral Election”), if, and only if, the following conditions are satisfied: (i) the Subsequent Deferral Election must not take effect until 12 months after the date on which it is made, (ii) in the case of a payment other than a payment attributable to the Participant’s death, disability or an unforeseeable emergency (all within the meaning of Section 409A of the Code) the Subsequent Deferral Election further defers the payment for a period of not less than five years from the date such payment would otherwise have been made and (iii) the Subsequent Deferral Election is received by the Committee at least 12 months prior to the date the payment would otherwise have been made. In addition, such Participants may be further permitted to revise the form of payment they have elected, or the number of installments elected, provided that such revisions comply with the requirements of a Subsequent Deferral Election.</w:t>
      </w:r>
    </w:p>
    <w:p>
      <w:pPr>
        <w:spacing w:after="0" w:line="180" w:lineRule="exact"/>
        <w:rPr>
          <w:rFonts w:ascii="Times New Roman" w:cs="Times New Roman" w:eastAsia="Times New Roman" w:hAnsi="Times New Roman"/>
          <w:sz w:val="17"/>
          <w:szCs w:val="17"/>
          <w:color w:val="auto"/>
        </w:rPr>
      </w:pPr>
    </w:p>
    <w:p>
      <w:pPr>
        <w:jc w:val="both"/>
        <w:ind w:firstLine="606"/>
        <w:spacing w:after="0" w:line="256" w:lineRule="auto"/>
        <w:tabs>
          <w:tab w:leader="none" w:pos="899"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the Plan provides that Non-Qualified Deferred Compensation can be paid or commenced during a certain period following a permissible payment or commencement event or trigger, (i) the period must begin and end within one taxable year of the Participant or (ii) the period will not exceed 90 days and if the payment or commencement period spans two taxable years of the Participant, then such Non-Qualified Deferred Compensation shall be paid and/or commenced during the second of such taxable years.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5" w:name="page56"/>
    <w:bookmarkEnd w:id="55"/>
    <w:p>
      <w:pPr>
        <w:jc w:val="both"/>
        <w:ind w:firstLine="606"/>
        <w:spacing w:after="0" w:line="261" w:lineRule="auto"/>
        <w:tabs>
          <w:tab w:leader="none" w:pos="93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preceding provisions of this Section XI(q) shall not be construed as a guarantee by the Corporation or by any Affiliate of any particular tax effect to the Participants under the Plan. The Corporation and its Affiliates shall not be liable to the Participants for any additional tax, penalty or interest imposed under Section 409A nor for reporting in good faith any payment made under the Plan as an amount includible in gross income under Section 409A.</w:t>
      </w:r>
    </w:p>
    <w:p>
      <w:pPr>
        <w:spacing w:after="0" w:line="169" w:lineRule="exact"/>
        <w:rPr>
          <w:sz w:val="20"/>
          <w:szCs w:val="20"/>
          <w:color w:val="auto"/>
        </w:rPr>
      </w:pPr>
    </w:p>
    <w:p>
      <w:pPr>
        <w:jc w:val="both"/>
        <w:ind w:firstLine="606"/>
        <w:spacing w:after="0" w:line="250" w:lineRule="auto"/>
        <w:tabs>
          <w:tab w:leader="none" w:pos="815"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Listing, Registration, Etc</w:t>
      </w:r>
      <w:r>
        <w:rPr>
          <w:rFonts w:ascii="Times New Roman" w:cs="Times New Roman" w:eastAsia="Times New Roman" w:hAnsi="Times New Roman"/>
          <w:sz w:val="17"/>
          <w:szCs w:val="17"/>
          <w:color w:val="auto"/>
        </w:rPr>
        <w:t>. All shares of Common Stock issued pursuant to the terms of the Plan will be subject to the requirement that if at any time the Board determines, in its sole discretion, that it is necessary or desirable to list, register or qualify upon any national securities exchange or under any state or federal securities or other law or regulation, such shares of Common Stock, or that it is necessary or desirable to obtain the consent or approval of any governmental regulatory body, as a condition to or in connection with the issuance hereunder of Common Stock, the Common Stock may not be issued unless or until the listing, registration, qualification, consent or approval has been effected or obtained free of any conditions not acceptable to the Board. The recipient of any shares of Common Stock must supply the Corporation with any certificates, representations and information as the Corporation reasonably requests, and must otherwise cooperate with the Corporation in obtaining or effecting any listing, registration, qualification, consent or approval the Board deems necessary or desirable. If the Corporation, as part of an offering of securities or otherwise, finds it desirable because of federal or state regulatory requirements to reduce the period during which any Plan Award vests (including a reduction that may result in a penalty being imposed on any Participant (or on any other person) pursuant to Section 409A of the Code), the Board may, in its sole discretion and without the holders’ consent, reduce that period on not less than 10 days’ written notice to the holders affected. Nothing contained herein will obligate the Corporation to list, register or qualify any shares of Common Stock or other securities upon any national securities exchange or otherwise or under any federal or state securities laws.</w:t>
      </w:r>
    </w:p>
    <w:p>
      <w:pPr>
        <w:spacing w:after="0" w:line="178" w:lineRule="exact"/>
        <w:rPr>
          <w:rFonts w:ascii="Times New Roman" w:cs="Times New Roman" w:eastAsia="Times New Roman" w:hAnsi="Times New Roman"/>
          <w:sz w:val="17"/>
          <w:szCs w:val="17"/>
          <w:color w:val="auto"/>
        </w:rPr>
      </w:pPr>
    </w:p>
    <w:p>
      <w:pPr>
        <w:jc w:val="both"/>
        <w:ind w:firstLine="606"/>
        <w:spacing w:after="0" w:line="264" w:lineRule="auto"/>
        <w:tabs>
          <w:tab w:leader="none" w:pos="825"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Golden Parachute Restrictions</w:t>
      </w:r>
      <w:r>
        <w:rPr>
          <w:rFonts w:ascii="Times New Roman" w:cs="Times New Roman" w:eastAsia="Times New Roman" w:hAnsi="Times New Roman"/>
          <w:sz w:val="16"/>
          <w:szCs w:val="16"/>
          <w:color w:val="auto"/>
        </w:rPr>
        <w:t>. Notwithstanding any other provisions of the Plan to the contrary, if the receipt of any payments or benefits under the Plan (along with any other payments receivable by the Participant other than under the Plan) would subject a Participant to tax under Code Section 4999, the Committee may determine whether some amount of such payments or benefits would meet the definition of a “Reduced Amount.” If the Committee determines that there is a Reduced Amount, the total payments or benefits to the Participant under all Plan Awards (and all other such potential payments) must be reduced to such Reduced Amount, but not below zero. It is the intention of the Corporation and any such Participant to reduce the payments under the Plan (and other than under the Plan) only if the aggregate “Net After Tax Receipts” to such Participant would thereby be increased. If the Committee determines that the benefits and payments must be reduced to the Reduced Amount, the Corporation must promptly notify such Participant of that determination, with a copy of the detailed calculations by the Committee. All determinations of the Committee under this Section XI(s) shall be final, conclusive and binding upon the Corporation and any such Participant. As result of the uncertainty in the application of Code Section 4999 at the time of the initial determination by the Committee under this XI(s), however, it is possible that amounts will have been paid under the Plan (and other than under the Plan) to or for the benefit of a Participant which should not have been so paid (“Overpayment”) or that additional amounts which will not have been paid under the Plan (or other than under the Plan) to or for the benefit of a Participant could have been so paid (“Underpayment”), in each case consistent with the calculation of the Reduced Amount. If the Committee, based either upon the assertion of a deficiency by the Internal Revenue Service against the Corporation or a Participant, which the Committee believes has a high probability of success, or controlling precedent or other substantial authority, determines that an Overpayment has been made, any such Overpayment must be treated for all purposes as a loan, to the extent permitted by Applicable Law, which such Participant must repay to the Corporation together with interest at the applicable federal rate under Code Section 7872(f)(2); provided, however, that no such loan may be deemed to have been made and no amount shall be payable by a Participant to the Corporation if and to the extent such deemed loan and payment would not either reduce the amount on which the Participant is subject to tax under Code Sections 1, 3101 or 4999 or generate a refund of such taxes. If the Committee, based upon controlling precedent or other substantial authority, determines that an Underpayment has occurred, the Committee must promptly notify the Corporation of the amount of the Underpayment, which then shall be paid promptly to the Participant but no later than the end of the Participant’s taxable year next following the Participant’s taxable year in which the determination is made that the Underpayment has occurred. For purposes of this Section XI(s), (i) “Net After Tax Receipts” means the Present Value of a payment under the Plan (and other than under the Plan) net of all taxes imposed on Participant with respect thereto under Code Sections 1, 3101 and 4999, determined by applying the highest marginal rate under Code Section 1 which applies to the Participant’s taxable income for the applicable taxable year; (ii) “Present Value” means the value determined in accordance with Code Section 280G(d)(4); and (iii) “Reduced Amount” means the smallest aggregate amount of all payments and benefits under the Plan (and other than under the Plan) which (x) is less than the sum of all payments and benefits under the Plan (and other than under the Plan) and (y) results in aggregate Net After Tax Receipts which are equal to or greater than the Net After Tax Receipts which would result if the aggregate payments and benefits under the Plan (and other than under the Plan) were any other amount less than the sum of all payments and benefits to be made under the Plan (and other than under the Plan). Except as may be provided in any other agreement entered into by and between the Participant and the Corporation, if any payment or benefit is reduced under this Section XI(s), such reduction shall be made, in pro rata amounts from benefits provided under the Plan and payments which may be made other than under the Plan, in the following order: (i) first, any future cash payments (if any) shall be reduced (if necessary, to zero);</w:t>
      </w:r>
    </w:p>
    <w:p>
      <w:pPr>
        <w:spacing w:after="0" w:line="199" w:lineRule="exact"/>
        <w:rPr>
          <w:rFonts w:ascii="Times New Roman" w:cs="Times New Roman" w:eastAsia="Times New Roman" w:hAnsi="Times New Roman"/>
          <w:sz w:val="16"/>
          <w:szCs w:val="16"/>
          <w:color w:val="auto"/>
        </w:rPr>
      </w:pPr>
    </w:p>
    <w:p>
      <w:pPr>
        <w:jc w:val="both"/>
        <w:ind w:firstLine="1"/>
        <w:spacing w:after="0" w:line="250" w:lineRule="auto"/>
        <w:tabs>
          <w:tab w:leader="none" w:pos="27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second, any current cash payments shall be reduced (if necessary, to zero); (iii) third, all non-cash payments (other than equity or equity derivative related payments) shall be reduced (if necessary, to zero); and (iv) fourth, all equity or equity derivative payments shall be reduced. Any necessary reduction in each subcategory shall first be applied to the latest scheduled payment in such subcategory and shall continue to the extent necessary until the most current payment is reduced or eliminated.</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6" w:name="page57"/>
    <w:bookmarkEnd w:id="56"/>
    <w:p>
      <w:pPr>
        <w:jc w:val="both"/>
        <w:ind w:firstLine="606"/>
        <w:spacing w:after="0" w:line="250" w:lineRule="auto"/>
        <w:tabs>
          <w:tab w:leader="none" w:pos="806"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Clawback of Payments</w:t>
      </w:r>
      <w:r>
        <w:rPr>
          <w:rFonts w:ascii="Times New Roman" w:cs="Times New Roman" w:eastAsia="Times New Roman" w:hAnsi="Times New Roman"/>
          <w:sz w:val="17"/>
          <w:szCs w:val="17"/>
          <w:color w:val="auto"/>
        </w:rPr>
        <w:t>. Notwithstanding any provision of the Plan to the contrary, each Participant’s benefits awarded or paid hereunder (including, but not limited to, payments of cash, equity underlying grants, and equity released from restrictions) may be subject to recoupment by the Corporation to the extent (i) required under the applicable requirements of Section 304 of the Sarbanes-Oxley Act of 2002 and/or Section 954 of the Dodd-Frank Wall Street Reform and Consumer Protection Act of 2010 (each as in effect from time to time, any applicable rules and regulations with respect thereto that are promulgated thereunder by the Securities and Exchange Commission and the exchange(s) and/or other trading facility(ies) on which any class of securities of the Corporation is traded), (ii) required by any other policy or rule adopted by the Board or the Corporation’s stockholders pursuant to a duly authorized vote or (iii) as may be provided in a particular Award Agreement. To the extent these recoupment rules apply to any Participant, but without in any way limiting the generality of the foregoing, the Participant’s Plan Awards shall be subject to recoupment under the Corporation’s clawback policy, as in effect from time to time (the “Clawback Policy”), to the extent provided therein. The Corporation intends, but the Corporation does not and cannot guarantee, that to the extent any payment under the Plan qualifies as non-qualified deferred compensation (as defined under Section 409A of the Code and the regulations promulgated thereunder) any recoupment required under this Section XI(t) shall either be exempt from Section 409A of the Code or comply with the applicable requirements of Section 409A of the Code.</w:t>
      </w:r>
    </w:p>
    <w:p>
      <w:pPr>
        <w:spacing w:after="0" w:line="180" w:lineRule="exact"/>
        <w:rPr>
          <w:rFonts w:ascii="Times New Roman" w:cs="Times New Roman" w:eastAsia="Times New Roman" w:hAnsi="Times New Roman"/>
          <w:sz w:val="17"/>
          <w:szCs w:val="17"/>
          <w:color w:val="auto"/>
        </w:rPr>
      </w:pPr>
    </w:p>
    <w:p>
      <w:pPr>
        <w:jc w:val="both"/>
        <w:ind w:firstLine="606"/>
        <w:spacing w:after="0" w:line="252" w:lineRule="auto"/>
        <w:tabs>
          <w:tab w:leader="none" w:pos="843"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Lock-up Agreement</w:t>
      </w:r>
      <w:r>
        <w:rPr>
          <w:rFonts w:ascii="Times New Roman" w:cs="Times New Roman" w:eastAsia="Times New Roman" w:hAnsi="Times New Roman"/>
          <w:sz w:val="17"/>
          <w:szCs w:val="17"/>
          <w:color w:val="auto"/>
        </w:rPr>
        <w:t>. Each recipient of a Plan Award hereunder agrees, in connection with any registration with the Securities and Exchange Commission under the Securities Act of the public sale of the Corporation’s Common Stock, not to sell, make any short sale of, loan, grant any option for the purchase of or otherwise dispose of any securities of the Corporation, including any Plan Awards, (other than those included in the registration) without the prior written consent of the Corporation or the underwriters of such public offer or sale, as the case may be, for such period of time from the effective date of such registration as the Corporation or the underwriters, as the case may be, shall specify. Each such recipient agrees that the Corporation may instruct its transfer agent to place stop-transfer notations in its records to enforce this Section XI(u). Each such recipient agrees to execute such form of agreement reflecting the foregoing restrictions and such other restrictions as requested by the underwriters managing such offering.</w:t>
      </w:r>
    </w:p>
    <w:p>
      <w:pPr>
        <w:spacing w:after="0" w:line="177" w:lineRule="exact"/>
        <w:rPr>
          <w:rFonts w:ascii="Times New Roman" w:cs="Times New Roman" w:eastAsia="Times New Roman" w:hAnsi="Times New Roman"/>
          <w:sz w:val="17"/>
          <w:szCs w:val="17"/>
          <w:color w:val="auto"/>
        </w:rPr>
      </w:pPr>
    </w:p>
    <w:p>
      <w:pPr>
        <w:ind w:left="840" w:hanging="234"/>
        <w:spacing w:after="0"/>
        <w:tabs>
          <w:tab w:leader="none" w:pos="8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Rules of Construction</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ind w:firstLine="909"/>
        <w:spacing w:after="0" w:line="274" w:lineRule="auto"/>
        <w:tabs>
          <w:tab w:leader="none" w:pos="111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headings and subheadings set forth in the Plan are inserted for the convenience of reference only and are to be ignored in any construction of the terms set forth herein.</w:t>
      </w:r>
    </w:p>
    <w:p>
      <w:pPr>
        <w:spacing w:after="0" w:line="158" w:lineRule="exact"/>
        <w:rPr>
          <w:rFonts w:ascii="Times New Roman" w:cs="Times New Roman" w:eastAsia="Times New Roman" w:hAnsi="Times New Roman"/>
          <w:sz w:val="17"/>
          <w:szCs w:val="17"/>
          <w:color w:val="auto"/>
        </w:rPr>
      </w:pPr>
    </w:p>
    <w:p>
      <w:pPr>
        <w:ind w:firstLine="909"/>
        <w:spacing w:after="0" w:line="274" w:lineRule="auto"/>
        <w:tabs>
          <w:tab w:leader="none" w:pos="1158"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Wherever applicable, the neuter, feminine or masculine pronoun as used herein shall also include the neuter, masculine or feminine, as the case may be, and the plural shall refer to the singular and vice versa.</w:t>
      </w:r>
    </w:p>
    <w:p>
      <w:pPr>
        <w:spacing w:after="0" w:line="158" w:lineRule="exact"/>
        <w:rPr>
          <w:rFonts w:ascii="Times New Roman" w:cs="Times New Roman" w:eastAsia="Times New Roman" w:hAnsi="Times New Roman"/>
          <w:sz w:val="17"/>
          <w:szCs w:val="17"/>
          <w:color w:val="auto"/>
        </w:rPr>
      </w:pPr>
    </w:p>
    <w:p>
      <w:pPr>
        <w:ind w:firstLine="909"/>
        <w:spacing w:after="0" w:line="274" w:lineRule="auto"/>
        <w:tabs>
          <w:tab w:leader="none" w:pos="121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words “hereof,” “herein,” “hereunder” and similar words refer to the Plan as a whole and not to any particular provision of the Plan; and any references to any subsection, Section, Schedule, Appendix or Exhibit to the Plan references are to the Plan unless otherwise specified.</w:t>
      </w:r>
    </w:p>
    <w:p>
      <w:pPr>
        <w:spacing w:after="0" w:line="158" w:lineRule="exact"/>
        <w:rPr>
          <w:rFonts w:ascii="Times New Roman" w:cs="Times New Roman" w:eastAsia="Times New Roman" w:hAnsi="Times New Roman"/>
          <w:sz w:val="17"/>
          <w:szCs w:val="17"/>
          <w:color w:val="auto"/>
        </w:rPr>
      </w:pPr>
    </w:p>
    <w:p>
      <w:pPr>
        <w:ind w:left="1200" w:hanging="291"/>
        <w:spacing w:after="0"/>
        <w:tabs>
          <w:tab w:leader="none" w:pos="120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“including” is not limiting and means “including without limitation.”</w:t>
      </w:r>
    </w:p>
    <w:p>
      <w:pPr>
        <w:spacing w:after="0" w:line="207" w:lineRule="exact"/>
        <w:rPr>
          <w:rFonts w:ascii="Times New Roman" w:cs="Times New Roman" w:eastAsia="Times New Roman" w:hAnsi="Times New Roman"/>
          <w:sz w:val="17"/>
          <w:szCs w:val="17"/>
          <w:color w:val="auto"/>
        </w:rPr>
      </w:pPr>
    </w:p>
    <w:p>
      <w:pPr>
        <w:jc w:val="both"/>
        <w:ind w:firstLine="909"/>
        <w:spacing w:after="0" w:line="261" w:lineRule="auto"/>
        <w:tabs>
          <w:tab w:leader="none" w:pos="1151"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References in the Plan to any statute or statutory provisions include a reference to such statute or statutory provisions as from time to time amended, modified, reenacted, extended, consolidated or replaced (whether before or after the date of the Plan), to any subordinate legislation made from time to time under such statute or statutory provision and to any and all rules, regulations and other documents of general application promulgated thereunder.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7" w:name="page58"/>
    <w:bookmarkEnd w:id="57"/>
    <w:p>
      <w:pPr>
        <w:ind w:firstLine="909"/>
        <w:spacing w:after="0" w:line="274" w:lineRule="auto"/>
        <w:tabs>
          <w:tab w:leader="none" w:pos="1197"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References to the Plan or to any other document include a reference to the Plan or to such other document as varied, amended, modified, novated or supplemented from time to time.</w:t>
      </w:r>
    </w:p>
    <w:p>
      <w:pPr>
        <w:spacing w:after="0" w:line="158" w:lineRule="exact"/>
        <w:rPr>
          <w:rFonts w:ascii="Times New Roman" w:cs="Times New Roman" w:eastAsia="Times New Roman" w:hAnsi="Times New Roman"/>
          <w:sz w:val="17"/>
          <w:szCs w:val="17"/>
          <w:color w:val="auto"/>
        </w:rPr>
      </w:pPr>
    </w:p>
    <w:p>
      <w:pPr>
        <w:ind w:left="1240" w:hanging="331"/>
        <w:spacing w:after="0"/>
        <w:tabs>
          <w:tab w:leader="none" w:pos="1240"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“writing” or “written” include any non-transient means of representing or copying words legibly, including by facsimile or electronic</w:t>
      </w:r>
    </w:p>
    <w:p>
      <w:pPr>
        <w:spacing w:after="0" w:line="3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mail.</w:t>
      </w:r>
    </w:p>
    <w:p>
      <w:pPr>
        <w:spacing w:after="0" w:line="191" w:lineRule="exact"/>
        <w:rPr>
          <w:rFonts w:ascii="Times New Roman" w:cs="Times New Roman" w:eastAsia="Times New Roman" w:hAnsi="Times New Roman"/>
          <w:sz w:val="16"/>
          <w:szCs w:val="16"/>
          <w:color w:val="auto"/>
        </w:rPr>
      </w:pPr>
    </w:p>
    <w:p>
      <w:pPr>
        <w:ind w:left="1280" w:hanging="371"/>
        <w:spacing w:after="0"/>
        <w:tabs>
          <w:tab w:leader="none" w:pos="1280"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References to “$” are to United States Dollars.</w:t>
      </w:r>
    </w:p>
    <w:p>
      <w:pPr>
        <w:spacing w:after="0" w:line="207" w:lineRule="exact"/>
        <w:rPr>
          <w:rFonts w:ascii="Times New Roman" w:cs="Times New Roman" w:eastAsia="Times New Roman" w:hAnsi="Times New Roman"/>
          <w:sz w:val="17"/>
          <w:szCs w:val="17"/>
          <w:color w:val="auto"/>
        </w:rPr>
      </w:pPr>
    </w:p>
    <w:p>
      <w:pPr>
        <w:ind w:left="1200" w:hanging="291"/>
        <w:spacing w:after="0"/>
        <w:tabs>
          <w:tab w:leader="none" w:pos="1200"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References to “%” are to percent.</w:t>
      </w:r>
    </w:p>
    <w:p>
      <w:pPr>
        <w:spacing w:after="0" w:line="207" w:lineRule="exact"/>
        <w:rPr>
          <w:rFonts w:ascii="Times New Roman" w:cs="Times New Roman" w:eastAsia="Times New Roman" w:hAnsi="Times New Roman"/>
          <w:sz w:val="17"/>
          <w:szCs w:val="17"/>
          <w:color w:val="auto"/>
        </w:rPr>
      </w:pPr>
    </w:p>
    <w:p>
      <w:pPr>
        <w:jc w:val="both"/>
        <w:ind w:firstLine="303"/>
        <w:spacing w:after="0" w:line="250" w:lineRule="auto"/>
        <w:tabs>
          <w:tab w:leader="none" w:pos="578"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Stockholder’s Rights</w:t>
      </w:r>
      <w:r>
        <w:rPr>
          <w:rFonts w:ascii="Times New Roman" w:cs="Times New Roman" w:eastAsia="Times New Roman" w:hAnsi="Times New Roman"/>
          <w:sz w:val="17"/>
          <w:szCs w:val="17"/>
          <w:color w:val="auto"/>
        </w:rPr>
        <w:t>. Except as otherwise provided herein, a Participant shall have none of the rights of a stockholder with respect to shares of Common Stock covered by any Plan Award until the Participant becomes the record owner of such shares of Common Stock. Without limiting the generality of the foregoing, no Participant will have any of the rights of a stockholder with respect to any shares of Common Stock until the shares of Common Stock are issued to the Participant. Subject to the other provisions of the Plan to the contrary, after shares of Common Stock are issued to the Participant, the Participant will be a stockholder and have all the rights of a stockholder with respect to such shares of Common Stock, including the right to vote and receive all dividends or other distributions made or paid with respect to such shares of Common Stock; provided, that if such shares of Common Stock are Restricted Stock or Performance Shares, then any new, additional or different securities a Participant may become entitled to receive with respect to such shares of Common Stock by virtue of a stock dividend, stock split or any other change in the corporate or capital structure of the Corporation will be subject to the same restrictions as the Restricted Stock or Performance Shares; and further provided that such Participant will have no right to retain such stock dividends or stock distributions with respect to shares of Common Stock that are forfeited or repurchased by the Corporation pursuant to the Plan or the Award Agreement.</w:t>
      </w:r>
    </w:p>
    <w:p>
      <w:pPr>
        <w:spacing w:after="0" w:line="182" w:lineRule="exact"/>
        <w:rPr>
          <w:rFonts w:ascii="Times New Roman" w:cs="Times New Roman" w:eastAsia="Times New Roman" w:hAnsi="Times New Roman"/>
          <w:sz w:val="17"/>
          <w:szCs w:val="17"/>
          <w:color w:val="auto"/>
        </w:rPr>
      </w:pPr>
    </w:p>
    <w:p>
      <w:pPr>
        <w:jc w:val="both"/>
        <w:ind w:firstLine="303"/>
        <w:spacing w:after="0" w:line="252" w:lineRule="auto"/>
        <w:tabs>
          <w:tab w:leader="none" w:pos="5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Paperless Administration; Consent to Electronic Communications</w:t>
      </w:r>
      <w:r>
        <w:rPr>
          <w:rFonts w:ascii="Times New Roman" w:cs="Times New Roman" w:eastAsia="Times New Roman" w:hAnsi="Times New Roman"/>
          <w:sz w:val="17"/>
          <w:szCs w:val="17"/>
          <w:color w:val="auto"/>
        </w:rPr>
        <w:t>. In the event that the Corporation establishes or maintains, for itself or using the services of a third party, an automated system for the documentation, granting or exercise of Plan Awards, such as a system using an internet website or interactive voice response, then the paperless documentation, granting or exercise of Plan Awards by a Participant may be permitted through the use of such an automated system. Each Participant, by way of his acceptance of any Plan Award, agrees and consents to the Corporation communicating with such Participant (and any beneficiary or representative of, or any successor to, such Participant) via any electronic medium (including via email or website access) and agrees and consents to the Corporation providing to such Participant (and any beneficiary or representative of, or any successor to, such Participant) via any electronic medium any disclosure, report or other document.</w:t>
      </w:r>
    </w:p>
    <w:p>
      <w:pPr>
        <w:spacing w:after="0" w:line="177" w:lineRule="exact"/>
        <w:rPr>
          <w:rFonts w:ascii="Times New Roman" w:cs="Times New Roman" w:eastAsia="Times New Roman" w:hAnsi="Times New Roman"/>
          <w:sz w:val="17"/>
          <w:szCs w:val="17"/>
          <w:color w:val="auto"/>
        </w:rPr>
      </w:pPr>
    </w:p>
    <w:p>
      <w:pPr>
        <w:jc w:val="both"/>
        <w:ind w:firstLine="303"/>
        <w:spacing w:after="0" w:line="252" w:lineRule="auto"/>
        <w:tabs>
          <w:tab w:leader="none" w:pos="5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Laws</w:t>
      </w:r>
      <w:r>
        <w:rPr>
          <w:rFonts w:ascii="Times New Roman" w:cs="Times New Roman" w:eastAsia="Times New Roman" w:hAnsi="Times New Roman"/>
          <w:sz w:val="17"/>
          <w:szCs w:val="17"/>
          <w:color w:val="auto"/>
        </w:rPr>
        <w:t>. The Plan, the granting and vesting of Plan Awards under the Plan and the issuance and delivery of shares of Common Stock and the payment of money under the Plan or under Plan Awards granted or awarded hereunder are subject to compliance with all Applicable Laws (including but not limited to margin requirements), and to such approvals by any listing, regulatory, self-regulatory or governmental authority as may, in the opinion of counsel for the Corporation, be necessary or advisable in connection therewith. Any securities delivered under the Plan shall be subject to such restrictions, and the person acquiring such securities shall, if requested by the Corporation, provide such assurances and representations to the Corporation as the Corporation may deem necessary or desirable to assure compliance with all Applicable Laws. To the extent permitted by Applicable Law, the Plan and Plan Awards granted or awarded hereunder shall be deemed amended to the extent necessary to conform to Applicable Law.</w:t>
      </w:r>
    </w:p>
    <w:p>
      <w:pPr>
        <w:spacing w:after="0" w:line="177" w:lineRule="exact"/>
        <w:rPr>
          <w:rFonts w:ascii="Times New Roman" w:cs="Times New Roman" w:eastAsia="Times New Roman" w:hAnsi="Times New Roman"/>
          <w:sz w:val="17"/>
          <w:szCs w:val="17"/>
          <w:color w:val="auto"/>
        </w:rPr>
      </w:pPr>
    </w:p>
    <w:p>
      <w:pPr>
        <w:jc w:val="both"/>
        <w:ind w:firstLine="303"/>
        <w:spacing w:after="0" w:line="267" w:lineRule="auto"/>
        <w:tabs>
          <w:tab w:leader="none" w:pos="531"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Securities Law and Other Regulator/Compliance</w:t>
      </w:r>
      <w:r>
        <w:rPr>
          <w:rFonts w:ascii="Times New Roman" w:cs="Times New Roman" w:eastAsia="Times New Roman" w:hAnsi="Times New Roman"/>
          <w:sz w:val="16"/>
          <w:szCs w:val="16"/>
          <w:color w:val="auto"/>
        </w:rPr>
        <w:t>. In no way limiting the application of the provisions contained in Section XI(y), above, a Plan Award will not be effective unless such Plan Award is in compliance with all applicable federal, state and foreign securities laws, rules and regulations of any governmental body, and the requirements of any national stock exchange or automated quotation system upon which the shares of Common Stock granted under such Plan Award may then be listed or quoted, as they are in effect on the date of grant of the Plan Award on the date of exercise or other issuance or any other date while the Plan Award is outstanding. Notwithstanding any other provision in the Plan to the contrary, the Corporation will have no obligation to issue or deliver certificates for shares of Common Stock under the Plan prior to: (i) obtaining any approvals from governmental agencies that the Corporation determines are necessary or advisable; and/or (ii) completion of any registration or other qualification of such shares of Common Stock under any state, federal or foreign law or ruling of any governmental body that the Corporation determines to be necessary or advisable. The Corporation will be under no obligation to register the shares of Common Stock with the Securities and Exchange Commission (if such shares of Common Stock are not otherwise so registered) or to effect compliance with the registration, qualification or listing requirements of any state securities laws, national stock exchange or automated quotation system, and the Corporation will have no liability for any inability or failure to do so. As a condition to the grant of any Plan Award, the Corporation may require each Participant to satisfy any qualifications that may be necessary or appropriate to evidence compliance with any Applicable Law and to make any representation or warranty with respect thereto as may be requested by the Corporation.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8" w:name="page59"/>
    <w:bookmarkEnd w:id="58"/>
    <w:p>
      <w:pPr>
        <w:jc w:val="both"/>
        <w:ind w:firstLine="303"/>
        <w:spacing w:after="0" w:line="261" w:lineRule="auto"/>
        <w:tabs>
          <w:tab w:leader="none" w:pos="631"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Awards Not Includable for Benefit Purposes</w:t>
      </w:r>
      <w:r>
        <w:rPr>
          <w:rFonts w:ascii="Times New Roman" w:cs="Times New Roman" w:eastAsia="Times New Roman" w:hAnsi="Times New Roman"/>
          <w:sz w:val="17"/>
          <w:szCs w:val="17"/>
          <w:color w:val="auto"/>
        </w:rPr>
        <w:t>. Payments received by a Participant pursuant to the provisions of the Plan shall not be included in the determination of benefits under any pension, group insurance, or other benefit plan applicable to the Participant that is maintained by the Corporation, except as may be provided under the terms of those plans or as determined by the Board.</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XII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TRANSFERABILITY OF AWARDS</w:t>
      </w:r>
    </w:p>
    <w:p>
      <w:pPr>
        <w:spacing w:after="0" w:line="192" w:lineRule="exact"/>
        <w:rPr>
          <w:sz w:val="20"/>
          <w:szCs w:val="20"/>
          <w:color w:val="auto"/>
        </w:rPr>
      </w:pPr>
    </w:p>
    <w:p>
      <w:pPr>
        <w:ind w:left="540" w:hanging="237"/>
        <w:spacing w:after="0"/>
        <w:tabs>
          <w:tab w:leader="none" w:pos="5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 General</w:t>
      </w:r>
      <w:r>
        <w:rPr>
          <w:rFonts w:ascii="Times New Roman" w:cs="Times New Roman" w:eastAsia="Times New Roman" w:hAnsi="Times New Roman"/>
          <w:sz w:val="17"/>
          <w:szCs w:val="17"/>
          <w:color w:val="auto"/>
        </w:rPr>
        <w:t>. Except as otherwise provided in Section XII(b):</w:t>
      </w:r>
    </w:p>
    <w:p>
      <w:pPr>
        <w:spacing w:after="0" w:line="207" w:lineRule="exact"/>
        <w:rPr>
          <w:rFonts w:ascii="Times New Roman" w:cs="Times New Roman" w:eastAsia="Times New Roman" w:hAnsi="Times New Roman"/>
          <w:sz w:val="17"/>
          <w:szCs w:val="17"/>
          <w:color w:val="auto"/>
        </w:rPr>
      </w:pPr>
    </w:p>
    <w:p>
      <w:pPr>
        <w:jc w:val="both"/>
        <w:ind w:firstLine="606"/>
        <w:spacing w:after="0" w:line="261" w:lineRule="auto"/>
        <w:tabs>
          <w:tab w:leader="none" w:pos="819"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Plan Award may be sold, pledged, encumbered, assigned or transferred in any manner other than by will or the laws of descent and distribution or, subject to the consent of the Committee, pursuant to a DRO, unless and until such Plan Award has been exercised, or the shares of Common Stock underlying such Plan Award have been issued, and all restrictions, including without limitation risks of forfeiture, applicable to such shares of Common Stock have lapsed;</w:t>
      </w:r>
    </w:p>
    <w:p>
      <w:pPr>
        <w:spacing w:after="0" w:line="169" w:lineRule="exact"/>
        <w:rPr>
          <w:rFonts w:ascii="Times New Roman" w:cs="Times New Roman" w:eastAsia="Times New Roman" w:hAnsi="Times New Roman"/>
          <w:sz w:val="17"/>
          <w:szCs w:val="17"/>
          <w:color w:val="auto"/>
        </w:rPr>
      </w:pPr>
    </w:p>
    <w:p>
      <w:pPr>
        <w:jc w:val="both"/>
        <w:ind w:firstLine="606"/>
        <w:spacing w:after="0" w:line="254" w:lineRule="auto"/>
        <w:tabs>
          <w:tab w:leader="none" w:pos="855"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Plan Award or interest or right therein shall be liable for or may be applied to pay, satisfy or settle the debts, contracts or engagements of a Participant or his or her successors in interest nor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or insolvency), and any attempted disposition thereof shall be null and void and of no effect, except to the extent that such disposition is permitted by Section XII(a)(i); and</w:t>
      </w:r>
    </w:p>
    <w:p>
      <w:pPr>
        <w:spacing w:after="0" w:line="175" w:lineRule="exact"/>
        <w:rPr>
          <w:rFonts w:ascii="Times New Roman" w:cs="Times New Roman" w:eastAsia="Times New Roman" w:hAnsi="Times New Roman"/>
          <w:sz w:val="17"/>
          <w:szCs w:val="17"/>
          <w:color w:val="auto"/>
        </w:rPr>
      </w:pPr>
    </w:p>
    <w:p>
      <w:pPr>
        <w:jc w:val="both"/>
        <w:ind w:firstLine="606"/>
        <w:spacing w:after="0" w:line="256" w:lineRule="auto"/>
        <w:tabs>
          <w:tab w:leader="none" w:pos="90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lifetime of a Participant, only such Participant may exercise a Plan Award (or any portion thereof) granted to him under the Plan, unless (other than in the case of an Incentive Stock Option) it has been disposed of pursuant to a DRO, and after the death of a Participant any exercisable portion of a Plan Award may, prior to the time when such portion becomes unexercisable under the Plan or the applicable Award Agreement, be exercised by such Participant’s personal representative or by any person empowered to do so under the deceased Participant’s will or under the then applicable laws of descent and distribution.</w:t>
      </w:r>
    </w:p>
    <w:p>
      <w:pPr>
        <w:spacing w:after="0" w:line="174" w:lineRule="exact"/>
        <w:rPr>
          <w:rFonts w:ascii="Times New Roman" w:cs="Times New Roman" w:eastAsia="Times New Roman" w:hAnsi="Times New Roman"/>
          <w:sz w:val="17"/>
          <w:szCs w:val="17"/>
          <w:color w:val="auto"/>
        </w:rPr>
      </w:pPr>
    </w:p>
    <w:p>
      <w:pPr>
        <w:jc w:val="both"/>
        <w:ind w:firstLine="303"/>
        <w:spacing w:after="0" w:line="251" w:lineRule="auto"/>
        <w:tabs>
          <w:tab w:leader="none" w:pos="5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Permitted Transferees</w:t>
      </w:r>
      <w:r>
        <w:rPr>
          <w:rFonts w:ascii="Times New Roman" w:cs="Times New Roman" w:eastAsia="Times New Roman" w:hAnsi="Times New Roman"/>
          <w:sz w:val="17"/>
          <w:szCs w:val="17"/>
          <w:color w:val="auto"/>
        </w:rPr>
        <w:t>. Notwithstanding Section XII(a) hereof, the Committee may, in its sole discretion, permit a Participant to transfer a Plan Award other than an Incentive Stock Option to any one or more Permitted Transferees, subject to the following terms and conditions: except as may be provided in a Stock Restriction Agreement that is an Exhibit to any Plan Award (or as may be provided in any applicable stockholders’ agreement) (i) a Plan Award transferred to a Permitted Transferee shall not be assignable or transferable by the Permitted Transferee other than by will or the laws of descent and distribution; (ii) a Plan Award transferred to a Permitted Transferee shall continue to be subject to all the terms and conditions of the Plan Award as applicable to the original Participant (other than the ability to further transfer the Plan Award); (iii) any transfer of a Plan Award to a Permitted Transferee shall be without consideration; and (iv) the Participant and the Permitted Transferee shall execute any and all documents requested by the Committee or the Corporation, including, without limitation documents to (A) confirm the status of the transferee as a Permitted Transferee, (B) satisfy any requirements for an exemption for the transfer under Applicable Law and (C) evidence the transfer.</w:t>
      </w:r>
    </w:p>
    <w:p>
      <w:pPr>
        <w:spacing w:after="0" w:line="177" w:lineRule="exact"/>
        <w:rPr>
          <w:rFonts w:ascii="Times New Roman" w:cs="Times New Roman" w:eastAsia="Times New Roman" w:hAnsi="Times New Roman"/>
          <w:sz w:val="17"/>
          <w:szCs w:val="17"/>
          <w:color w:val="auto"/>
        </w:rPr>
      </w:pPr>
    </w:p>
    <w:p>
      <w:pPr>
        <w:jc w:val="both"/>
        <w:ind w:firstLine="303"/>
        <w:spacing w:after="0" w:line="268" w:lineRule="auto"/>
        <w:tabs>
          <w:tab w:leader="none" w:pos="531"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Beneficiaries</w:t>
      </w:r>
      <w:r>
        <w:rPr>
          <w:rFonts w:ascii="Times New Roman" w:cs="Times New Roman" w:eastAsia="Times New Roman" w:hAnsi="Times New Roman"/>
          <w:sz w:val="16"/>
          <w:szCs w:val="16"/>
          <w:color w:val="auto"/>
        </w:rPr>
        <w:t>. Notwithstanding Section XII(a) hereof, a Participant may, in the manner determined by the Committee, designate a beneficiary to exercise the rights of such Participant and to receive any distribution that may be made with respect to any Plan Award upon the Participant’s death. A beneficiary, legal guardian, legal representative, or other person claiming any rights pursuant to the Plan is subject to all terms and conditions of the Plan and any Award Agreement applicable to the Participant, except to the extent the Plan and the Award Agreement otherwise provide, and to any additional restrictions deemed necessary or appropriate by the Committee. If a Participant is married or a domestic partner in a domestic partnership qualified under Applicable Law and resides in a community property state, a designation of a person other than the Participant’s spouse or domestic partner, as applicable, as his or her beneficiary with respect to more than 50% of the Participant’s interest in the Plan Award shall not be effective without the prior written or electronic consent in form and substance satisfactory to the Committee or the Corporation of such Participant’s spouse or domestic partner. If no beneficiary has been designated or survives the Participant, payment shall be made to the person entitled thereto pursuant to the Participant’s will or the laws of descent and distribution. Subject to the foregoing and Applicable Law, a beneficiary designation may be changed or revoked by a Participant at any time provided that the change or revocation is filed with the Committee prior to the Participant’s death.</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7"/>
          <w:szCs w:val="17"/>
          <w:b w:val="1"/>
          <w:bCs w:val="1"/>
          <w:color w:val="auto"/>
        </w:rPr>
        <w:t>XIII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CONDITIONS TO ISSUANCE OF SHARES OF COMMON STOCK</w:t>
      </w:r>
    </w:p>
    <w:p>
      <w:pPr>
        <w:spacing w:after="0" w:line="192" w:lineRule="exact"/>
        <w:rPr>
          <w:sz w:val="20"/>
          <w:szCs w:val="20"/>
          <w:color w:val="auto"/>
        </w:rPr>
      </w:pPr>
    </w:p>
    <w:p>
      <w:pPr>
        <w:jc w:val="both"/>
        <w:ind w:firstLine="303"/>
        <w:spacing w:after="0" w:line="271" w:lineRule="auto"/>
        <w:tabs>
          <w:tab w:leader="none" w:pos="531"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Delivery of Certificates</w:t>
      </w:r>
      <w:r>
        <w:rPr>
          <w:rFonts w:ascii="Times New Roman" w:cs="Times New Roman" w:eastAsia="Times New Roman" w:hAnsi="Times New Roman"/>
          <w:sz w:val="16"/>
          <w:szCs w:val="16"/>
          <w:color w:val="auto"/>
        </w:rPr>
        <w:t>. Notwithstanding anything herein to the contrary, the Corporation shall not be required to issue or deliver any certificates or make any book entries evidencing shares of Common Stock pursuant to the exercise, vesting or settlement of any Plan Award, unless and until the Board or the Committee has determined, with advice of counsel, that the issuance of such shares of Common Stock is in compliance with Applicable Law and the shares of Common Stock are covered by an effective registration statement under the Securities Act or applicable exemption under the Securities Act from registration. In addition to the terms and conditions provided herein, the Board or the Committee may require that a Participant make such reasonable covenants, agreements, and representations as the Board or the Committee, in its sole discretion, deems advisable in order to comply with Applicable Law as a condition to the issuance or exercise of any Plan Award.</w:t>
      </w:r>
    </w:p>
    <w:p>
      <w:pPr>
        <w:spacing w:after="0" w:line="165" w:lineRule="exact"/>
        <w:rPr>
          <w:rFonts w:ascii="Times New Roman" w:cs="Times New Roman" w:eastAsia="Times New Roman" w:hAnsi="Times New Roman"/>
          <w:sz w:val="16"/>
          <w:szCs w:val="16"/>
          <w:color w:val="auto"/>
        </w:rPr>
      </w:pPr>
    </w:p>
    <w:p>
      <w:pPr>
        <w:jc w:val="both"/>
        <w:ind w:firstLine="303"/>
        <w:spacing w:after="0" w:line="261" w:lineRule="auto"/>
        <w:tabs>
          <w:tab w:leader="none" w:pos="553"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Stop-Transfer Orders</w:t>
      </w:r>
      <w:r>
        <w:rPr>
          <w:rFonts w:ascii="Times New Roman" w:cs="Times New Roman" w:eastAsia="Times New Roman" w:hAnsi="Times New Roman"/>
          <w:sz w:val="17"/>
          <w:szCs w:val="17"/>
          <w:color w:val="auto"/>
        </w:rPr>
        <w:t>. All stock certificates delivered pursuant to the Plan and all shares of Common Stock issued pursuant to book entry procedures are subject to any stop-transfer orders and other restrictions as the Committee deems necessary or advisable to comply with Applicable Law. The Committee may place legends on any stock certificate or book entry to reference restrictions applicable to the shares of Common Stock.</w:t>
      </w:r>
    </w:p>
    <w:p>
      <w:pPr>
        <w:spacing w:after="0" w:line="169" w:lineRule="exact"/>
        <w:rPr>
          <w:rFonts w:ascii="Times New Roman" w:cs="Times New Roman" w:eastAsia="Times New Roman" w:hAnsi="Times New Roman"/>
          <w:sz w:val="17"/>
          <w:szCs w:val="17"/>
          <w:color w:val="auto"/>
        </w:rPr>
      </w:pPr>
    </w:p>
    <w:p>
      <w:pPr>
        <w:ind w:firstLine="303"/>
        <w:spacing w:after="0" w:line="274" w:lineRule="auto"/>
        <w:tabs>
          <w:tab w:leader="none" w:pos="531"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Settlement of Plan Award</w:t>
      </w:r>
      <w:r>
        <w:rPr>
          <w:rFonts w:ascii="Times New Roman" w:cs="Times New Roman" w:eastAsia="Times New Roman" w:hAnsi="Times New Roman"/>
          <w:sz w:val="17"/>
          <w:szCs w:val="17"/>
          <w:color w:val="auto"/>
        </w:rPr>
        <w:t>. The Committee shall have the right to require any Participant to comply with any timing or other restrictions with respect to the settlement, distribution or exercise of any Plan Award, including a window-period limitation, as may be imposed in the sole discretion of the Committee.</w:t>
      </w:r>
    </w:p>
    <w:p>
      <w:pPr>
        <w:spacing w:after="0" w:line="158" w:lineRule="exact"/>
        <w:rPr>
          <w:rFonts w:ascii="Times New Roman" w:cs="Times New Roman" w:eastAsia="Times New Roman" w:hAnsi="Times New Roman"/>
          <w:sz w:val="17"/>
          <w:szCs w:val="17"/>
          <w:color w:val="auto"/>
        </w:rPr>
      </w:pPr>
    </w:p>
    <w:p>
      <w:pPr>
        <w:jc w:val="both"/>
        <w:ind w:firstLine="303"/>
        <w:spacing w:after="0" w:line="261" w:lineRule="auto"/>
        <w:tabs>
          <w:tab w:leader="none" w:pos="5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Fractional Shares</w:t>
      </w:r>
      <w:r>
        <w:rPr>
          <w:rFonts w:ascii="Times New Roman" w:cs="Times New Roman" w:eastAsia="Times New Roman" w:hAnsi="Times New Roman"/>
          <w:sz w:val="17"/>
          <w:szCs w:val="17"/>
          <w:color w:val="auto"/>
        </w:rPr>
        <w:t>. No fractional shares of Common Stock shall be issued and the Committee shall determine, in its sole discretion, whether cash shall be given in lieu of fractional shares of Common Stock or whether such fractional shares of Common Stock shall be eliminated by rounding down to the nearest whole share of Common Stock.</w:t>
      </w:r>
    </w:p>
    <w:p>
      <w:pPr>
        <w:spacing w:after="0" w:line="169" w:lineRule="exact"/>
        <w:rPr>
          <w:rFonts w:ascii="Times New Roman" w:cs="Times New Roman" w:eastAsia="Times New Roman" w:hAnsi="Times New Roman"/>
          <w:sz w:val="17"/>
          <w:szCs w:val="17"/>
          <w:color w:val="auto"/>
        </w:rPr>
      </w:pPr>
    </w:p>
    <w:p>
      <w:pPr>
        <w:jc w:val="both"/>
        <w:ind w:firstLine="303"/>
        <w:spacing w:after="0" w:line="261" w:lineRule="auto"/>
        <w:tabs>
          <w:tab w:leader="none" w:pos="544"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Book Entry Stock</w:t>
      </w:r>
      <w:r>
        <w:rPr>
          <w:rFonts w:ascii="Times New Roman" w:cs="Times New Roman" w:eastAsia="Times New Roman" w:hAnsi="Times New Roman"/>
          <w:sz w:val="17"/>
          <w:szCs w:val="17"/>
          <w:color w:val="auto"/>
        </w:rPr>
        <w:t>. Notwithstanding any other provision of the Plan, unless otherwise determined by the Committee or required by Applicable Law or the bylaws of the Corporation, the Corporation shall not deliver to any Participant certificates evidencing shares of Common Stock issued in connection with any Plan Award and instead such shares of Common Stock shall be recorded in the books of the Corporation (or, as applicable, its transfer agent or stock plan administrator).</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XIV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AMENDMENT OR TERMINATION OF PLAN</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Board of Directors of the Corporation shall have the right to amend, suspend or terminate the Plan at any time, provided that no amendment shall be made which shall increase the total number of shares of the Common Stock of the Corporation which may be issued and sold pursuant to Incentive Stock Options, reduce the minimum exercise price in the case of an Incentive Stock Option or modify the provisions of the Plan relating to eligibility with respect to Incentive Stock Options unless such amendment is made by or with the approval of the stockholders of the Corporation within 12 months of the effective date of such amendment, but only if such approval is required by Applicable Law. Furthermore, any amendment or termination of the Plan shall be subject to all other Applicable Law. The Board of Directors of the Corporation shall also be authorized to amend the Plan and the Options granted thereunder to maintain qualification as Incentive Stock Options, if applicable. Except as otherwise provided herein, no amendment, suspension or termination of the Plan shall alter or impair any Plan Award previously granted under the Plan without the consent of the holder thereof.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7"/>
          <w:szCs w:val="17"/>
          <w:b w:val="1"/>
          <w:bCs w:val="1"/>
          <w:color w:val="auto"/>
        </w:rPr>
        <w:t>XV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STOCKHOLDER APPROVAL</w:t>
      </w:r>
    </w:p>
    <w:p>
      <w:pPr>
        <w:spacing w:after="0" w:line="192" w:lineRule="exact"/>
        <w:rPr>
          <w:sz w:val="20"/>
          <w:szCs w:val="20"/>
          <w:color w:val="auto"/>
        </w:rPr>
      </w:pPr>
    </w:p>
    <w:p>
      <w:pPr>
        <w:jc w:val="both"/>
        <w:ind w:firstLine="303"/>
        <w:spacing w:after="0" w:line="256" w:lineRule="auto"/>
        <w:tabs>
          <w:tab w:leader="none" w:pos="531"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 Rule</w:t>
      </w:r>
      <w:r>
        <w:rPr>
          <w:rFonts w:ascii="Times New Roman" w:cs="Times New Roman" w:eastAsia="Times New Roman" w:hAnsi="Times New Roman"/>
          <w:sz w:val="17"/>
          <w:szCs w:val="17"/>
          <w:color w:val="auto"/>
        </w:rPr>
        <w:t>. Notwithstanding any provision of the Plan or any Award Agreement to the contrary, but only to the extent necessary to satisfy Applicable Law, no Plan Award may be granted (or settled) in the absence of the timely approval of the Plan and/or the Plan Awards by that number of the owners of the Corporation’s outstanding shares of Common Stock required by Applicable Law to approve the Plan and/or such Plan Awards. Such approval must be obtained by a separate vote of the Corporation’s stockholders or by any other method allowed under the Applicable Law.</w:t>
      </w:r>
    </w:p>
    <w:p>
      <w:pPr>
        <w:spacing w:after="0" w:line="174" w:lineRule="exact"/>
        <w:rPr>
          <w:rFonts w:ascii="Times New Roman" w:cs="Times New Roman" w:eastAsia="Times New Roman" w:hAnsi="Times New Roman"/>
          <w:sz w:val="17"/>
          <w:szCs w:val="17"/>
          <w:color w:val="auto"/>
        </w:rPr>
      </w:pPr>
    </w:p>
    <w:p>
      <w:pPr>
        <w:ind w:firstLine="303"/>
        <w:spacing w:after="0" w:line="274" w:lineRule="auto"/>
        <w:tabs>
          <w:tab w:leader="none" w:pos="5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Delegation of Voting Power</w:t>
      </w:r>
      <w:r>
        <w:rPr>
          <w:rFonts w:ascii="Times New Roman" w:cs="Times New Roman" w:eastAsia="Times New Roman" w:hAnsi="Times New Roman"/>
          <w:sz w:val="17"/>
          <w:szCs w:val="17"/>
          <w:color w:val="auto"/>
        </w:rPr>
        <w:t>. Furthermore, to the extent permitted by Applicable Law, any one or more of the Corporation’s stockholders may delegate to any agent, proxy or other person the power to so vote such stockholder’s or stockholders’ shares of Common Stock.</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XVI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TERM OF PLAN</w:t>
      </w:r>
    </w:p>
    <w:p>
      <w:pPr>
        <w:spacing w:after="0" w:line="194"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The Plan shall automatically terminate on the day immediately preceding 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anniversary of the date the Plan was adopted by the Board of Directors of the Corporation, unless sooner terminated by such Board of Directors. No Plan Awards may be granted under the Plan subsequent to the date of the termination of the Plan.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XVII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CLAIMS PROCEDURES</w:t>
      </w:r>
    </w:p>
    <w:p>
      <w:pPr>
        <w:spacing w:after="0" w:line="192" w:lineRule="exact"/>
        <w:rPr>
          <w:sz w:val="20"/>
          <w:szCs w:val="20"/>
          <w:color w:val="auto"/>
        </w:rPr>
      </w:pPr>
    </w:p>
    <w:p>
      <w:pPr>
        <w:jc w:val="both"/>
        <w:ind w:firstLine="303"/>
        <w:spacing w:after="0" w:line="254" w:lineRule="auto"/>
        <w:tabs>
          <w:tab w:leader="none" w:pos="531"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Denial of Claims</w:t>
      </w:r>
      <w:r>
        <w:rPr>
          <w:rFonts w:ascii="Times New Roman" w:cs="Times New Roman" w:eastAsia="Times New Roman" w:hAnsi="Times New Roman"/>
          <w:sz w:val="17"/>
          <w:szCs w:val="17"/>
          <w:color w:val="auto"/>
        </w:rPr>
        <w:t>. If a Participant is denied any portion of the amounts to which he reasonably believes is due to be paid to him under the Plan, and only if the Plan (or the applicable portion thereof), in conjunction with the applicable Plan Award, is deemed to constitute an “employee benefit plan” within the meaning of Section 3(1) of the Employee Retirement Income Security Act of 1974, as amended (“</w:t>
      </w:r>
      <w:r>
        <w:rPr>
          <w:rFonts w:ascii="Times New Roman" w:cs="Times New Roman" w:eastAsia="Times New Roman" w:hAnsi="Times New Roman"/>
          <w:sz w:val="17"/>
          <w:szCs w:val="17"/>
          <w:u w:val="single" w:color="auto"/>
          <w:color w:val="auto"/>
        </w:rPr>
        <w:t>ERISA</w:t>
      </w:r>
      <w:r>
        <w:rPr>
          <w:rFonts w:ascii="Times New Roman" w:cs="Times New Roman" w:eastAsia="Times New Roman" w:hAnsi="Times New Roman"/>
          <w:sz w:val="17"/>
          <w:szCs w:val="17"/>
          <w:color w:val="auto"/>
        </w:rPr>
        <w:t>”), such Participant must so notify the Committee and the Committee shall advise the Participant in writing of the specific reasons for such denial. The Committee shall also furnish the Participant at that time with a written notice containing:</w:t>
      </w:r>
    </w:p>
    <w:p>
      <w:pPr>
        <w:spacing w:after="0" w:line="175" w:lineRule="exact"/>
        <w:rPr>
          <w:rFonts w:ascii="Times New Roman" w:cs="Times New Roman" w:eastAsia="Times New Roman" w:hAnsi="Times New Roman"/>
          <w:sz w:val="17"/>
          <w:szCs w:val="17"/>
          <w:color w:val="auto"/>
        </w:rPr>
      </w:pPr>
    </w:p>
    <w:p>
      <w:pPr>
        <w:ind w:left="800" w:hanging="194"/>
        <w:spacing w:after="0"/>
        <w:tabs>
          <w:tab w:leader="none" w:pos="80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specific reference to the pertinent provisions of the Plan and/or Plan Award;</w:t>
      </w:r>
    </w:p>
    <w:p>
      <w:pPr>
        <w:spacing w:after="0" w:line="207" w:lineRule="exact"/>
        <w:rPr>
          <w:rFonts w:ascii="Times New Roman" w:cs="Times New Roman" w:eastAsia="Times New Roman" w:hAnsi="Times New Roman"/>
          <w:sz w:val="17"/>
          <w:szCs w:val="17"/>
          <w:color w:val="auto"/>
        </w:rPr>
      </w:pPr>
    </w:p>
    <w:p>
      <w:pPr>
        <w:ind w:firstLine="606"/>
        <w:spacing w:after="0" w:line="274" w:lineRule="auto"/>
        <w:tabs>
          <w:tab w:leader="none" w:pos="861"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description of any additional material or information necessary for the Participant to perfect his claim, if possible, and an explanation of why such material or information is needed; and</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explanation of the Plan’s claim review procedure.</w:t>
      </w:r>
    </w:p>
    <w:p>
      <w:pPr>
        <w:spacing w:after="0" w:line="207" w:lineRule="exact"/>
        <w:rPr>
          <w:rFonts w:ascii="Times New Roman" w:cs="Times New Roman" w:eastAsia="Times New Roman" w:hAnsi="Times New Roman"/>
          <w:sz w:val="17"/>
          <w:szCs w:val="17"/>
          <w:color w:val="auto"/>
        </w:rPr>
      </w:pPr>
    </w:p>
    <w:p>
      <w:pPr>
        <w:ind w:firstLine="303"/>
        <w:spacing w:after="0" w:line="274" w:lineRule="auto"/>
        <w:tabs>
          <w:tab w:leader="none" w:pos="5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 to Reconsideration</w:t>
      </w:r>
      <w:r>
        <w:rPr>
          <w:rFonts w:ascii="Times New Roman" w:cs="Times New Roman" w:eastAsia="Times New Roman" w:hAnsi="Times New Roman"/>
          <w:sz w:val="17"/>
          <w:szCs w:val="17"/>
          <w:color w:val="auto"/>
        </w:rPr>
        <w:t>. Within 180 days of receipt of the information stated in Section XVII(a), above, the Participant shall, if he desires further review, file a written request for reconsideration with the Committee.</w:t>
      </w:r>
    </w:p>
    <w:p>
      <w:pPr>
        <w:spacing w:after="0" w:line="158" w:lineRule="exact"/>
        <w:rPr>
          <w:rFonts w:ascii="Times New Roman" w:cs="Times New Roman" w:eastAsia="Times New Roman" w:hAnsi="Times New Roman"/>
          <w:sz w:val="17"/>
          <w:szCs w:val="17"/>
          <w:color w:val="auto"/>
        </w:rPr>
      </w:pPr>
    </w:p>
    <w:p>
      <w:pPr>
        <w:ind w:firstLine="303"/>
        <w:spacing w:after="0" w:line="274" w:lineRule="auto"/>
        <w:tabs>
          <w:tab w:leader="none" w:pos="531"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Review of Documents</w:t>
      </w:r>
      <w:r>
        <w:rPr>
          <w:rFonts w:ascii="Times New Roman" w:cs="Times New Roman" w:eastAsia="Times New Roman" w:hAnsi="Times New Roman"/>
          <w:sz w:val="17"/>
          <w:szCs w:val="17"/>
          <w:color w:val="auto"/>
        </w:rPr>
        <w:t>. As long as the Participant’s request for review is pending (including the 180-day period in Section XVII(b), above), the Participant or his duly authorized representative may review pertinent Plan documents and may submit issues and comments in writing to the Committee.</w:t>
      </w:r>
    </w:p>
    <w:p>
      <w:pPr>
        <w:spacing w:after="0" w:line="158" w:lineRule="exact"/>
        <w:rPr>
          <w:rFonts w:ascii="Times New Roman" w:cs="Times New Roman" w:eastAsia="Times New Roman" w:hAnsi="Times New Roman"/>
          <w:sz w:val="17"/>
          <w:szCs w:val="17"/>
          <w:color w:val="auto"/>
        </w:rPr>
      </w:pPr>
    </w:p>
    <w:p>
      <w:pPr>
        <w:ind w:firstLine="303"/>
        <w:spacing w:after="0" w:line="274" w:lineRule="auto"/>
        <w:tabs>
          <w:tab w:leader="none" w:pos="553"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Decision by Committee</w:t>
      </w:r>
      <w:r>
        <w:rPr>
          <w:rFonts w:ascii="Times New Roman" w:cs="Times New Roman" w:eastAsia="Times New Roman" w:hAnsi="Times New Roman"/>
          <w:sz w:val="17"/>
          <w:szCs w:val="17"/>
          <w:color w:val="auto"/>
        </w:rPr>
        <w:t>. A final decision, which shall be binding upon the Participant, shall be made by the Committee within 60 days of the filing by the Participant of his request for reconsideration.</w:t>
      </w:r>
    </w:p>
    <w:p>
      <w:pPr>
        <w:spacing w:after="0" w:line="158" w:lineRule="exact"/>
        <w:rPr>
          <w:rFonts w:ascii="Times New Roman" w:cs="Times New Roman" w:eastAsia="Times New Roman" w:hAnsi="Times New Roman"/>
          <w:sz w:val="17"/>
          <w:szCs w:val="17"/>
          <w:color w:val="auto"/>
        </w:rPr>
      </w:pPr>
    </w:p>
    <w:p>
      <w:pPr>
        <w:ind w:firstLine="303"/>
        <w:spacing w:after="0" w:line="274" w:lineRule="auto"/>
        <w:tabs>
          <w:tab w:leader="none" w:pos="531"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by Committee</w:t>
      </w:r>
      <w:r>
        <w:rPr>
          <w:rFonts w:ascii="Times New Roman" w:cs="Times New Roman" w:eastAsia="Times New Roman" w:hAnsi="Times New Roman"/>
          <w:sz w:val="17"/>
          <w:szCs w:val="17"/>
          <w:color w:val="auto"/>
        </w:rPr>
        <w:t>. The Committee’s decision shall be conveyed to the Participant in writing and shall include specific reasons for the decision, written in a manner calculated to be understood by the Participant, with specific references to the pertinent Plan provisions on which the decision is based.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1" w:name="page62"/>
    <w:bookmarkEnd w:id="61"/>
    <w:p>
      <w:pPr>
        <w:ind w:firstLine="303"/>
        <w:spacing w:after="0" w:line="274" w:lineRule="auto"/>
        <w:tabs>
          <w:tab w:leader="none" w:pos="512"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Arbitration</w:t>
      </w:r>
      <w:r>
        <w:rPr>
          <w:rFonts w:ascii="Times New Roman" w:cs="Times New Roman" w:eastAsia="Times New Roman" w:hAnsi="Times New Roman"/>
          <w:sz w:val="17"/>
          <w:szCs w:val="17"/>
          <w:color w:val="auto"/>
        </w:rPr>
        <w:t>. No Participant may avail himself of the arbitration provisions of Section XI(m), hereof, unless he or she complies with the foregoing provisions of this Article XVII.</w:t>
      </w:r>
    </w:p>
    <w:p>
      <w:pPr>
        <w:spacing w:after="0" w:line="158" w:lineRule="exact"/>
        <w:rPr>
          <w:rFonts w:ascii="Times New Roman" w:cs="Times New Roman" w:eastAsia="Times New Roman" w:hAnsi="Times New Roman"/>
          <w:sz w:val="17"/>
          <w:szCs w:val="17"/>
          <w:color w:val="auto"/>
        </w:rPr>
      </w:pPr>
    </w:p>
    <w:p>
      <w:pPr>
        <w:ind w:firstLine="303"/>
        <w:spacing w:after="0" w:line="274" w:lineRule="auto"/>
        <w:tabs>
          <w:tab w:leader="none" w:pos="553"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Plan Administrator</w:t>
      </w:r>
      <w:r>
        <w:rPr>
          <w:rFonts w:ascii="Times New Roman" w:cs="Times New Roman" w:eastAsia="Times New Roman" w:hAnsi="Times New Roman"/>
          <w:sz w:val="17"/>
          <w:szCs w:val="17"/>
          <w:color w:val="auto"/>
        </w:rPr>
        <w:t>. For purposes of application of this Article XVII, the Committee shall serve as the plan administrator of the Plan, as required by, and defined under, ERISA.</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XVIII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FOREIGN AWARDS AND RIGHTS</w:t>
      </w:r>
    </w:p>
    <w:p>
      <w:pPr>
        <w:spacing w:after="0" w:line="19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Notwithstanding any provision of the Plan to the contrary, in order to comply with the laws in countries and other jurisdictions in which the Company and its Subsidiaries have Eligible Individuals, the Committee, in its sole discretion, shall have the power and authority to (i) modify the terms and conditions of any Plan Award granted to Eligible Individuals to comply with Applicable Laws of jurisdictions where Eligible Individuals reside; (ii) establish sub-plans and determine the Exercise Price, exercise procedures and other terms and procedures and rules, to the extent such actions may be necessary or advisable, including adoption of rules, procedures or sub-plans applicable to particular Subsidiaries or Participants residing in particular locations; provided, however, that no such sub-plans and/or modifications shall increase the share limits contained in Section 2 or otherwise require stockholder approval; and (iii) take any action, before or after a Plan Award is made, that it deems advisable to obtain approval or comply with any necessary local governmental regulatory exemptions or approvals. Without limiting the generality of the foregoing, the Committee is specifically authorized to adopt rules, procedures and sub-plans with provisions that limit or modify rights on eligibility to receive a Plan Award under the Plan or on Termination of Service, available methods of exercise or settlement of a Plan Award, payment of Tax-Related Items, the shifting of employer tax liability to a Participant, the withholding procedures and handling of any Share certificates or other indicia of ownership which may vary with local requirements. The Committee may also adopt sub-plans to the Plan intended to allow the Company to grant tax-qualified Plan Awards in a particular jurisdiction and, as part of such sub-plan, may restrict the sale of Shares and/or modify the Change in Control and adjustments provisions of the Plan to the extent necessary to comply the tax requirements of the jurisdiction. Notwithstanding the foregoing, the Committee may not take any actions hereunder, and no Plan Awards shall be granted, that would violate the Securities Act, Exchange Act, the Code, or any securities law.</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furtherance of the foregoing, Appendix A of the Plan shall set forth the sub-plan for Participants who are taxpayers in the State of Israel as of the effective date of the Plan.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2020 OMNIBUS PERFORMANCE AWARD PLAN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SUB-PLAN — ISRAELI TAXPAYERS</w:t>
      </w:r>
    </w:p>
    <w:p>
      <w:pPr>
        <w:spacing w:after="0" w:line="208" w:lineRule="exact"/>
        <w:rPr>
          <w:sz w:val="20"/>
          <w:szCs w:val="20"/>
          <w:color w:val="auto"/>
        </w:rPr>
      </w:pPr>
    </w:p>
    <w:p>
      <w:pPr>
        <w:ind w:left="160" w:hanging="159"/>
        <w:spacing w:after="0"/>
        <w:tabs>
          <w:tab w:leader="none" w:pos="16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SPECIAL PROVISIONS FOR ISRAELI TAXPAYERS</w:t>
      </w:r>
    </w:p>
    <w:p>
      <w:pPr>
        <w:spacing w:after="0" w:line="208" w:lineRule="exact"/>
        <w:rPr>
          <w:sz w:val="20"/>
          <w:szCs w:val="20"/>
          <w:color w:val="auto"/>
        </w:rPr>
      </w:pPr>
    </w:p>
    <w:p>
      <w:pPr>
        <w:jc w:val="both"/>
        <w:ind w:firstLine="303"/>
        <w:spacing w:after="0" w:line="312" w:lineRule="auto"/>
        <w:rPr>
          <w:sz w:val="20"/>
          <w:szCs w:val="20"/>
          <w:color w:val="auto"/>
        </w:rPr>
      </w:pPr>
      <w:r>
        <w:rPr>
          <w:rFonts w:ascii="Times New Roman" w:cs="Times New Roman" w:eastAsia="Times New Roman" w:hAnsi="Times New Roman"/>
          <w:sz w:val="16"/>
          <w:szCs w:val="16"/>
          <w:color w:val="auto"/>
        </w:rPr>
        <w:t>1.1 This Sub-Plan for Israeli Taxpayers (the “</w:t>
      </w:r>
      <w:r>
        <w:rPr>
          <w:rFonts w:ascii="Times New Roman" w:cs="Times New Roman" w:eastAsia="Times New Roman" w:hAnsi="Times New Roman"/>
          <w:sz w:val="16"/>
          <w:szCs w:val="16"/>
          <w:b w:val="1"/>
          <w:bCs w:val="1"/>
          <w:color w:val="auto"/>
        </w:rPr>
        <w:t>Sub-Plan</w:t>
      </w:r>
      <w:r>
        <w:rPr>
          <w:rFonts w:ascii="Times New Roman" w:cs="Times New Roman" w:eastAsia="Times New Roman" w:hAnsi="Times New Roman"/>
          <w:sz w:val="16"/>
          <w:szCs w:val="16"/>
          <w:color w:val="auto"/>
        </w:rPr>
        <w:t>”) to the Microbot Medical Inc. 2020 Omnibus Performance Award Plan, as amended (the “</w:t>
      </w:r>
      <w:r>
        <w:rPr>
          <w:rFonts w:ascii="Times New Roman" w:cs="Times New Roman" w:eastAsia="Times New Roman" w:hAnsi="Times New Roman"/>
          <w:sz w:val="16"/>
          <w:szCs w:val="16"/>
          <w:b w:val="1"/>
          <w:bCs w:val="1"/>
          <w:color w:val="auto"/>
        </w:rPr>
        <w:t>Plan</w:t>
      </w:r>
      <w:r>
        <w:rPr>
          <w:rFonts w:ascii="Times New Roman" w:cs="Times New Roman" w:eastAsia="Times New Roman" w:hAnsi="Times New Roman"/>
          <w:sz w:val="16"/>
          <w:szCs w:val="16"/>
          <w:color w:val="auto"/>
        </w:rPr>
        <w:t>”) is made in accordance with Section II(d)(xvii) and Article XVIII of the Plan. This Sub-Plan was approved by the Committee on July 17, 2020, subject to stockholder approval.</w:t>
      </w:r>
    </w:p>
    <w:p>
      <w:pPr>
        <w:spacing w:after="0" w:line="131"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1.2 The provisions specified hereunder apply only to persons who are deemed to be residents of the State of Israel for tax purposes, or are otherwise subject to taxation in Israel with respect to Plan Awards.</w:t>
      </w:r>
    </w:p>
    <w:p>
      <w:pPr>
        <w:spacing w:after="0" w:line="159"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1.3 This Sub-Plan applies with respect to Plan Awards granted under the Plan. The purpose of this Sub-Plan is to establish certain rules and limitations applicable to Plan Awards that may be granted or issued under the Plan from time to time, in compliance with the tax, securities and other applicable laws currently in force in the State of Israel. Except as otherwise provided by this Sub-Plan, all grants made pursuant to this Sub-Plan shall be governed by the terms of the Plan. This Sub-Plan is applicable only to grants made after the date of its adoption. This Sub-Plan complies with, and is subject to the ITO and Section 102. An Option granted under this Sub-Plan will be deemed a Non-Qualified Stock Option for the purposes of U.S. taxation.</w:t>
      </w:r>
    </w:p>
    <w:p>
      <w:pPr>
        <w:spacing w:after="0" w:line="176"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1.4 The Plan and this Sub-Plan shall be read together. In any case of contradiction, whether explicit or implied, between the provisions of this Sub-Plan and the Plan, the provisions of this Sub-Plan shall govern.</w:t>
      </w:r>
    </w:p>
    <w:p>
      <w:pPr>
        <w:spacing w:after="0" w:line="155" w:lineRule="exact"/>
        <w:rPr>
          <w:sz w:val="20"/>
          <w:szCs w:val="20"/>
          <w:color w:val="auto"/>
        </w:rPr>
      </w:pPr>
    </w:p>
    <w:p>
      <w:pPr>
        <w:ind w:left="160" w:hanging="159"/>
        <w:spacing w:after="0"/>
        <w:tabs>
          <w:tab w:leader="none" w:pos="1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DEFINITIONS</w:t>
      </w:r>
    </w:p>
    <w:p>
      <w:pPr>
        <w:spacing w:after="0" w:line="212"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Capitalized terms not otherwise defined herein shall have the meaning assigned to them in the Plan. The following additional definitions will apply to grants made pursuant to this Sub-Plan:</w:t>
      </w:r>
    </w:p>
    <w:p>
      <w:pPr>
        <w:spacing w:after="0" w:line="155" w:lineRule="exact"/>
        <w:rPr>
          <w:sz w:val="20"/>
          <w:szCs w:val="20"/>
          <w:color w:val="auto"/>
        </w:rPr>
      </w:pPr>
    </w:p>
    <w:p>
      <w:pPr>
        <w:ind w:firstLine="303"/>
        <w:spacing w:after="0" w:line="27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3(i) Award</w:t>
      </w:r>
      <w:r>
        <w:rPr>
          <w:rFonts w:ascii="Times New Roman" w:cs="Times New Roman" w:eastAsia="Times New Roman" w:hAnsi="Times New Roman"/>
          <w:sz w:val="17"/>
          <w:szCs w:val="17"/>
          <w:color w:val="auto"/>
        </w:rPr>
        <w:t>” means a Plan Award, which is subject to taxation pursuant to Section 3(i) of the ITO, which has been granted to any person who is not an Eligible 102 Participant.</w:t>
      </w:r>
    </w:p>
    <w:p>
      <w:pPr>
        <w:spacing w:after="0" w:line="151" w:lineRule="exact"/>
        <w:rPr>
          <w:sz w:val="20"/>
          <w:szCs w:val="20"/>
          <w:color w:val="auto"/>
        </w:rPr>
      </w:pPr>
    </w:p>
    <w:p>
      <w:pPr>
        <w:jc w:val="both"/>
        <w:ind w:firstLine="303"/>
        <w:spacing w:after="0" w:line="27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102 Capital Gains Track</w:t>
      </w:r>
      <w:r>
        <w:rPr>
          <w:rFonts w:ascii="Times New Roman" w:cs="Times New Roman" w:eastAsia="Times New Roman" w:hAnsi="Times New Roman"/>
          <w:sz w:val="17"/>
          <w:szCs w:val="17"/>
          <w:color w:val="auto"/>
        </w:rPr>
        <w:t>” means the tax alternative set forth in Section 102(b)(2) of the ITO pursuant to which all or a part of the income resulting from the sale of Shares is taxable as a capital gain.</w:t>
      </w:r>
    </w:p>
    <w:p>
      <w:pPr>
        <w:spacing w:after="0" w:line="1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102 Capital Gains Track Grant</w:t>
      </w:r>
      <w:r>
        <w:rPr>
          <w:rFonts w:ascii="Times New Roman" w:cs="Times New Roman" w:eastAsia="Times New Roman" w:hAnsi="Times New Roman"/>
          <w:sz w:val="17"/>
          <w:szCs w:val="17"/>
          <w:color w:val="auto"/>
        </w:rPr>
        <w:t>” means a 102 Trustee Grant qualifying for the special tax treatment under the 102 Capital Gains Track.</w:t>
      </w:r>
    </w:p>
    <w:p>
      <w:pPr>
        <w:spacing w:after="0" w:line="208" w:lineRule="exact"/>
        <w:rPr>
          <w:sz w:val="20"/>
          <w:szCs w:val="20"/>
          <w:color w:val="auto"/>
        </w:rPr>
      </w:pPr>
    </w:p>
    <w:p>
      <w:pPr>
        <w:jc w:val="both"/>
        <w:ind w:firstLine="303"/>
        <w:spacing w:after="0" w:line="27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102 Ordinary Income Track</w:t>
      </w:r>
      <w:r>
        <w:rPr>
          <w:rFonts w:ascii="Times New Roman" w:cs="Times New Roman" w:eastAsia="Times New Roman" w:hAnsi="Times New Roman"/>
          <w:sz w:val="17"/>
          <w:szCs w:val="17"/>
          <w:color w:val="auto"/>
        </w:rPr>
        <w:t>” means the tax alternative set forth in Section 102(b)(1) of the ITO pursuant to which income resulting from the sale of Shares derived from Plan Awards is taxed as ordinary income.</w:t>
      </w:r>
    </w:p>
    <w:p>
      <w:pPr>
        <w:spacing w:after="0" w:line="1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102 Ordinary Income Track Grant</w:t>
      </w:r>
      <w:r>
        <w:rPr>
          <w:rFonts w:ascii="Times New Roman" w:cs="Times New Roman" w:eastAsia="Times New Roman" w:hAnsi="Times New Roman"/>
          <w:sz w:val="17"/>
          <w:szCs w:val="17"/>
          <w:color w:val="auto"/>
        </w:rPr>
        <w:t>” means a 102 Trustee Grant qualifying for the ordinary income tax treatment under the 102 Ordinary Income Track.</w:t>
      </w:r>
    </w:p>
    <w:p>
      <w:pPr>
        <w:spacing w:after="0" w:line="208" w:lineRule="exact"/>
        <w:rPr>
          <w:sz w:val="20"/>
          <w:szCs w:val="20"/>
          <w:color w:val="auto"/>
        </w:rPr>
      </w:pPr>
    </w:p>
    <w:p>
      <w:pPr>
        <w:jc w:val="both"/>
        <w:ind w:firstLine="303"/>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102 Trustee Grant</w:t>
      </w:r>
      <w:r>
        <w:rPr>
          <w:rFonts w:ascii="Times New Roman" w:cs="Times New Roman" w:eastAsia="Times New Roman" w:hAnsi="Times New Roman"/>
          <w:sz w:val="17"/>
          <w:szCs w:val="17"/>
          <w:color w:val="auto"/>
        </w:rPr>
        <w:t>” means a Plan Award of an Option, Performance Share, Performance Unit, share of Restricted Stock or Restricted Stock Unit, granted pursuant to Section 102(b) of the ITO and held in trust by a Trustee for the benefit of the Eligible 102 Participant, and includes both 102 Capital Gains Track Grants and 102 Ordinary Income Track Grants.</w:t>
      </w:r>
    </w:p>
    <w:p>
      <w:pPr>
        <w:spacing w:after="0" w:line="164" w:lineRule="exact"/>
        <w:rPr>
          <w:sz w:val="20"/>
          <w:szCs w:val="20"/>
          <w:color w:val="auto"/>
        </w:rPr>
      </w:pPr>
    </w:p>
    <w:p>
      <w:pPr>
        <w:jc w:val="both"/>
        <w:ind w:firstLine="303"/>
        <w:spacing w:after="0" w:line="27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for the purpose of grants made under this Sub-Plan, means any Affiliate, as defined in the Plan, that is an “employing company” within the meaning of Section 102(a) of the ITO.</w:t>
      </w:r>
    </w:p>
    <w:p>
      <w:pPr>
        <w:spacing w:after="0" w:line="151" w:lineRule="exact"/>
        <w:rPr>
          <w:sz w:val="20"/>
          <w:szCs w:val="20"/>
          <w:color w:val="auto"/>
        </w:rPr>
      </w:pPr>
    </w:p>
    <w:p>
      <w:pPr>
        <w:jc w:val="both"/>
        <w:ind w:firstLine="303"/>
        <w:spacing w:after="0" w:line="25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Controlling Shareholder</w:t>
      </w:r>
      <w:r>
        <w:rPr>
          <w:rFonts w:ascii="Times New Roman" w:cs="Times New Roman" w:eastAsia="Times New Roman" w:hAnsi="Times New Roman"/>
          <w:sz w:val="17"/>
          <w:szCs w:val="17"/>
          <w:color w:val="auto"/>
        </w:rPr>
        <w:t>” as defined in Section 32(9) of the ITO, currently defined as an individual who prior to the grant or as a result of the grant or exercise of any Plan Award, holds or would hold, directly or indirectly, in his name or with a relative (as defined in the ITO) (i) 10% of the outstanding share capital of the Company or 10% of the voting power of the Company, (ii) the right to hold or purchase 10% of the outstanding equity or voting power, (iii) the right to obtain 10% of the “profit” of the Company (as defined in the ITO), or (iv) the right to appoint a director of the Company.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3" w:name="page64"/>
    <w:bookmarkEnd w:id="63"/>
    <w:p>
      <w:pPr>
        <w:jc w:val="both"/>
        <w:ind w:firstLine="303"/>
        <w:spacing w:after="0" w:line="25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Deposit Requirements</w:t>
      </w:r>
      <w:r>
        <w:rPr>
          <w:rFonts w:ascii="Times New Roman" w:cs="Times New Roman" w:eastAsia="Times New Roman" w:hAnsi="Times New Roman"/>
          <w:sz w:val="17"/>
          <w:szCs w:val="17"/>
          <w:color w:val="auto"/>
        </w:rPr>
        <w:t>” shall mean with respect a 102 Trustee Grant, the requirement to evidence deposit of a Plan Award with the Trustee, in accordance with Section 102, in order to qualify as a 102 Trustee Grant. As of the time of approval of this Sub-Plan, the ITA guidelines regarding Deposit Requirements for 102 Capital Gains Track Grants require that the Trustee be provided with (a) the resolutions approving Plan Awards intended to qualify as 102 Capital Gains Track Grants within 45 days of the date of Committee’s approval of such Plan Award, including full details of the terms of the Plan Awards, and (b) a copy of the Award Agreement executed by the Eligible 102 Participant and/or Eligible 102 Participant’s consent to the requirements of the 102 Capital Gains Track Grant within 90 days of the Committee’s approval of such Plan Award, and (c) with respect to Plan Awards of Restricted Stock, either a share certificate and copy of the Company’s share register evidencing issuance of the Shares underlying such Plan Award in the name of the Trustee for the benefit of the Eligible 102 Participant, or deposit of the Shares with a financial institution in an account administered in the name of the Trustee, as applicable, in each case, within 90 days of the date of the Committee’s approval of such Plan Award.</w:t>
      </w:r>
    </w:p>
    <w:p>
      <w:pPr>
        <w:spacing w:after="0" w:line="177" w:lineRule="exact"/>
        <w:rPr>
          <w:sz w:val="20"/>
          <w:szCs w:val="20"/>
          <w:color w:val="auto"/>
        </w:rPr>
      </w:pPr>
    </w:p>
    <w:p>
      <w:pPr>
        <w:jc w:val="both"/>
        <w:ind w:firstLine="303"/>
        <w:spacing w:after="0" w:line="27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Election</w:t>
      </w:r>
      <w:r>
        <w:rPr>
          <w:rFonts w:ascii="Times New Roman" w:cs="Times New Roman" w:eastAsia="Times New Roman" w:hAnsi="Times New Roman"/>
          <w:sz w:val="17"/>
          <w:szCs w:val="17"/>
          <w:color w:val="auto"/>
        </w:rPr>
        <w:t>” means the Company’s choice of the type of 102 Trustee Grants it will make under the Plan (as between capital gains track or ordinary income track), as filed with the ITA.</w:t>
      </w:r>
    </w:p>
    <w:p>
      <w:pPr>
        <w:spacing w:after="0" w:line="151" w:lineRule="exact"/>
        <w:rPr>
          <w:sz w:val="20"/>
          <w:szCs w:val="20"/>
          <w:color w:val="auto"/>
        </w:rPr>
      </w:pPr>
    </w:p>
    <w:p>
      <w:pPr>
        <w:jc w:val="both"/>
        <w:ind w:firstLine="303"/>
        <w:spacing w:after="0" w:line="27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Eligible 102 Participant</w:t>
      </w:r>
      <w:r>
        <w:rPr>
          <w:rFonts w:ascii="Times New Roman" w:cs="Times New Roman" w:eastAsia="Times New Roman" w:hAnsi="Times New Roman"/>
          <w:sz w:val="17"/>
          <w:szCs w:val="17"/>
          <w:color w:val="auto"/>
        </w:rPr>
        <w:t>” means a Participant who is a person employed by the Company or its Affiliates, including an individual who is serving as an office holder (as defined in the ITO), who is not a Controlling Shareholder.</w:t>
      </w:r>
    </w:p>
    <w:p>
      <w:pPr>
        <w:spacing w:after="0" w:line="151" w:lineRule="exact"/>
        <w:rPr>
          <w:sz w:val="20"/>
          <w:szCs w:val="20"/>
          <w:color w:val="auto"/>
        </w:rPr>
      </w:pPr>
    </w:p>
    <w:p>
      <w:pPr>
        <w:jc w:val="both"/>
        <w:ind w:firstLine="303"/>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Israeli Fair Market Value</w:t>
      </w:r>
      <w:r>
        <w:rPr>
          <w:rFonts w:ascii="Times New Roman" w:cs="Times New Roman" w:eastAsia="Times New Roman" w:hAnsi="Times New Roman"/>
          <w:sz w:val="17"/>
          <w:szCs w:val="17"/>
          <w:color w:val="auto"/>
        </w:rPr>
        <w:t>” shall mean with respect to 102 Capital Gains Track Grants only, for the sole purpose of determining tax liability pursuant to Section 102(b)(3) of the ITO, if at the date of grant the Company’s shares are listed on any established stock exchange or a national market system or if the Company’s shares will be registered for trading within ninety (90) days following the date of grant, the fair market value of the Shares at the date of grant shall be determined in accordance with the average value of the Company’s shares on the thirty (30) trading days preceding the date of grant or on the thirty (30) trading days following the date of registration for trading, as the case may be.</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ITA</w:t>
      </w:r>
      <w:r>
        <w:rPr>
          <w:rFonts w:ascii="Times New Roman" w:cs="Times New Roman" w:eastAsia="Times New Roman" w:hAnsi="Times New Roman"/>
          <w:sz w:val="17"/>
          <w:szCs w:val="17"/>
          <w:color w:val="auto"/>
        </w:rPr>
        <w:t>” means the Israeli Tax Authority.</w:t>
      </w:r>
    </w:p>
    <w:p>
      <w:pPr>
        <w:spacing w:after="0" w:line="208" w:lineRule="exact"/>
        <w:rPr>
          <w:sz w:val="20"/>
          <w:szCs w:val="20"/>
          <w:color w:val="auto"/>
        </w:rPr>
      </w:pPr>
    </w:p>
    <w:p>
      <w:pPr>
        <w:jc w:val="both"/>
        <w:ind w:firstLine="303"/>
        <w:spacing w:after="0" w:line="27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ITO</w:t>
      </w:r>
      <w:r>
        <w:rPr>
          <w:rFonts w:ascii="Times New Roman" w:cs="Times New Roman" w:eastAsia="Times New Roman" w:hAnsi="Times New Roman"/>
          <w:sz w:val="17"/>
          <w:szCs w:val="17"/>
          <w:color w:val="auto"/>
        </w:rPr>
        <w:t>” means the Israeli Income Tax Ordinance (New Version), 1961, and the rules, regulations, orders or procedures promulgated thereunder and any amendments thereto, including specifically the Rules, all as may be amended from time to time.</w:t>
      </w:r>
    </w:p>
    <w:p>
      <w:pPr>
        <w:spacing w:after="0" w:line="1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Non-Trustee Grant</w:t>
      </w:r>
      <w:r>
        <w:rPr>
          <w:rFonts w:ascii="Times New Roman" w:cs="Times New Roman" w:eastAsia="Times New Roman" w:hAnsi="Times New Roman"/>
          <w:sz w:val="17"/>
          <w:szCs w:val="17"/>
          <w:color w:val="auto"/>
        </w:rPr>
        <w:t>” means a Plan Award granted to an Eligible 102 Participant pursuant to Section 102(c) of the ITO and not held in trust by a Trustee.</w:t>
      </w:r>
    </w:p>
    <w:p>
      <w:pPr>
        <w:spacing w:after="0" w:line="208" w:lineRule="exact"/>
        <w:rPr>
          <w:sz w:val="20"/>
          <w:szCs w:val="20"/>
          <w:color w:val="auto"/>
        </w:rPr>
      </w:pPr>
    </w:p>
    <w:p>
      <w:pPr>
        <w:jc w:val="both"/>
        <w:ind w:firstLine="303"/>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Required Holding Period</w:t>
      </w:r>
      <w:r>
        <w:rPr>
          <w:rFonts w:ascii="Times New Roman" w:cs="Times New Roman" w:eastAsia="Times New Roman" w:hAnsi="Times New Roman"/>
          <w:sz w:val="17"/>
          <w:szCs w:val="17"/>
          <w:color w:val="auto"/>
        </w:rPr>
        <w:t>” means the requisite period prescribed by the ITO and the Rules, or such other period as may be required by the ITA, with respect to 102 Trustee Grants, during which Plan Awards granted by the Company must be held by the Trustee for the benefit of the person to whom it was granted. As of the date of the adoption of this Sub-Plan, the Required Holding Period for 102 Capital Gains Track Grants is 24 months from the date of grant of the Plan Award.</w:t>
      </w:r>
    </w:p>
    <w:p>
      <w:pPr>
        <w:spacing w:after="0" w:line="1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Rules</w:t>
      </w:r>
      <w:r>
        <w:rPr>
          <w:rFonts w:ascii="Times New Roman" w:cs="Times New Roman" w:eastAsia="Times New Roman" w:hAnsi="Times New Roman"/>
          <w:sz w:val="17"/>
          <w:szCs w:val="17"/>
          <w:color w:val="auto"/>
        </w:rPr>
        <w:t>” means the Income Tax Rules (Tax Benefits in Share Issuance to Employees), 2003.</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Section 102</w:t>
      </w:r>
      <w:r>
        <w:rPr>
          <w:rFonts w:ascii="Times New Roman" w:cs="Times New Roman" w:eastAsia="Times New Roman" w:hAnsi="Times New Roman"/>
          <w:sz w:val="17"/>
          <w:szCs w:val="17"/>
          <w:color w:val="auto"/>
        </w:rPr>
        <w:t>” shall mean the provisions of Section 102 of the ITO, as amended from time to time.</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shall mean shares of Common Stock, as defined in the Plan.</w:t>
      </w:r>
    </w:p>
    <w:p>
      <w:pPr>
        <w:spacing w:after="0" w:line="208" w:lineRule="exact"/>
        <w:rPr>
          <w:sz w:val="20"/>
          <w:szCs w:val="20"/>
          <w:color w:val="auto"/>
        </w:rPr>
      </w:pPr>
    </w:p>
    <w:p>
      <w:pPr>
        <w:jc w:val="both"/>
        <w:ind w:firstLine="303"/>
        <w:spacing w:after="0" w:line="27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 means a person or entity designated by the Committee to serve as a trustee for the purposes of this Sub-Plan and approved by the ITA in accordance with the provisions of Section 102(a) of the ITO.</w:t>
      </w:r>
    </w:p>
    <w:p>
      <w:pPr>
        <w:spacing w:after="0" w:line="151" w:lineRule="exact"/>
        <w:rPr>
          <w:sz w:val="20"/>
          <w:szCs w:val="20"/>
          <w:color w:val="auto"/>
        </w:rPr>
      </w:pPr>
    </w:p>
    <w:p>
      <w:pPr>
        <w:ind w:left="160" w:hanging="159"/>
        <w:spacing w:after="0"/>
        <w:tabs>
          <w:tab w:leader="none" w:pos="1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TYPES OF PLAN AWARDS AND SECTION 102 ELECTION</w:t>
      </w:r>
    </w:p>
    <w:p>
      <w:pPr>
        <w:spacing w:after="0" w:line="212"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3.1 Plan Awards made as 102 Trustee Grants shall be made pursuant to either (a) Section 102(b)(2) of the ITO as 102 Capital Gains Track Grants or (b) Section 102(b)(1) of the ITO as 102 Ordinary Income Track Grants. The Company’s Election regarding the type of 102 Trustee Grant it chooses to make shall be filed with the ITA. Once the Company (or its Affiliate) has filed such Election, it may change the type of 102 Trustee Grant that it chooses to make only after the passage of at least 12 months from the end of the calendar year in which the first grant was made in accordance with the previous Election, in accordance with Section 102. For the avoidance of doubt, such Election shall not prevent the Company from granting Non-Trustee Grants to Eligible 102 Participants at any time.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4" w:name="page65"/>
    <w:bookmarkEnd w:id="64"/>
    <w:p>
      <w:pPr>
        <w:ind w:firstLine="303"/>
        <w:spacing w:after="0" w:line="274" w:lineRule="auto"/>
        <w:rPr>
          <w:sz w:val="20"/>
          <w:szCs w:val="20"/>
          <w:color w:val="auto"/>
        </w:rPr>
      </w:pPr>
      <w:r>
        <w:rPr>
          <w:rFonts w:ascii="Times New Roman" w:cs="Times New Roman" w:eastAsia="Times New Roman" w:hAnsi="Times New Roman"/>
          <w:sz w:val="17"/>
          <w:szCs w:val="17"/>
          <w:color w:val="auto"/>
        </w:rPr>
        <w:t>3.2 Eligible 102 Participants may receive only 102 Trustee Grants or Non-Trustee Grants under this Sub-Plan. Participants who are not Eligible 102 Participants may be granted only 3(i) Awards under this Sub-Plan.</w:t>
      </w:r>
    </w:p>
    <w:p>
      <w:pPr>
        <w:spacing w:after="0" w:line="159" w:lineRule="exact"/>
        <w:rPr>
          <w:sz w:val="20"/>
          <w:szCs w:val="20"/>
          <w:color w:val="auto"/>
        </w:rPr>
      </w:pPr>
    </w:p>
    <w:p>
      <w:pPr>
        <w:ind w:firstLine="303"/>
        <w:spacing w:after="0" w:line="274" w:lineRule="auto"/>
        <w:rPr>
          <w:sz w:val="20"/>
          <w:szCs w:val="20"/>
          <w:color w:val="auto"/>
        </w:rPr>
      </w:pPr>
      <w:r>
        <w:rPr>
          <w:rFonts w:ascii="Times New Roman" w:cs="Times New Roman" w:eastAsia="Times New Roman" w:hAnsi="Times New Roman"/>
          <w:sz w:val="17"/>
          <w:szCs w:val="17"/>
          <w:color w:val="auto"/>
        </w:rPr>
        <w:t>3.3 No 102 Trustee Grants may be made effective pursuant to this Sub-Plan until 30 days after the date the requisite filings required by the ITO and the Rules, including the filing of the Plan and Sub-Plan, have been made with the ITA.</w:t>
      </w:r>
    </w:p>
    <w:p>
      <w:pPr>
        <w:spacing w:after="0" w:line="159" w:lineRule="exact"/>
        <w:rPr>
          <w:sz w:val="20"/>
          <w:szCs w:val="20"/>
          <w:color w:val="auto"/>
        </w:rPr>
      </w:pPr>
    </w:p>
    <w:p>
      <w:pPr>
        <w:ind w:firstLine="303"/>
        <w:spacing w:after="0" w:line="274" w:lineRule="auto"/>
        <w:rPr>
          <w:sz w:val="20"/>
          <w:szCs w:val="20"/>
          <w:color w:val="auto"/>
        </w:rPr>
      </w:pPr>
      <w:r>
        <w:rPr>
          <w:rFonts w:ascii="Times New Roman" w:cs="Times New Roman" w:eastAsia="Times New Roman" w:hAnsi="Times New Roman"/>
          <w:sz w:val="17"/>
          <w:szCs w:val="17"/>
          <w:color w:val="auto"/>
        </w:rPr>
        <w:t>3.4 The Award Agreement shall indicate whether the grant is a 102 Trustee Grant, a Non-Trustee Grant or a 3(i) Award; and, if the grant is a 102 Trustee Grant, whether it is a 102 Capital Gains Track Grant or a 102 Ordinary Income Track Grant.</w:t>
      </w:r>
    </w:p>
    <w:p>
      <w:pPr>
        <w:spacing w:after="0" w:line="155" w:lineRule="exact"/>
        <w:rPr>
          <w:sz w:val="20"/>
          <w:szCs w:val="20"/>
          <w:color w:val="auto"/>
        </w:rPr>
      </w:pPr>
    </w:p>
    <w:p>
      <w:pPr>
        <w:ind w:left="160" w:hanging="159"/>
        <w:spacing w:after="0"/>
        <w:tabs>
          <w:tab w:leader="none" w:pos="16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TERMS AND CONDITIONS OF 102 TRUSTEE GRANTS</w:t>
      </w:r>
    </w:p>
    <w:p>
      <w:pPr>
        <w:spacing w:after="0" w:line="21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4.1 Unless determined otherwise by the Committee, each 102 Trustee Grant will be deemed granted on the date approved by the Committee and stated in a written or electronic notice by the Company, provided that the Company and the Trustee have complied with any applicable requirements set forth by the ITA with regard to such grants.</w:t>
      </w:r>
    </w:p>
    <w:p>
      <w:pPr>
        <w:spacing w:after="0" w:line="169"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4.2 Each 102 Trustee Grant granted to an Eligible 102 Participant and each certificate for Shares acquired pursuant to a 102 Trustee Grant shall be deposited with a Trustee in compliance with the Deposit Requirements and held in trust by the Trustee (or be subject to a supervisory trustee arrangement if approved by the ITA). After termination of the Required Holding Period, upon request of the Participant, the Trustee may release such Plan Awards and any Shares issued with respect to such Plan Award, provided that (i) the Trustee has received an acknowledgment from the ITA that the Eligible 102 Participant has paid any applicable tax due pursuant to the ITO or (ii) the Trustee and/or the Company or its Affiliate withholds any applicable tax due pursuant to the ITO. The Trustee shall not release any 102 Trustee Grants or shares issued with respect to the 102 Trustee Grants prior to the full payment of the Eligible 102 Participant’s tax liabilities.</w:t>
      </w:r>
    </w:p>
    <w:p>
      <w:pPr>
        <w:spacing w:after="0" w:line="176"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color w:val="auto"/>
        </w:rPr>
        <w:t>4.3 Each 102 Trustee Grant shall be subject to the relevant terms of Section 102 and the ITO, which shall be deemed an integral part of the 102 Trustee Grant and shall prevail over any term contained in the Plan, this Sub-Plan or Award Agreement that is not consistent therewith. Any provision of the ITO and any approvals of the ITA not expressly specified in this Sub-Plan or any document evidencing a Plan Award that are necessary to receive or maintain any tax benefit pursuant to the Section 102 shall be binding on the Eligible 102 Participant. The Trustee and the Eligible 102 Participant granted a 102 Trustee Grant shall comply with the ITO, and the terms and conditions of the Trust Agreement entered into between the Company and the Trustee. For avoidance of doubt, it is reiterated that compliance with the ITO specifically includes compliance with the Rules. Further, the Eligible 102 Participant agrees to execute any and all documents which the Company or the Trustee may reasonably determine to be necessary in order to comply with the provision of any applicable law, and, particularly, Section 102. With respect to 102 Capital Gain Track Grants, to the extent that the Shares are listed on any established stock exchange or a national market system, the provisions of Section 102(b)(3) of the ITO will apply with respect to the Israeli tax rate applicable to such Plan Awards.</w:t>
      </w:r>
    </w:p>
    <w:p>
      <w:pPr>
        <w:spacing w:after="0" w:line="177" w:lineRule="exact"/>
        <w:rPr>
          <w:sz w:val="20"/>
          <w:szCs w:val="20"/>
          <w:color w:val="auto"/>
        </w:rPr>
      </w:pPr>
    </w:p>
    <w:p>
      <w:pPr>
        <w:jc w:val="both"/>
        <w:ind w:firstLine="303"/>
        <w:spacing w:after="0" w:line="250" w:lineRule="auto"/>
        <w:rPr>
          <w:sz w:val="20"/>
          <w:szCs w:val="20"/>
          <w:color w:val="auto"/>
        </w:rPr>
      </w:pPr>
      <w:r>
        <w:rPr>
          <w:rFonts w:ascii="Times New Roman" w:cs="Times New Roman" w:eastAsia="Times New Roman" w:hAnsi="Times New Roman"/>
          <w:sz w:val="17"/>
          <w:szCs w:val="17"/>
          <w:color w:val="auto"/>
        </w:rPr>
        <w:t>4.4 During the Required Holding Period, the Eligible 102 Participant shall not require the Trustee to release or sell the Plan Awards and Shares received subsequently following any realization of rights derived from Plan Awards or Shares (including stock dividends) to the Eligible 102 Participant or to a third party, unless permitted to do so by applicable law. Notwithstanding the foregoing, the Trustee may, pursuant to a written request and subject to applicable law, release and transfer such Shares to a designated third party, provided that both of the following conditions have been fulfilled prior to such transfer: (i) all taxes required to be paid upon the release and transfer of the shares have been withheld for transfer to the tax authorities and (ii) the Trustee has received written confirmation from the Company that all requirements for such release and transfer have been fulfilled according to the terms of the Company’s corporate documents, the Plan, any applicable Award Agreement and applicable law. To avoid doubt, such sale or release during the Required Holding Period will result in different tax ramifications to the Eligible 102 Participant under Section 102 of the ITO and the Rules and/or any other regulations or orders or procedures promulgated thereunder, which shall apply to and shall be borne solely by such Eligible 102 Participant (including tax and mandatory payments otherwise payable by the Company or its Affiliates, which would not apply absent a sale or release during the Required Holding Period).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65" w:name="page66"/>
    <w:bookmarkEnd w:id="65"/>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4.5 In the event a stock dividend is declared and/or additional rights are granted with respect to Shares which derive from Plan Awards granted as 102 Trustee Grants, such dividend and/or rights shall also be subject to the provisions of this Section 4 and the Required Holding Period for such dividend shares and/or rights shall be measured from the commencement of the Required Holding Period for the Plan Award with respect to which the dividend was declared and/or rights granted. In the event of a cash dividend on Shares, the Trustee shall transfer the dividend proceeds to the Eligible 102 Participant in accordance with the Plan after deduction of taxes and mandatory payments in compliance with applicable withholding requirements, and subject to any other requirements imposed by the ITA.</w:t>
      </w:r>
    </w:p>
    <w:p>
      <w:pPr>
        <w:spacing w:after="0" w:line="176"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4.6 If a Plan Award granted as a 102 Trustee Grant is exercised during the Required Holding Period, the Shares issued upon such exercise shall be issued in the name of the Trustee for the benefit of the Eligible 102 Participant (or be subject to a supervisory trustee arrangement if approved by the ITA). If such a Plan Award is exercised or settled after the Required Holding Period ends, the Shares issued upon such exercise or settlement shall, at the election of the Eligible 102 Participant, either (i) be issued in the name of the Trustee (or be subject to a supervisory trustee arrangement if approved by the ITA), or (ii) be transferred to the Eligible 102 Participant directly, provided that the Eligible 102 Participant first complies with all applicable provisions of the Plan and this Sub-Plan.</w:t>
      </w:r>
    </w:p>
    <w:p>
      <w:pPr>
        <w:spacing w:after="0" w:line="176" w:lineRule="exact"/>
        <w:rPr>
          <w:sz w:val="20"/>
          <w:szCs w:val="20"/>
          <w:color w:val="auto"/>
        </w:rPr>
      </w:pPr>
    </w:p>
    <w:p>
      <w:pPr>
        <w:jc w:val="both"/>
        <w:ind w:firstLine="303"/>
        <w:spacing w:after="0" w:line="249" w:lineRule="auto"/>
        <w:rPr>
          <w:sz w:val="20"/>
          <w:szCs w:val="20"/>
          <w:color w:val="auto"/>
        </w:rPr>
      </w:pPr>
      <w:r>
        <w:rPr>
          <w:rFonts w:ascii="Times New Roman" w:cs="Times New Roman" w:eastAsia="Times New Roman" w:hAnsi="Times New Roman"/>
          <w:sz w:val="17"/>
          <w:szCs w:val="17"/>
          <w:color w:val="auto"/>
        </w:rPr>
        <w:t>4.7 To avoid doubt: (i) notwithstanding anything to the contrary in the Plan, payment upon exercise or purchase of Plan Awards granted as a 102 Trustee Grant, may only be paid by cash or check, and not by surrender or withholding of Shares, or by reduction of shares pursuant to a cashless exercise, net exercise or similar arrangement, or other forms of payment, unless and to the extent permitted under Section 102 or as expressly authorized by the ITA; (ii) notwithstanding anything to the contrary in the Plan, certain adjustments and amendments to the terms of Plan Awards granted under the 102 Capital Gains Track, including an exchange program, recapitalization events, dividend and so forth, may disqualify the Options from benefitting from the tax benefits under the 102 Capital Gains Track, unless the prior approval of the ITA is obtained; (iii) notwithstanding anything to the contrary in the Plan, repurchase rights with regard to Plan Awards made as 102 Capital Gains Track Grants shall be subject to compliance with Section 102 requirements and/or the express approval of the ITA; (iv) Stock Appreciation Rights may not be granted under the 102 Capital Gains Track unless and to the extent expressly authorized by the ITA; (v) grants of Restricted Stock Units under the 102 Capital Gains Track may require the prior approval of the ITA; (vi) notwithstanding anything to the contrary in the Plan, amounts equivalent to dividends, distributions or interest may not be settled in shares with respect to Plan Awards granted under 102 Capital Gains Track Awards without the prior approval of the ITA; (vii) Performance Shares may require the approval of the ITA in order to qualify under the 102 Capital Gains Track; (viii) notwithstanding anything to the contrary in the Plan, Plan Awards granted under the 102 Capital Gains Track may only be settled in Shares and not in cash, and Cash Incentives will not qualify under the 102 Capital Gains Track and (ix) notwithstanding anything to the contrary in the Plan, the continuance or substitution of 102 Capital Gains Track Grants upon the merger or consolidation of the Corporation shall be subject to compliance with Section 102 requirements and/or the express approval of the ITA.</w:t>
      </w:r>
    </w:p>
    <w:p>
      <w:pPr>
        <w:spacing w:after="0" w:line="183" w:lineRule="exact"/>
        <w:rPr>
          <w:sz w:val="20"/>
          <w:szCs w:val="20"/>
          <w:color w:val="auto"/>
        </w:rPr>
      </w:pPr>
    </w:p>
    <w:p>
      <w:pPr>
        <w:ind w:left="160" w:hanging="159"/>
        <w:spacing w:after="0"/>
        <w:tabs>
          <w:tab w:leader="none" w:pos="16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ASSIGNABILITY</w:t>
      </w:r>
    </w:p>
    <w:p>
      <w:pPr>
        <w:spacing w:after="0" w:line="212" w:lineRule="exact"/>
        <w:rPr>
          <w:sz w:val="20"/>
          <w:szCs w:val="20"/>
          <w:color w:val="auto"/>
        </w:rPr>
      </w:pPr>
    </w:p>
    <w:p>
      <w:pPr>
        <w:ind w:firstLine="303"/>
        <w:spacing w:after="0" w:line="274" w:lineRule="auto"/>
        <w:rPr>
          <w:sz w:val="20"/>
          <w:szCs w:val="20"/>
          <w:color w:val="auto"/>
        </w:rPr>
      </w:pPr>
      <w:r>
        <w:rPr>
          <w:rFonts w:ascii="Times New Roman" w:cs="Times New Roman" w:eastAsia="Times New Roman" w:hAnsi="Times New Roman"/>
          <w:sz w:val="17"/>
          <w:szCs w:val="17"/>
          <w:color w:val="auto"/>
        </w:rPr>
        <w:t>As long as Plan Awards or Shares are held by the Trustee on behalf of the Eligible 102 Participant, all rights of the Eligible 102 Participant over the Shares are personal, cannot be transferred, assigned, pledged or mortgaged, other than by will or laws of descent and distribution.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66" w:name="page67"/>
    <w:bookmarkEnd w:id="66"/>
    <w:p>
      <w:pPr>
        <w:ind w:left="160" w:hanging="159"/>
        <w:spacing w:after="0"/>
        <w:tabs>
          <w:tab w:leader="none" w:pos="16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TAX CONSEQUENCES</w:t>
      </w:r>
    </w:p>
    <w:p>
      <w:pPr>
        <w:spacing w:after="0" w:line="212" w:lineRule="exact"/>
        <w:rPr>
          <w:sz w:val="20"/>
          <w:szCs w:val="20"/>
          <w:color w:val="auto"/>
        </w:rPr>
      </w:pPr>
    </w:p>
    <w:p>
      <w:pPr>
        <w:jc w:val="both"/>
        <w:ind w:firstLine="303"/>
        <w:spacing w:after="0" w:line="266" w:lineRule="auto"/>
        <w:rPr>
          <w:sz w:val="20"/>
          <w:szCs w:val="20"/>
          <w:color w:val="auto"/>
        </w:rPr>
      </w:pPr>
      <w:r>
        <w:rPr>
          <w:rFonts w:ascii="Times New Roman" w:cs="Times New Roman" w:eastAsia="Times New Roman" w:hAnsi="Times New Roman"/>
          <w:sz w:val="16"/>
          <w:szCs w:val="16"/>
          <w:color w:val="auto"/>
        </w:rPr>
        <w:t>6.1 Any tax consequences arising from the grant or settlement of any Plan Award, the exercise of any Option, the issuance, sale or transfer and payment for the Shares covered thereby, or from any other event or act (of the Company and/or its Affiliates and/or the Trustee and/or the Participant) relating to a Plan Award or Shares issued thereupon shall be borne solely by the Participant. The Company and/or its Affiliates, and/or the Trustee shall withhold taxes according to the requirements under the applicable laws, rules, and regulations, including withholding taxes at source. Furthermore, the Participant shall agree to indemnify the Company and/or its Affiliates and/or the Trustee and hold them harmless against and from any and all liability for any such tax or interest or penalty thereon, including without limitation, liabilities relating to the necessity to withhold, or to have withheld, any such tax from any payment made to the Participant. The Company or any of its Affiliates, and the Trustee may make such provisions and take such steps as it/they may deem necessary or appropriate for the withholding of all taxes required by law to be withheld with respect to a Plan Award granted under the Plan and the exercise, sale, transfer or other disposition thereof, including, but not limited, to (i) deducting the amount so required to be withheld from any other amount then or thereafter payable to a Participant, including by deducting any such amount from a Participant’s salary or other amounts payable to the Participant, to the maximum extent permitted under law; and/or (ii) requiring a Participant to pay to the Company or any of its Affiliates the amount so required to be withheld; and/or (iii) withholding otherwise deliverable Shares having a Fair Market Value equal to the minimum amount statutorily required to be withheld; and/or (iv) selling a sufficient number of such Shares otherwise deliverable to a Participant through such means as the Company may determine in its sole discretion (whether through a broker or otherwise) equal to the amount required to be withheld either through a voluntary sale or through a mandatory sale arranged by the Company (on the Participant’s behalf pursuant to the Participant’s authorization as expressed by acceptance of the Plan Award under the terms herein), to the extent permitted by applicable law or pursuant to the approval of the ITA. In addition, the Participant will be required to pay any amount (including penalties) that exceeds the tax to be withheld and transferred to the tax authorities, pursuant to applicable tax laws, regulations and rules.</w:t>
      </w:r>
    </w:p>
    <w:p>
      <w:pPr>
        <w:spacing w:after="0" w:line="167"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6.2 The Company does not represent or undertake that a Plan Award will qualify for or comply with the requisites of any particular tax treatment (such as the 102 Capital Gains Track), nor shall the Company, its assignees or successors be required to take any action for the qualification of any Plan Award under such tax treatment. The Company shall have no liability of any kind or nature in the event that, as a result of application of applicable law, actions by the Trustee or any position or interpretation of the ITA, or for any other reason whatsoever, a Plan Award shall be deemed to not qualify for any particular tax treatment.</w:t>
      </w:r>
    </w:p>
    <w:p>
      <w:pPr>
        <w:spacing w:after="0" w:line="175"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6.3 With respect to Non-Trustee Grants, if the Eligible 102 Participant ceases to be employed by the Company or any Affiliate, the Eligible 102 Participant shall extend to the Company and/or its Affiliate a security or guarantee for the payment of tax due at the time of sale of Shares to the satisfaction of the Company, all in accordance with the provisions of Section 102 of the ITO and the Rules.</w:t>
      </w:r>
    </w:p>
    <w:p>
      <w:pPr>
        <w:spacing w:after="0" w:line="165" w:lineRule="exact"/>
        <w:rPr>
          <w:sz w:val="20"/>
          <w:szCs w:val="20"/>
          <w:color w:val="auto"/>
        </w:rPr>
      </w:pPr>
    </w:p>
    <w:p>
      <w:pPr>
        <w:ind w:left="160" w:hanging="159"/>
        <w:spacing w:after="0"/>
        <w:tabs>
          <w:tab w:leader="none" w:pos="1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SECURITIES LAWS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All Plan Awards hereunder shall be subject to compliance with the Israeli Securities Law, 1968, and the rules and regulations promulgated thereunder.</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7" w:name="page68"/>
    <w:bookmarkEnd w:id="6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217170</wp:posOffset>
            </wp:positionV>
            <wp:extent cx="7200265" cy="9567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0265" cy="9567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200265" cy="9567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0265" cy="95675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1."/>
      <w:numFmt w:val="decimal"/>
      <w:start w:val="1"/>
    </w:lvl>
  </w:abstractNum>
  <w:abstractNum w:abstractNumId="4">
    <w:nsid w:val="51EAD36B"/>
    <w:multiLevelType w:val="hybridMultilevel"/>
    <w:lvl w:ilvl="0">
      <w:lvlJc w:val="left"/>
      <w:lvlText w:val="%1."/>
      <w:numFmt w:val="lowerRoman"/>
      <w:start w:val="1"/>
    </w:lvl>
  </w:abstractNum>
  <w:abstractNum w:abstractNumId="5">
    <w:nsid w:val="2D517796"/>
    <w:multiLevelType w:val="hybridMultilevel"/>
    <w:lvl w:ilvl="0">
      <w:lvlJc w:val="left"/>
      <w:lvlText w:val="(%1)"/>
      <w:numFmt w:val="lowerRoman"/>
      <w:start w:val="2"/>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1)"/>
      <w:numFmt w:val="decimal"/>
      <w:start w:val="1"/>
    </w:lvl>
  </w:abstractNum>
  <w:abstractNum w:abstractNumId="8">
    <w:nsid w:val="3855585C"/>
    <w:multiLevelType w:val="hybridMultilevel"/>
    <w:lvl w:ilvl="0">
      <w:lvlJc w:val="left"/>
      <w:lvlText w:val="(%1)"/>
      <w:numFmt w:val="decimal"/>
      <w:start w:val="1"/>
    </w:lvl>
  </w:abstractNum>
  <w:abstractNum w:abstractNumId="9">
    <w:nsid w:val="70A64E2A"/>
    <w:multiLevelType w:val="hybridMultilevel"/>
    <w:lvl w:ilvl="0">
      <w:lvlJc w:val="left"/>
      <w:lvlText w:val="(%1)"/>
      <w:numFmt w:val="decimal"/>
      <w:start w:val="1"/>
    </w:lvl>
  </w:abstractNum>
  <w:abstractNum w:abstractNumId="10">
    <w:nsid w:val="6A2342EC"/>
    <w:multiLevelType w:val="hybridMultilevel"/>
    <w:lvl w:ilvl="0">
      <w:lvlJc w:val="left"/>
      <w:lvlText w:val="(%1)"/>
      <w:numFmt w:val="decimal"/>
      <w:start w:val="1"/>
    </w:lvl>
  </w:abstractNum>
  <w:abstractNum w:abstractNumId="11">
    <w:nsid w:val="2A487CB0"/>
    <w:multiLevelType w:val="hybridMultilevel"/>
    <w:lvl w:ilvl="0">
      <w:lvlJc w:val="left"/>
      <w:lvlText w:val="(%1)"/>
      <w:numFmt w:val="decimal"/>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1)"/>
      <w:numFmt w:val="decimal"/>
      <w:start w:val="1"/>
    </w:lvl>
  </w:abstractNum>
  <w:abstractNum w:abstractNumId="14">
    <w:nsid w:val="2CD89A32"/>
    <w:multiLevelType w:val="hybridMultilevel"/>
    <w:lvl w:ilvl="0">
      <w:lvlJc w:val="left"/>
      <w:lvlText w:val="(%1)"/>
      <w:numFmt w:val="lowerLetter"/>
      <w:start w:val="1"/>
    </w:lvl>
  </w:abstractNum>
  <w:abstractNum w:abstractNumId="15">
    <w:nsid w:val="57E4CCAF"/>
    <w:multiLevelType w:val="hybridMultilevel"/>
    <w:lvl w:ilvl="0">
      <w:lvlJc w:val="left"/>
      <w:lvlText w:val="(%1)"/>
      <w:numFmt w:val="lowerLetter"/>
      <w:start w:val="6"/>
    </w:lvl>
    <w:lvl w:ilvl="1">
      <w:lvlJc w:val="left"/>
      <w:lvlText w:val="(%2)"/>
      <w:numFmt w:val="lowerRoman"/>
      <w:start w:val="1"/>
    </w:lvl>
  </w:abstractNum>
  <w:abstractNum w:abstractNumId="16">
    <w:nsid w:val="7A6D8D3C"/>
    <w:multiLevelType w:val="hybridMultilevel"/>
    <w:lvl w:ilvl="0">
      <w:lvlJc w:val="left"/>
      <w:lvlText w:val="(%1)"/>
      <w:numFmt w:val="lowerLetter"/>
      <w:start w:val="8"/>
    </w:lvl>
  </w:abstractNum>
  <w:abstractNum w:abstractNumId="17">
    <w:nsid w:val="4B588F54"/>
    <w:multiLevelType w:val="hybridMultilevel"/>
    <w:lvl w:ilvl="0">
      <w:lvlJc w:val="left"/>
      <w:lvlText w:val="(%1)"/>
      <w:numFmt w:val="lowerLetter"/>
      <w:start w:val="10"/>
    </w:lvl>
    <w:lvl w:ilvl="1">
      <w:lvlJc w:val="left"/>
      <w:lvlText w:val="(%2)"/>
      <w:numFmt w:val="lowerRoman"/>
      <w:start w:val="1"/>
    </w:lvl>
  </w:abstractNum>
  <w:abstractNum w:abstractNumId="18">
    <w:nsid w:val="542289EC"/>
    <w:multiLevelType w:val="hybridMultilevel"/>
    <w:lvl w:ilvl="0">
      <w:lvlJc w:val="left"/>
      <w:lvlText w:val="(%1)"/>
      <w:numFmt w:val="lowerLetter"/>
      <w:start w:val="21"/>
    </w:lvl>
  </w:abstractNum>
  <w:abstractNum w:abstractNumId="19">
    <w:nsid w:val="6DE91B18"/>
    <w:multiLevelType w:val="hybridMultilevel"/>
    <w:lvl w:ilvl="0">
      <w:lvlJc w:val="left"/>
      <w:lvlText w:val="(%1)"/>
      <w:numFmt w:val="lowerLetter"/>
      <w:start w:val="27"/>
    </w:lvl>
  </w:abstractNum>
  <w:abstractNum w:abstractNumId="20">
    <w:nsid w:val="38437FDB"/>
    <w:multiLevelType w:val="hybridMultilevel"/>
    <w:lvl w:ilvl="0">
      <w:lvlJc w:val="left"/>
      <w:lvlText w:val="(%1)"/>
      <w:numFmt w:val="lowerLetter"/>
      <w:start w:val="36"/>
    </w:lvl>
  </w:abstractNum>
  <w:abstractNum w:abstractNumId="21">
    <w:nsid w:val="7644A45C"/>
    <w:multiLevelType w:val="hybridMultilevel"/>
    <w:lvl w:ilvl="0">
      <w:lvlJc w:val="left"/>
      <w:lvlText w:val="(%1)"/>
      <w:numFmt w:val="lowerLetter"/>
      <w:start w:val="1"/>
    </w:lvl>
  </w:abstractNum>
  <w:abstractNum w:abstractNumId="22">
    <w:nsid w:val="32FFF902"/>
    <w:multiLevelType w:val="hybridMultilevel"/>
    <w:lvl w:ilvl="0">
      <w:lvlJc w:val="left"/>
      <w:lvlText w:val="(%1)"/>
      <w:numFmt w:val="lowerLetter"/>
      <w:start w:val="2"/>
    </w:lvl>
    <w:lvl w:ilvl="1">
      <w:lvlJc w:val="left"/>
      <w:lvlText w:val="(%2)"/>
      <w:numFmt w:val="lowerRoman"/>
      <w:start w:val="1"/>
    </w:lvl>
  </w:abstractNum>
  <w:abstractNum w:abstractNumId="23">
    <w:nsid w:val="684A481A"/>
    <w:multiLevelType w:val="hybridMultilevel"/>
    <w:lvl w:ilvl="0">
      <w:lvlJc w:val="left"/>
      <w:lvlText w:val="(%1)"/>
      <w:numFmt w:val="lowerRoman"/>
      <w:start w:val="13"/>
    </w:lvl>
  </w:abstractNum>
  <w:abstractNum w:abstractNumId="24">
    <w:nsid w:val="579478FE"/>
    <w:multiLevelType w:val="hybridMultilevel"/>
    <w:lvl w:ilvl="0">
      <w:lvlJc w:val="left"/>
      <w:lvlText w:val="%1"/>
      <w:numFmt w:val="lowerLetter"/>
      <w:start w:val="1"/>
    </w:lvl>
    <w:lvl w:ilvl="1">
      <w:lvlJc w:val="left"/>
      <w:lvlText w:val="(%2)"/>
      <w:numFmt w:val="lowerRoman"/>
      <w:start w:val="16"/>
    </w:lvl>
  </w:abstractNum>
  <w:abstractNum w:abstractNumId="25">
    <w:nsid w:val="749ABB43"/>
    <w:multiLevelType w:val="hybridMultilevel"/>
    <w:lvl w:ilvl="0">
      <w:lvlJc w:val="left"/>
      <w:lvlText w:val="(%1)"/>
      <w:numFmt w:val="lowerLetter"/>
      <w:start w:val="5"/>
    </w:lvl>
    <w:lvl w:ilvl="1">
      <w:lvlJc w:val="left"/>
      <w:lvlText w:val="%2"/>
      <w:numFmt w:val="lowerRoman"/>
      <w:start w:val="1"/>
    </w:lvl>
  </w:abstractNum>
  <w:abstractNum w:abstractNumId="26">
    <w:nsid w:val="3DC240FB"/>
    <w:multiLevelType w:val="hybridMultilevel"/>
    <w:lvl w:ilvl="0">
      <w:lvlJc w:val="left"/>
      <w:lvlText w:val="(%1)"/>
      <w:numFmt w:val="lowerLetter"/>
      <w:start w:val="1"/>
    </w:lvl>
  </w:abstractNum>
  <w:abstractNum w:abstractNumId="27">
    <w:nsid w:val="1BA026FA"/>
    <w:multiLevelType w:val="hybridMultilevel"/>
    <w:lvl w:ilvl="0">
      <w:lvlJc w:val="left"/>
      <w:lvlText w:val="(%1)"/>
      <w:numFmt w:val="lowerLetter"/>
      <w:start w:val="1"/>
    </w:lvl>
  </w:abstractNum>
  <w:abstractNum w:abstractNumId="28">
    <w:nsid w:val="79A1DEAA"/>
    <w:multiLevelType w:val="hybridMultilevel"/>
    <w:lvl w:ilvl="0">
      <w:lvlJc w:val="left"/>
      <w:lvlText w:val="(%1)"/>
      <w:numFmt w:val="lowerLetter"/>
      <w:start w:val="3"/>
    </w:lvl>
  </w:abstractNum>
  <w:abstractNum w:abstractNumId="29">
    <w:nsid w:val="75C6C33A"/>
    <w:multiLevelType w:val="hybridMultilevel"/>
    <w:lvl w:ilvl="0">
      <w:lvlJc w:val="left"/>
      <w:lvlText w:val="(%1)"/>
      <w:numFmt w:val="lowerLetter"/>
      <w:start w:val="1"/>
    </w:lvl>
  </w:abstractNum>
  <w:abstractNum w:abstractNumId="30">
    <w:nsid w:val="12E685F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31">
    <w:nsid w:val="70C6A529"/>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2">
    <w:nsid w:val="520EEDD1"/>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33">
    <w:nsid w:val="374A3FE6"/>
    <w:multiLevelType w:val="hybridMultilevel"/>
    <w:lvl w:ilvl="0">
      <w:lvlJc w:val="left"/>
      <w:lvlText w:val="(%1)"/>
      <w:numFmt w:val="lowerLetter"/>
      <w:start w:val="7"/>
    </w:lvl>
  </w:abstractNum>
  <w:abstractNum w:abstractNumId="34">
    <w:nsid w:val="4F4EF005"/>
    <w:multiLevelType w:val="hybridMultilevel"/>
    <w:lvl w:ilvl="0">
      <w:lvlJc w:val="left"/>
      <w:lvlText w:val="(%1)"/>
      <w:numFmt w:val="lowerLetter"/>
      <w:start w:val="1"/>
    </w:lvl>
    <w:lvl w:ilvl="1">
      <w:lvlJc w:val="left"/>
      <w:lvlText w:val="(%2)"/>
      <w:numFmt w:val="lowerLetter"/>
      <w:start w:val="9"/>
    </w:lvl>
  </w:abstractNum>
  <w:abstractNum w:abstractNumId="35">
    <w:nsid w:val="23F9C13C"/>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abstractNum w:abstractNumId="36">
    <w:nsid w:val="649BB77C"/>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37">
    <w:nsid w:val="275AC794"/>
    <w:multiLevelType w:val="hybridMultilevel"/>
    <w:lvl w:ilvl="0">
      <w:lvlJc w:val="left"/>
      <w:lvlText w:val="(%1)"/>
      <w:numFmt w:val="lowerLetter"/>
      <w:start w:val="3"/>
    </w:lvl>
  </w:abstractNum>
  <w:abstractNum w:abstractNumId="38">
    <w:nsid w:val="39386575"/>
    <w:multiLevelType w:val="hybridMultilevel"/>
    <w:lvl w:ilvl="0">
      <w:lvlJc w:val="left"/>
      <w:lvlText w:val="(%1)"/>
      <w:numFmt w:val="lowerLetter"/>
      <w:start w:val="1"/>
    </w:lvl>
  </w:abstractNum>
  <w:abstractNum w:abstractNumId="39">
    <w:nsid w:val="1CF10FD8"/>
    <w:multiLevelType w:val="hybridMultilevel"/>
    <w:lvl w:ilvl="0">
      <w:lvlJc w:val="left"/>
      <w:lvlText w:val="(%1)"/>
      <w:numFmt w:val="lowerLetter"/>
      <w:start w:val="4"/>
    </w:lvl>
  </w:abstractNum>
  <w:abstractNum w:abstractNumId="40">
    <w:nsid w:val="180115BE"/>
    <w:multiLevelType w:val="hybridMultilevel"/>
    <w:lvl w:ilvl="0">
      <w:lvlJc w:val="left"/>
      <w:lvlText w:val="(%1)"/>
      <w:numFmt w:val="lowerLetter"/>
      <w:start w:val="1"/>
    </w:lvl>
  </w:abstractNum>
  <w:abstractNum w:abstractNumId="41">
    <w:nsid w:val="235BA861"/>
    <w:multiLevelType w:val="hybridMultilevel"/>
    <w:lvl w:ilvl="0">
      <w:lvlJc w:val="left"/>
      <w:lvlText w:val="(%1)"/>
      <w:numFmt w:val="lowerLetter"/>
      <w:start w:val="4"/>
    </w:lvl>
  </w:abstractNum>
  <w:abstractNum w:abstractNumId="42">
    <w:nsid w:val="47398C89"/>
    <w:multiLevelType w:val="hybridMultilevel"/>
    <w:lvl w:ilvl="0">
      <w:lvlJc w:val="left"/>
      <w:lvlText w:val="(%1)"/>
      <w:numFmt w:val="lowerLetter"/>
      <w:start w:val="1"/>
    </w:lvl>
  </w:abstractNum>
  <w:abstractNum w:abstractNumId="43">
    <w:nsid w:val="354FE9F9"/>
    <w:multiLevelType w:val="hybridMultilevel"/>
    <w:lvl w:ilvl="0">
      <w:lvlJc w:val="left"/>
      <w:lvlText w:val="(%1)"/>
      <w:numFmt w:val="lowerLetter"/>
      <w:start w:val="4"/>
    </w:lvl>
  </w:abstractNum>
  <w:abstractNum w:abstractNumId="44">
    <w:nsid w:val="15B5AF5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45">
    <w:nsid w:val="741226BB"/>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lvl w:ilvl="3">
      <w:lvlJc w:val="left"/>
      <w:lvlText w:val="(%4)"/>
      <w:numFmt w:val="decimal"/>
      <w:start w:val="1"/>
    </w:lvl>
  </w:abstractNum>
  <w:abstractNum w:abstractNumId="46">
    <w:nsid w:val="D34B6A8"/>
    <w:multiLevelType w:val="hybridMultilevel"/>
    <w:lvl w:ilvl="0">
      <w:lvlJc w:val="left"/>
      <w:lvlText w:val="%1"/>
      <w:numFmt w:val="lowerRoman"/>
      <w:start w:val="1"/>
    </w:lvl>
    <w:lvl w:ilvl="1">
      <w:lvlJc w:val="left"/>
      <w:lvlText w:val="(%2)"/>
      <w:numFmt w:val="decimal"/>
      <w:start w:val="2"/>
    </w:lvl>
  </w:abstractNum>
  <w:abstractNum w:abstractNumId="47">
    <w:nsid w:val="10233C99"/>
    <w:multiLevelType w:val="hybridMultilevel"/>
    <w:lvl w:ilvl="0">
      <w:lvlJc w:val="left"/>
      <w:lvlText w:val="(%1)"/>
      <w:numFmt w:val="lowerRoman"/>
      <w:start w:val="2"/>
    </w:lvl>
    <w:lvl w:ilvl="1">
      <w:lvlJc w:val="left"/>
      <w:lvlText w:val="%2"/>
      <w:numFmt w:val="decimal"/>
      <w:start w:val="1"/>
    </w:lvl>
  </w:abstractNum>
  <w:abstractNum w:abstractNumId="48">
    <w:nsid w:val="3F6AB60F"/>
    <w:multiLevelType w:val="hybridMultilevel"/>
    <w:lvl w:ilvl="0">
      <w:lvlJc w:val="left"/>
      <w:lvlText w:val="(%1)"/>
      <w:numFmt w:val="lowerLetter"/>
      <w:start w:val="3"/>
    </w:lvl>
  </w:abstractNum>
  <w:abstractNum w:abstractNumId="49">
    <w:nsid w:val="61574095"/>
    <w:multiLevelType w:val="hybridMultilevel"/>
    <w:lvl w:ilvl="0">
      <w:lvlJc w:val="left"/>
      <w:lvlText w:val="(%1)"/>
      <w:numFmt w:val="lowerLetter"/>
      <w:start w:val="1"/>
    </w:lvl>
  </w:abstractNum>
  <w:abstractNum w:abstractNumId="50">
    <w:nsid w:val="7E0C57B1"/>
    <w:multiLevelType w:val="hybridMultilevel"/>
    <w:lvl w:ilvl="0">
      <w:lvlJc w:val="left"/>
      <w:lvlText w:val="(%1)"/>
      <w:numFmt w:val="lowerLetter"/>
      <w:start w:val="7"/>
    </w:lvl>
    <w:lvl w:ilvl="1">
      <w:lvlJc w:val="left"/>
      <w:lvlText w:val="(%2)"/>
      <w:numFmt w:val="lowerRoman"/>
      <w:start w:val="1"/>
    </w:lvl>
  </w:abstractNum>
  <w:abstractNum w:abstractNumId="51">
    <w:nsid w:val="77AE35EB"/>
    <w:multiLevelType w:val="hybridMultilevel"/>
    <w:lvl w:ilvl="0">
      <w:lvlJc w:val="left"/>
      <w:lvlText w:val="%1"/>
      <w:numFmt w:val="lowerLetter"/>
      <w:start w:val="1"/>
    </w:lvl>
    <w:lvl w:ilvl="1">
      <w:lvlJc w:val="left"/>
      <w:lvlText w:val="(%2)"/>
      <w:numFmt w:val="lowerLetter"/>
      <w:start w:val="35"/>
    </w:lvl>
  </w:abstractNum>
  <w:abstractNum w:abstractNumId="52">
    <w:nsid w:val="579BE4F1"/>
    <w:multiLevelType w:val="hybridMultilevel"/>
    <w:lvl w:ilvl="0">
      <w:lvlJc w:val="left"/>
      <w:lvlText w:val="(%1)"/>
      <w:numFmt w:val="lowerLetter"/>
      <w:start w:val="14"/>
    </w:lvl>
    <w:lvl w:ilvl="1">
      <w:lvlJc w:val="left"/>
      <w:lvlText w:val="(%2)"/>
      <w:numFmt w:val="lowerLetter"/>
      <w:start w:val="9"/>
    </w:lvl>
  </w:abstractNum>
  <w:abstractNum w:abstractNumId="53">
    <w:nsid w:val="310C50B3"/>
    <w:multiLevelType w:val="hybridMultilevel"/>
    <w:lvl w:ilvl="0">
      <w:lvlJc w:val="left"/>
      <w:lvlText w:val="(%1)"/>
      <w:numFmt w:val="lowerRoman"/>
      <w:start w:val="2"/>
    </w:lvl>
    <w:lvl w:ilvl="1">
      <w:lvlJc w:val="left"/>
      <w:lvlText w:val="(%2)"/>
      <w:numFmt w:val="lowerLetter"/>
      <w:start w:val="1"/>
    </w:lvl>
  </w:abstractNum>
  <w:abstractNum w:abstractNumId="54">
    <w:nsid w:val="5FF87E05"/>
    <w:multiLevelType w:val="hybridMultilevel"/>
    <w:lvl w:ilvl="0">
      <w:lvlJc w:val="left"/>
      <w:lvlText w:val="(%1)"/>
      <w:numFmt w:val="lowerRoman"/>
      <w:start w:val="5"/>
    </w:lvl>
  </w:abstractNum>
  <w:abstractNum w:abstractNumId="55">
    <w:nsid w:val="2F305DEF"/>
    <w:multiLevelType w:val="hybridMultilevel"/>
    <w:lvl w:ilvl="0">
      <w:lvlJc w:val="left"/>
      <w:lvlText w:val="(%1)"/>
      <w:numFmt w:val="lowerRoman"/>
      <w:start w:val="7"/>
    </w:lvl>
  </w:abstractNum>
  <w:abstractNum w:abstractNumId="56">
    <w:nsid w:val="25A70BF7"/>
    <w:multiLevelType w:val="hybridMultilevel"/>
    <w:lvl w:ilvl="0">
      <w:lvlJc w:val="left"/>
      <w:lvlText w:val="%1"/>
      <w:numFmt w:val="lowerLetter"/>
      <w:start w:val="1"/>
    </w:lvl>
    <w:lvl w:ilvl="1">
      <w:lvlJc w:val="left"/>
      <w:lvlText w:val="(%2)"/>
      <w:numFmt w:val="lowerLetter"/>
      <w:start w:val="18"/>
    </w:lvl>
  </w:abstractNum>
  <w:abstractNum w:abstractNumId="57">
    <w:nsid w:val="1DBABF00"/>
    <w:multiLevelType w:val="hybridMultilevel"/>
    <w:lvl w:ilvl="0">
      <w:lvlJc w:val="left"/>
      <w:lvlText w:val="(%1)"/>
      <w:numFmt w:val="lowerLetter"/>
      <w:start w:val="35"/>
    </w:lvl>
    <w:lvl w:ilvl="1">
      <w:lvlJc w:val="left"/>
      <w:lvlText w:val="%2"/>
      <w:numFmt w:val="lowerLetter"/>
      <w:start w:val="1"/>
    </w:lvl>
  </w:abstractNum>
  <w:abstractNum w:abstractNumId="58">
    <w:nsid w:val="4AD084E9"/>
    <w:multiLevelType w:val="hybridMultilevel"/>
    <w:lvl w:ilvl="0">
      <w:lvlJc w:val="left"/>
      <w:lvlText w:val="(%1)"/>
      <w:numFmt w:val="lowerLetter"/>
      <w:start w:val="20"/>
    </w:lvl>
    <w:lvl w:ilvl="1">
      <w:lvlJc w:val="left"/>
      <w:lvlText w:val="(%2)"/>
      <w:numFmt w:val="lowerRoman"/>
      <w:start w:val="1"/>
    </w:lvl>
  </w:abstractNum>
  <w:abstractNum w:abstractNumId="59">
    <w:nsid w:val="1F48EAA1"/>
    <w:multiLevelType w:val="hybridMultilevel"/>
    <w:lvl w:ilvl="0">
      <w:lvlJc w:val="left"/>
      <w:lvlText w:val="%1"/>
      <w:numFmt w:val="lowerLetter"/>
      <w:start w:val="1"/>
    </w:lvl>
    <w:lvl w:ilvl="1">
      <w:lvlJc w:val="left"/>
      <w:lvlText w:val="(%2)"/>
      <w:numFmt w:val="lowerRoman"/>
      <w:start w:val="6"/>
    </w:lvl>
  </w:abstractNum>
  <w:abstractNum w:abstractNumId="60">
    <w:nsid w:val="1381823A"/>
    <w:multiLevelType w:val="hybridMultilevel"/>
    <w:lvl w:ilvl="0">
      <w:lvlJc w:val="left"/>
      <w:lvlText w:val="(%1)"/>
      <w:numFmt w:val="lowerLetter"/>
      <w:start w:val="23"/>
    </w:lvl>
    <w:lvl w:ilvl="1">
      <w:lvlJc w:val="left"/>
      <w:lvlText w:val="%2"/>
      <w:numFmt w:val="lowerRoman"/>
      <w:start w:val="1"/>
    </w:lvl>
  </w:abstractNum>
  <w:abstractNum w:abstractNumId="61">
    <w:nsid w:val="5DB70AE5"/>
    <w:multiLevelType w:val="hybridMultilevel"/>
    <w:lvl w:ilvl="0">
      <w:lvlJc w:val="left"/>
      <w:lvlText w:val="(%1)"/>
      <w:numFmt w:val="lowerLetter"/>
      <w:start w:val="27"/>
    </w:lvl>
  </w:abstractNum>
  <w:abstractNum w:abstractNumId="62">
    <w:nsid w:val="100F8FCA"/>
    <w:multiLevelType w:val="hybridMultilevel"/>
    <w:lvl w:ilvl="0">
      <w:lvlJc w:val="left"/>
      <w:lvlText w:val="(%1)"/>
      <w:numFmt w:val="lowerLetter"/>
      <w:start w:val="1"/>
    </w:lvl>
    <w:lvl w:ilvl="1">
      <w:lvlJc w:val="left"/>
      <w:lvlText w:val="(%2)"/>
      <w:numFmt w:val="lowerRoman"/>
      <w:start w:val="1"/>
    </w:lvl>
  </w:abstractNum>
  <w:abstractNum w:abstractNumId="63">
    <w:nsid w:val="6590700B"/>
    <w:multiLevelType w:val="hybridMultilevel"/>
    <w:lvl w:ilvl="0">
      <w:lvlJc w:val="left"/>
      <w:lvlText w:val="(%1)"/>
      <w:numFmt w:val="lowerLetter"/>
      <w:start w:val="1"/>
    </w:lvl>
  </w:abstractNum>
  <w:abstractNum w:abstractNumId="64">
    <w:nsid w:val="15014ACB"/>
    <w:multiLevelType w:val="hybridMultilevel"/>
    <w:lvl w:ilvl="0">
      <w:lvlJc w:val="left"/>
      <w:lvlText w:val="(%1)"/>
      <w:numFmt w:val="lowerLetter"/>
      <w:start w:val="1"/>
    </w:lvl>
  </w:abstractNum>
  <w:abstractNum w:abstractNumId="65">
    <w:nsid w:val="5F5E7FD0"/>
    <w:multiLevelType w:val="hybridMultilevel"/>
    <w:lvl w:ilvl="0">
      <w:lvlJc w:val="left"/>
      <w:lvlText w:val="(%1)"/>
      <w:numFmt w:val="lowerLetter"/>
      <w:start w:val="1"/>
    </w:lvl>
    <w:lvl w:ilvl="1">
      <w:lvlJc w:val="left"/>
      <w:lvlText w:val="(%2)"/>
      <w:numFmt w:val="lowerRoman"/>
      <w:start w:val="1"/>
    </w:lvl>
  </w:abstractNum>
  <w:abstractNum w:abstractNumId="66">
    <w:nsid w:val="98A3148"/>
    <w:multiLevelType w:val="hybridMultilevel"/>
    <w:lvl w:ilvl="0">
      <w:lvlJc w:val="left"/>
      <w:lvlText w:val="(%1)"/>
      <w:numFmt w:val="lowerLetter"/>
      <w:start w:val="6"/>
    </w:lvl>
  </w:abstractNum>
  <w:abstractNum w:abstractNumId="67">
    <w:nsid w:val="799D0247"/>
    <w:multiLevelType w:val="hybridMultilevel"/>
    <w:lvl w:ilvl="0">
      <w:lvlJc w:val="left"/>
      <w:lvlText w:val="%1."/>
      <w:numFmt w:val="decimal"/>
      <w:start w:val="1"/>
    </w:lvl>
  </w:abstractNum>
  <w:abstractNum w:abstractNumId="68">
    <w:nsid w:val="6B94764"/>
    <w:multiLevelType w:val="hybridMultilevel"/>
    <w:lvl w:ilvl="0">
      <w:lvlJc w:val="left"/>
      <w:lvlText w:val="%1."/>
      <w:numFmt w:val="decimal"/>
      <w:start w:val="2"/>
    </w:lvl>
  </w:abstractNum>
  <w:abstractNum w:abstractNumId="69">
    <w:nsid w:val="42C296BD"/>
    <w:multiLevelType w:val="hybridMultilevel"/>
    <w:lvl w:ilvl="0">
      <w:lvlJc w:val="left"/>
      <w:lvlText w:val="%1."/>
      <w:numFmt w:val="decimal"/>
      <w:start w:val="3"/>
    </w:lvl>
  </w:abstractNum>
  <w:abstractNum w:abstractNumId="70">
    <w:nsid w:val="168E121F"/>
    <w:multiLevelType w:val="hybridMultilevel"/>
    <w:lvl w:ilvl="0">
      <w:lvlJc w:val="left"/>
      <w:lvlText w:val="%1."/>
      <w:numFmt w:val="decimal"/>
      <w:start w:val="4"/>
    </w:lvl>
  </w:abstractNum>
  <w:abstractNum w:abstractNumId="71">
    <w:nsid w:val="1EBA5D23"/>
    <w:multiLevelType w:val="hybridMultilevel"/>
    <w:lvl w:ilvl="0">
      <w:lvlJc w:val="left"/>
      <w:lvlText w:val="%1."/>
      <w:numFmt w:val="decimal"/>
      <w:start w:val="5"/>
    </w:lvl>
  </w:abstractNum>
  <w:abstractNum w:abstractNumId="72">
    <w:nsid w:val="661E3F1E"/>
    <w:multiLevelType w:val="hybridMultilevel"/>
    <w:lvl w:ilvl="0">
      <w:lvlJc w:val="left"/>
      <w:lvlText w:val="%1."/>
      <w:numFmt w:val="decimal"/>
      <w:start w:val="6"/>
    </w:lvl>
  </w:abstractNum>
  <w:abstractNum w:abstractNumId="73">
    <w:nsid w:val="5DC79EA8"/>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2024-11-06T08:07:07Z</dcterms:created>
  <dcterms:modified xsi:type="dcterms:W3CDTF">2024-11-06T08:07:07Z</dcterms:modified>
</cp:coreProperties>
</file>