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UNITED STATES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4"/>
          <w:szCs w:val="14"/>
          <w:color w:val="auto"/>
        </w:rPr>
        <w:t>QUARTERLY REPORT UNDER SECTION 13 OR 15(d) OF</w:t>
      </w:r>
    </w:p>
    <w:p>
      <w:pPr>
        <w:spacing w:after="0" w:line="1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SECURITIES EXCHANGE ACT OF 1934</w:t>
      </w:r>
    </w:p>
    <w:p>
      <w:pPr>
        <w:sectPr>
          <w:pgSz w:w="11900" w:h="16838" w:orient="portrait"/>
          <w:cols w:equalWidth="0" w:num="1">
            <w:col w:w="10219"/>
          </w:cols>
          <w:pgMar w:left="240" w:top="231" w:right="1440" w:bottom="1440" w:gutter="0" w:footer="0" w:header="0"/>
        </w:sectPr>
      </w:pPr>
    </w:p>
    <w:p>
      <w:pPr>
        <w:spacing w:after="0" w:line="3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30, 1997</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0-19871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16" w:lineRule="exact"/>
        <w:rPr>
          <w:sz w:val="24"/>
          <w:szCs w:val="24"/>
          <w:color w:val="auto"/>
        </w:rPr>
      </w:pPr>
    </w:p>
    <w:p>
      <w:pPr>
        <w:sectPr>
          <w:pgSz w:w="11900" w:h="16838" w:orient="portrait"/>
          <w:cols w:equalWidth="0" w:num="2">
            <w:col w:w="4680" w:space="720"/>
            <w:col w:w="4819"/>
          </w:cols>
          <w:pgMar w:left="240" w:top="231" w:right="1440" w:bottom="1440" w:gutter="0" w:footer="0" w:header="0"/>
          <w:type w:val="continuous"/>
        </w:sectPr>
      </w:pPr>
    </w:p>
    <w:p>
      <w:pPr>
        <w:spacing w:after="0" w:line="155"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6"/>
          <w:szCs w:val="16"/>
          <w:color w:val="auto"/>
        </w:rPr>
        <w:t>CYTOTHERAPEUTICS, INC.</w:t>
      </w:r>
    </w:p>
    <w:p>
      <w:pPr>
        <w:spacing w:after="0" w:line="4" w:lineRule="exact"/>
        <w:rPr>
          <w:sz w:val="24"/>
          <w:szCs w:val="24"/>
          <w:color w:val="auto"/>
        </w:rPr>
      </w:pPr>
    </w:p>
    <w:p>
      <w:pPr>
        <w:jc w:val="center"/>
        <w:ind w:right="27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1" w:right="1440" w:bottom="1440" w:gutter="0" w:footer="0" w:header="0"/>
          <w:type w:val="continuous"/>
        </w:sectPr>
      </w:pPr>
    </w:p>
    <w:p>
      <w:pPr>
        <w:spacing w:after="0" w:line="372"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DELAWARE</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94-3078125</w:t>
      </w:r>
    </w:p>
    <w:p>
      <w:pPr>
        <w:ind w:left="2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760" w:space="720"/>
            <w:col w:w="4739"/>
          </w:cols>
          <w:pgMar w:left="240" w:top="231" w:right="1440" w:bottom="1440" w:gutter="0" w:footer="0" w:header="0"/>
          <w:type w:val="continuous"/>
        </w:sectPr>
      </w:pPr>
    </w:p>
    <w:p>
      <w:pPr>
        <w:spacing w:after="0" w:line="357"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TWO RICHMOND SQUARE</w:t>
      </w:r>
    </w:p>
    <w:p>
      <w:pPr>
        <w:spacing w:after="0" w:line="20"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PROVIDENCE, RI 02906</w:t>
      </w:r>
    </w:p>
    <w:p>
      <w:pPr>
        <w:spacing w:after="0" w:line="20"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31" w:right="1440" w:bottom="1440" w:gutter="0" w:footer="0" w:header="0"/>
          <w:type w:val="continuous"/>
        </w:sectPr>
      </w:pPr>
    </w:p>
    <w:p>
      <w:pPr>
        <w:spacing w:after="0" w:line="14" w:lineRule="exact"/>
        <w:rPr>
          <w:sz w:val="24"/>
          <w:szCs w:val="24"/>
          <w:color w:val="auto"/>
        </w:rPr>
      </w:pPr>
    </w:p>
    <w:p>
      <w:pPr>
        <w:ind w:left="102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355" w:lineRule="exact"/>
        <w:rPr>
          <w:sz w:val="24"/>
          <w:szCs w:val="24"/>
          <w:color w:val="auto"/>
        </w:rPr>
      </w:pPr>
    </w:p>
    <w:p>
      <w:pPr>
        <w:ind w:left="3620" w:hanging="555"/>
        <w:spacing w:after="0"/>
        <w:tabs>
          <w:tab w:leader="none" w:pos="36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272-3310</w:t>
      </w:r>
    </w:p>
    <w:p>
      <w:pPr>
        <w:ind w:left="30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300"/>
        <w:spacing w:after="0" w:line="237" w:lineRule="auto"/>
        <w:rPr>
          <w:sz w:val="20"/>
          <w:szCs w:val="20"/>
          <w:color w:val="auto"/>
        </w:rPr>
      </w:pPr>
      <w:r>
        <w:rPr>
          <w:rFonts w:ascii="Courier New" w:cs="Courier New" w:eastAsia="Courier New" w:hAnsi="Courier New"/>
          <w:sz w:val="16"/>
          <w:szCs w:val="16"/>
          <w:color w:val="auto"/>
        </w:rPr>
        <w:t>(Registrant's telephone number, including area code)</w:t>
      </w:r>
    </w:p>
    <w:p>
      <w:pPr>
        <w:spacing w:after="0" w:line="362" w:lineRule="exact"/>
        <w:rPr>
          <w:sz w:val="24"/>
          <w:szCs w:val="24"/>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Yes___X____ No_________</w:t>
      </w:r>
    </w:p>
    <w:p>
      <w:pPr>
        <w:spacing w:after="0" w:line="200" w:lineRule="exact"/>
        <w:rPr>
          <w:sz w:val="24"/>
          <w:szCs w:val="24"/>
          <w:color w:val="auto"/>
        </w:rPr>
      </w:pPr>
    </w:p>
    <w:p>
      <w:pPr>
        <w:spacing w:after="0" w:line="340" w:lineRule="exact"/>
        <w:rPr>
          <w:sz w:val="24"/>
          <w:szCs w:val="24"/>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At July 31, 1997 there were 16,536,172 shares of Common Stock, $.01 par value, issued and outstanding. There were no issued and outstanding shares of Preferred Stock.</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Page 1 of 17</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spacing w:after="0"/>
              <w:rPr>
                <w:sz w:val="15"/>
                <w:szCs w:val="15"/>
                <w:color w:val="auto"/>
              </w:rPr>
            </w:pPr>
          </w:p>
        </w:tc>
        <w:tc>
          <w:tcPr>
            <w:tcW w:w="5400" w:type="dxa"/>
            <w:vAlign w:val="bottom"/>
          </w:tcPr>
          <w:p>
            <w:pPr>
              <w:ind w:left="1920"/>
              <w:spacing w:after="0"/>
              <w:rPr>
                <w:sz w:val="20"/>
                <w:szCs w:val="20"/>
                <w:color w:val="auto"/>
              </w:rPr>
            </w:pPr>
            <w:r>
              <w:rPr>
                <w:rFonts w:ascii="Courier New" w:cs="Courier New" w:eastAsia="Courier New" w:hAnsi="Courier New"/>
                <w:sz w:val="16"/>
                <w:szCs w:val="16"/>
                <w:color w:val="auto"/>
              </w:rPr>
              <w:t>CYTOTHERAPEUTICS, INC.</w:t>
            </w:r>
          </w:p>
        </w:tc>
        <w:tc>
          <w:tcPr>
            <w:tcW w:w="1440" w:type="dxa"/>
            <w:vAlign w:val="bottom"/>
          </w:tcPr>
          <w:p>
            <w:pPr>
              <w:spacing w:after="0"/>
              <w:rPr>
                <w:sz w:val="15"/>
                <w:szCs w:val="15"/>
                <w:color w:val="auto"/>
              </w:rPr>
            </w:pPr>
          </w:p>
        </w:tc>
      </w:tr>
      <w:tr>
        <w:trPr>
          <w:trHeight w:val="537"/>
        </w:trPr>
        <w:tc>
          <w:tcPr>
            <w:tcW w:w="780" w:type="dxa"/>
            <w:vAlign w:val="bottom"/>
          </w:tcPr>
          <w:p>
            <w:pPr>
              <w:spacing w:after="0"/>
              <w:rPr>
                <w:sz w:val="24"/>
                <w:szCs w:val="24"/>
                <w:color w:val="auto"/>
              </w:rPr>
            </w:pPr>
          </w:p>
        </w:tc>
        <w:tc>
          <w:tcPr>
            <w:tcW w:w="5400" w:type="dxa"/>
            <w:vAlign w:val="bottom"/>
          </w:tcPr>
          <w:p>
            <w:pPr>
              <w:ind w:left="2760"/>
              <w:spacing w:after="0"/>
              <w:rPr>
                <w:sz w:val="20"/>
                <w:szCs w:val="20"/>
                <w:color w:val="auto"/>
              </w:rPr>
            </w:pPr>
            <w:r>
              <w:rPr>
                <w:rFonts w:ascii="Courier New" w:cs="Courier New" w:eastAsia="Courier New" w:hAnsi="Courier New"/>
                <w:sz w:val="16"/>
                <w:szCs w:val="16"/>
                <w:color w:val="auto"/>
              </w:rPr>
              <w:t>INDEX</w:t>
            </w:r>
          </w:p>
        </w:tc>
        <w:tc>
          <w:tcPr>
            <w:tcW w:w="1440" w:type="dxa"/>
            <w:vAlign w:val="bottom"/>
          </w:tcPr>
          <w:p>
            <w:pPr>
              <w:spacing w:after="0"/>
              <w:rPr>
                <w:sz w:val="24"/>
                <w:szCs w:val="24"/>
                <w:color w:val="auto"/>
              </w:rPr>
            </w:pPr>
          </w:p>
        </w:tc>
      </w:tr>
      <w:tr>
        <w:trPr>
          <w:trHeight w:val="716"/>
        </w:trPr>
        <w:tc>
          <w:tcPr>
            <w:tcW w:w="7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400" w:type="dxa"/>
            <w:vAlign w:val="bottom"/>
          </w:tcPr>
          <w:p>
            <w:pPr>
              <w:ind w:left="60"/>
              <w:spacing w:after="0"/>
              <w:rPr>
                <w:sz w:val="20"/>
                <w:szCs w:val="20"/>
                <w:color w:val="auto"/>
              </w:rPr>
            </w:pPr>
            <w:r>
              <w:rPr>
                <w:rFonts w:ascii="Courier New" w:cs="Courier New" w:eastAsia="Courier New" w:hAnsi="Courier New"/>
                <w:sz w:val="16"/>
                <w:szCs w:val="16"/>
                <w:color w:val="auto"/>
              </w:rPr>
              <w:t>FINANCIAL INFORMATION</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Page Number</w:t>
            </w:r>
          </w:p>
        </w:tc>
      </w:tr>
      <w:tr>
        <w:trPr>
          <w:trHeight w:val="179"/>
        </w:trPr>
        <w:tc>
          <w:tcPr>
            <w:tcW w:w="6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14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Financial Statements</w:t>
            </w:r>
          </w:p>
        </w:tc>
        <w:tc>
          <w:tcPr>
            <w:tcW w:w="1440" w:type="dxa"/>
            <w:vAlign w:val="bottom"/>
          </w:tcPr>
          <w:p>
            <w:pPr>
              <w:spacing w:after="0"/>
              <w:rPr>
                <w:sz w:val="24"/>
                <w:szCs w:val="24"/>
                <w:color w:val="auto"/>
              </w:rPr>
            </w:pPr>
          </w:p>
        </w:tc>
      </w:tr>
      <w:tr>
        <w:trPr>
          <w:trHeight w:val="358"/>
        </w:trPr>
        <w:tc>
          <w:tcPr>
            <w:tcW w:w="780" w:type="dxa"/>
            <w:vAlign w:val="bottom"/>
          </w:tcPr>
          <w:p>
            <w:pPr>
              <w:spacing w:after="0"/>
              <w:rPr>
                <w:sz w:val="24"/>
                <w:szCs w:val="2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Balance Sheets (unaudited)</w:t>
            </w:r>
          </w:p>
        </w:tc>
        <w:tc>
          <w:tcPr>
            <w:tcW w:w="144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4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June 30, 1997 and December 31, 1996</w:t>
            </w:r>
          </w:p>
        </w:tc>
        <w:tc>
          <w:tcPr>
            <w:tcW w:w="1440" w:type="dxa"/>
            <w:vAlign w:val="bottom"/>
          </w:tcPr>
          <w:p>
            <w:pPr>
              <w:ind w:left="800"/>
              <w:spacing w:after="0" w:line="179" w:lineRule="exact"/>
              <w:rPr>
                <w:sz w:val="20"/>
                <w:szCs w:val="20"/>
                <w:color w:val="auto"/>
              </w:rPr>
            </w:pPr>
            <w:r>
              <w:rPr>
                <w:rFonts w:ascii="Courier New" w:cs="Courier New" w:eastAsia="Courier New" w:hAnsi="Courier New"/>
                <w:sz w:val="16"/>
                <w:szCs w:val="16"/>
                <w:color w:val="auto"/>
              </w:rPr>
              <w:t>3</w:t>
            </w:r>
          </w:p>
        </w:tc>
      </w:tr>
      <w:tr>
        <w:trPr>
          <w:trHeight w:val="537"/>
        </w:trPr>
        <w:tc>
          <w:tcPr>
            <w:tcW w:w="780" w:type="dxa"/>
            <w:vAlign w:val="bottom"/>
          </w:tcPr>
          <w:p>
            <w:pPr>
              <w:spacing w:after="0"/>
              <w:rPr>
                <w:sz w:val="24"/>
                <w:szCs w:val="2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Statements of Operations</w:t>
            </w:r>
          </w:p>
        </w:tc>
        <w:tc>
          <w:tcPr>
            <w:tcW w:w="144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4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(unaudited) Three and six months ended</w:t>
            </w:r>
          </w:p>
        </w:tc>
        <w:tc>
          <w:tcPr>
            <w:tcW w:w="144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54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June 30, 1997 and 1996</w:t>
            </w:r>
          </w:p>
        </w:tc>
        <w:tc>
          <w:tcPr>
            <w:tcW w:w="1440" w:type="dxa"/>
            <w:vAlign w:val="bottom"/>
          </w:tcPr>
          <w:p>
            <w:pPr>
              <w:ind w:left="800"/>
              <w:spacing w:after="0" w:line="179" w:lineRule="exact"/>
              <w:rPr>
                <w:sz w:val="20"/>
                <w:szCs w:val="20"/>
                <w:color w:val="auto"/>
              </w:rPr>
            </w:pPr>
            <w:r>
              <w:rPr>
                <w:rFonts w:ascii="Courier New" w:cs="Courier New" w:eastAsia="Courier New" w:hAnsi="Courier New"/>
                <w:sz w:val="16"/>
                <w:szCs w:val="16"/>
                <w:color w:val="auto"/>
              </w:rPr>
              <w:t>4</w:t>
            </w:r>
          </w:p>
        </w:tc>
      </w:tr>
      <w:tr>
        <w:trPr>
          <w:trHeight w:val="358"/>
        </w:trPr>
        <w:tc>
          <w:tcPr>
            <w:tcW w:w="780" w:type="dxa"/>
            <w:vAlign w:val="bottom"/>
          </w:tcPr>
          <w:p>
            <w:pPr>
              <w:spacing w:after="0"/>
              <w:rPr>
                <w:sz w:val="24"/>
                <w:szCs w:val="2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144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4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(unaudited) Six months ended June 30, 1997 and 1996</w:t>
            </w:r>
          </w:p>
        </w:tc>
        <w:tc>
          <w:tcPr>
            <w:tcW w:w="1440" w:type="dxa"/>
            <w:vAlign w:val="bottom"/>
          </w:tcPr>
          <w:p>
            <w:pPr>
              <w:ind w:left="800"/>
              <w:spacing w:after="0" w:line="179" w:lineRule="exact"/>
              <w:rPr>
                <w:sz w:val="20"/>
                <w:szCs w:val="20"/>
                <w:color w:val="auto"/>
              </w:rPr>
            </w:pPr>
            <w:r>
              <w:rPr>
                <w:rFonts w:ascii="Courier New" w:cs="Courier New" w:eastAsia="Courier New" w:hAnsi="Courier New"/>
                <w:sz w:val="16"/>
                <w:szCs w:val="16"/>
                <w:color w:val="auto"/>
              </w:rPr>
              <w:t>5</w:t>
            </w:r>
          </w:p>
        </w:tc>
      </w:tr>
      <w:tr>
        <w:trPr>
          <w:trHeight w:val="358"/>
        </w:trPr>
        <w:tc>
          <w:tcPr>
            <w:tcW w:w="780" w:type="dxa"/>
            <w:vAlign w:val="bottom"/>
          </w:tcPr>
          <w:p>
            <w:pPr>
              <w:spacing w:after="0"/>
              <w:rPr>
                <w:sz w:val="24"/>
                <w:szCs w:val="24"/>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144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4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(unaudited)</w:t>
            </w:r>
          </w:p>
        </w:tc>
        <w:tc>
          <w:tcPr>
            <w:tcW w:w="1440" w:type="dxa"/>
            <w:vAlign w:val="bottom"/>
          </w:tcPr>
          <w:p>
            <w:pPr>
              <w:ind w:left="800"/>
              <w:spacing w:after="0" w:line="179" w:lineRule="exact"/>
              <w:rPr>
                <w:sz w:val="20"/>
                <w:szCs w:val="20"/>
                <w:color w:val="auto"/>
              </w:rPr>
            </w:pPr>
            <w:r>
              <w:rPr>
                <w:rFonts w:ascii="Courier New" w:cs="Courier New" w:eastAsia="Courier New" w:hAnsi="Courier New"/>
                <w:sz w:val="16"/>
                <w:szCs w:val="16"/>
                <w:color w:val="auto"/>
              </w:rPr>
              <w:t>6</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44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54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Condition and Results of Operations</w:t>
            </w:r>
          </w:p>
        </w:tc>
        <w:tc>
          <w:tcPr>
            <w:tcW w:w="1440" w:type="dxa"/>
            <w:vAlign w:val="bottom"/>
          </w:tcPr>
          <w:p>
            <w:pPr>
              <w:ind w:left="800"/>
              <w:spacing w:after="0" w:line="179" w:lineRule="exact"/>
              <w:rPr>
                <w:sz w:val="20"/>
                <w:szCs w:val="20"/>
                <w:color w:val="auto"/>
              </w:rPr>
            </w:pPr>
            <w:r>
              <w:rPr>
                <w:rFonts w:ascii="Courier New" w:cs="Courier New" w:eastAsia="Courier New" w:hAnsi="Courier New"/>
                <w:sz w:val="16"/>
                <w:szCs w:val="16"/>
                <w:color w:val="auto"/>
              </w:rPr>
              <w:t>7-14</w:t>
            </w:r>
          </w:p>
        </w:tc>
      </w:tr>
      <w:tr>
        <w:trPr>
          <w:trHeight w:val="716"/>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PART II.</w:t>
            </w: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1440" w:type="dxa"/>
            <w:vAlign w:val="bottom"/>
          </w:tcPr>
          <w:p>
            <w:pPr>
              <w:spacing w:after="0"/>
              <w:rPr>
                <w:sz w:val="24"/>
                <w:szCs w:val="24"/>
                <w:color w:val="auto"/>
              </w:rPr>
            </w:pPr>
          </w:p>
        </w:tc>
      </w:tr>
      <w:tr>
        <w:trPr>
          <w:trHeight w:val="179"/>
        </w:trPr>
        <w:tc>
          <w:tcPr>
            <w:tcW w:w="6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5"/>
                <w:szCs w:val="15"/>
                <w:color w:val="auto"/>
              </w:rPr>
            </w:pP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Legal Proceedings</w:t>
            </w:r>
          </w:p>
        </w:tc>
        <w:tc>
          <w:tcPr>
            <w:tcW w:w="1440" w:type="dxa"/>
            <w:vAlign w:val="bottom"/>
          </w:tcPr>
          <w:p>
            <w:pPr>
              <w:ind w:left="800"/>
              <w:spacing w:after="0"/>
              <w:rPr>
                <w:sz w:val="20"/>
                <w:szCs w:val="20"/>
                <w:color w:val="auto"/>
              </w:rPr>
            </w:pPr>
            <w:r>
              <w:rPr>
                <w:rFonts w:ascii="Courier New" w:cs="Courier New" w:eastAsia="Courier New" w:hAnsi="Courier New"/>
                <w:sz w:val="16"/>
                <w:szCs w:val="16"/>
                <w:color w:val="auto"/>
              </w:rPr>
              <w:t>15</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Submission of Matters to a Vote of Security-Holders</w:t>
            </w:r>
          </w:p>
        </w:tc>
        <w:tc>
          <w:tcPr>
            <w:tcW w:w="1440" w:type="dxa"/>
            <w:vAlign w:val="bottom"/>
          </w:tcPr>
          <w:p>
            <w:pPr>
              <w:ind w:left="800"/>
              <w:spacing w:after="0"/>
              <w:rPr>
                <w:sz w:val="20"/>
                <w:szCs w:val="20"/>
                <w:color w:val="auto"/>
              </w:rPr>
            </w:pPr>
            <w:r>
              <w:rPr>
                <w:rFonts w:ascii="Courier New" w:cs="Courier New" w:eastAsia="Courier New" w:hAnsi="Courier New"/>
                <w:sz w:val="16"/>
                <w:szCs w:val="16"/>
                <w:color w:val="auto"/>
              </w:rPr>
              <w:t>15</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Other matters</w:t>
            </w:r>
          </w:p>
        </w:tc>
        <w:tc>
          <w:tcPr>
            <w:tcW w:w="1440" w:type="dxa"/>
            <w:vAlign w:val="bottom"/>
          </w:tcPr>
          <w:p>
            <w:pPr>
              <w:ind w:left="800"/>
              <w:spacing w:after="0"/>
              <w:rPr>
                <w:sz w:val="20"/>
                <w:szCs w:val="20"/>
                <w:color w:val="auto"/>
              </w:rPr>
            </w:pPr>
            <w:r>
              <w:rPr>
                <w:rFonts w:ascii="Courier New" w:cs="Courier New" w:eastAsia="Courier New" w:hAnsi="Courier New"/>
                <w:sz w:val="16"/>
                <w:szCs w:val="16"/>
                <w:color w:val="auto"/>
              </w:rPr>
              <w:t>15</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Exhibits and Reports on Form 8-K</w:t>
            </w:r>
          </w:p>
        </w:tc>
        <w:tc>
          <w:tcPr>
            <w:tcW w:w="1440" w:type="dxa"/>
            <w:vAlign w:val="bottom"/>
          </w:tcPr>
          <w:p>
            <w:pPr>
              <w:ind w:left="800"/>
              <w:spacing w:after="0"/>
              <w:rPr>
                <w:sz w:val="20"/>
                <w:szCs w:val="20"/>
                <w:color w:val="auto"/>
              </w:rPr>
            </w:pPr>
            <w:r>
              <w:rPr>
                <w:rFonts w:ascii="Courier New" w:cs="Courier New" w:eastAsia="Courier New" w:hAnsi="Courier New"/>
                <w:sz w:val="16"/>
                <w:szCs w:val="16"/>
                <w:color w:val="auto"/>
              </w:rPr>
              <w:t>15-16</w:t>
            </w:r>
          </w:p>
        </w:tc>
      </w:tr>
      <w:tr>
        <w:trPr>
          <w:trHeight w:val="537"/>
        </w:trPr>
        <w:tc>
          <w:tcPr>
            <w:tcW w:w="618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1440" w:type="dxa"/>
            <w:vAlign w:val="bottom"/>
          </w:tcPr>
          <w:p>
            <w:pPr>
              <w:ind w:left="800"/>
              <w:spacing w:after="0"/>
              <w:rPr>
                <w:sz w:val="20"/>
                <w:szCs w:val="20"/>
                <w:color w:val="auto"/>
              </w:rPr>
            </w:pPr>
            <w:r>
              <w:rPr>
                <w:rFonts w:ascii="Courier New" w:cs="Courier New" w:eastAsia="Courier New" w:hAnsi="Courier New"/>
                <w:sz w:val="16"/>
                <w:szCs w:val="16"/>
                <w:color w:val="auto"/>
              </w:rPr>
              <w:t>17</w:t>
            </w:r>
          </w:p>
        </w:tc>
      </w:tr>
      <w:tr>
        <w:trPr>
          <w:trHeight w:val="358"/>
        </w:trPr>
        <w:tc>
          <w:tcPr>
            <w:tcW w:w="780" w:type="dxa"/>
            <w:vAlign w:val="bottom"/>
          </w:tcPr>
          <w:p>
            <w:pPr>
              <w:spacing w:after="0"/>
              <w:rPr>
                <w:sz w:val="24"/>
                <w:szCs w:val="24"/>
                <w:color w:val="auto"/>
              </w:rPr>
            </w:pPr>
          </w:p>
        </w:tc>
        <w:tc>
          <w:tcPr>
            <w:tcW w:w="5400" w:type="dxa"/>
            <w:vAlign w:val="bottom"/>
          </w:tcPr>
          <w:p>
            <w:pPr>
              <w:ind w:left="2380"/>
              <w:spacing w:after="0"/>
              <w:rPr>
                <w:sz w:val="20"/>
                <w:szCs w:val="20"/>
                <w:color w:val="auto"/>
              </w:rPr>
            </w:pPr>
            <w:r>
              <w:rPr>
                <w:rFonts w:ascii="Courier New" w:cs="Courier New" w:eastAsia="Courier New" w:hAnsi="Courier New"/>
                <w:sz w:val="16"/>
                <w:szCs w:val="16"/>
                <w:color w:val="auto"/>
              </w:rPr>
              <w:t>Page 2 of 17</w:t>
            </w:r>
          </w:p>
        </w:tc>
        <w:tc>
          <w:tcPr>
            <w:tcW w:w="1440" w:type="dxa"/>
            <w:vAlign w:val="bottom"/>
          </w:tcPr>
          <w:p>
            <w:pPr>
              <w:spacing w:after="0"/>
              <w:rPr>
                <w:sz w:val="24"/>
                <w:szCs w:val="24"/>
                <w:color w:val="auto"/>
              </w:rPr>
            </w:pPr>
          </w:p>
        </w:tc>
      </w:tr>
    </w:tbl>
    <w:p>
      <w:pPr>
        <w:sectPr>
          <w:pgSz w:w="11900" w:h="16838" w:orient="portrait"/>
          <w:cols w:equalWidth="0" w:num="1">
            <w:col w:w="10219"/>
          </w:cols>
          <w:pgMar w:left="240" w:top="29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0" w:type="dxa"/>
            <w:vAlign w:val="bottom"/>
          </w:tcPr>
          <w:p>
            <w:pPr>
              <w:spacing w:after="0"/>
              <w:rPr>
                <w:sz w:val="20"/>
                <w:szCs w:val="20"/>
                <w:color w:val="auto"/>
              </w:rPr>
            </w:pPr>
            <w:r>
              <w:rPr>
                <w:rFonts w:ascii="Courier New" w:cs="Courier New" w:eastAsia="Courier New" w:hAnsi="Courier New"/>
                <w:sz w:val="16"/>
                <w:szCs w:val="16"/>
                <w:color w:val="auto"/>
              </w:rPr>
              <w:t>CYTOTHERAPEUTICS, INC.</w:t>
            </w: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537"/>
        </w:trPr>
        <w:tc>
          <w:tcPr>
            <w:tcW w:w="580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SHEETS</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37"/>
        </w:trPr>
        <w:tc>
          <w:tcPr>
            <w:tcW w:w="5800" w:type="dxa"/>
            <w:vAlign w:val="bottom"/>
          </w:tcPr>
          <w:p>
            <w:pPr>
              <w:spacing w:after="0"/>
              <w:rPr>
                <w:sz w:val="24"/>
                <w:szCs w:val="24"/>
                <w:color w:val="auto"/>
              </w:rPr>
            </w:pPr>
          </w:p>
        </w:tc>
        <w:tc>
          <w:tcPr>
            <w:tcW w:w="252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June 30, 1997</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1996</w:t>
            </w:r>
          </w:p>
        </w:tc>
      </w:tr>
      <w:tr>
        <w:trPr>
          <w:trHeight w:val="179"/>
        </w:trPr>
        <w:tc>
          <w:tcPr>
            <w:tcW w:w="5800" w:type="dxa"/>
            <w:vAlign w:val="bottom"/>
          </w:tcPr>
          <w:p>
            <w:pPr>
              <w:spacing w:after="0"/>
              <w:rPr>
                <w:sz w:val="15"/>
                <w:szCs w:val="15"/>
                <w:color w:val="auto"/>
              </w:rPr>
            </w:pPr>
          </w:p>
        </w:tc>
        <w:tc>
          <w:tcPr>
            <w:tcW w:w="2520" w:type="dxa"/>
            <w:vAlign w:val="bottom"/>
            <w:gridSpan w:val="2"/>
          </w:tcPr>
          <w:p>
            <w:pPr>
              <w:ind w:left="900"/>
              <w:spacing w:after="0" w:line="179" w:lineRule="exact"/>
              <w:rPr>
                <w:sz w:val="20"/>
                <w:szCs w:val="20"/>
                <w:color w:val="auto"/>
              </w:rPr>
            </w:pPr>
            <w:r>
              <w:rPr>
                <w:rFonts w:ascii="Courier New" w:cs="Courier New" w:eastAsia="Courier New" w:hAnsi="Courier New"/>
                <w:sz w:val="16"/>
                <w:szCs w:val="16"/>
                <w:color w:val="auto"/>
              </w:rPr>
              <w:t>(unaudited)</w:t>
            </w:r>
          </w:p>
        </w:tc>
        <w:tc>
          <w:tcPr>
            <w:tcW w:w="520" w:type="dxa"/>
            <w:vAlign w:val="bottom"/>
          </w:tcPr>
          <w:p>
            <w:pPr>
              <w:spacing w:after="0"/>
              <w:rPr>
                <w:sz w:val="15"/>
                <w:szCs w:val="15"/>
                <w:color w:val="auto"/>
              </w:rPr>
            </w:pPr>
          </w:p>
        </w:tc>
        <w:tc>
          <w:tcPr>
            <w:tcW w:w="13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(audited)</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$ 12,434,980</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$ 19,921,584</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Marketable securities</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18,821,289</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22,685,855</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Receivables from collaborative agreement</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162,967</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70,681</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1,167,613</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1,074,091</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32,586,849</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43,752,211</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980" w:type="dxa"/>
            <w:vAlign w:val="bottom"/>
          </w:tcPr>
          <w:p>
            <w:pPr>
              <w:spacing w:after="0"/>
              <w:rPr>
                <w:sz w:val="24"/>
                <w:szCs w:val="24"/>
                <w:color w:val="auto"/>
              </w:rPr>
            </w:pPr>
          </w:p>
        </w:tc>
        <w:tc>
          <w:tcPr>
            <w:tcW w:w="1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14,329,002</w:t>
            </w:r>
          </w:p>
        </w:tc>
        <w:tc>
          <w:tcPr>
            <w:tcW w:w="520" w:type="dxa"/>
            <w:vAlign w:val="bottom"/>
          </w:tcPr>
          <w:p>
            <w:pPr>
              <w:spacing w:after="0"/>
              <w:rPr>
                <w:sz w:val="24"/>
                <w:szCs w:val="24"/>
                <w:color w:val="auto"/>
              </w:rPr>
            </w:pP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10,732,102</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4,385,865</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3,912,430</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00" w:type="dxa"/>
            <w:vAlign w:val="bottom"/>
          </w:tcPr>
          <w:p>
            <w:pPr>
              <w:ind w:left="640"/>
              <w:spacing w:after="0"/>
              <w:rPr>
                <w:sz w:val="20"/>
                <w:szCs w:val="20"/>
                <w:color w:val="auto"/>
              </w:rPr>
            </w:pPr>
            <w:r>
              <w:rPr>
                <w:rFonts w:ascii="Courier New" w:cs="Courier New" w:eastAsia="Courier New" w:hAnsi="Courier New"/>
                <w:sz w:val="16"/>
                <w:szCs w:val="16"/>
                <w:color w:val="auto"/>
              </w:rPr>
              <w:t>Total assets</w:t>
            </w:r>
          </w:p>
        </w:tc>
        <w:tc>
          <w:tcPr>
            <w:tcW w:w="252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$ 51,301,716</w:t>
            </w:r>
          </w:p>
        </w:tc>
        <w:tc>
          <w:tcPr>
            <w:tcW w:w="19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$ 58,396,743</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80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4,125,335</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4,159,769</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Deferred revenue</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20,371</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1,859,092</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Current maturities of capitalized lease obligations</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519,418</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553,557</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Current maturities of long term debt</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647,613</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695,570</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5,312,737</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7,267,988</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980" w:type="dxa"/>
            <w:vAlign w:val="bottom"/>
          </w:tcPr>
          <w:p>
            <w:pPr>
              <w:spacing w:after="0"/>
              <w:rPr>
                <w:sz w:val="24"/>
                <w:szCs w:val="24"/>
                <w:color w:val="auto"/>
              </w:rPr>
            </w:pPr>
          </w:p>
        </w:tc>
        <w:tc>
          <w:tcPr>
            <w:tcW w:w="1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3,710,000</w:t>
            </w:r>
          </w:p>
        </w:tc>
        <w:tc>
          <w:tcPr>
            <w:tcW w:w="520" w:type="dxa"/>
            <w:vAlign w:val="bottom"/>
          </w:tcPr>
          <w:p>
            <w:pPr>
              <w:spacing w:after="0"/>
              <w:rPr>
                <w:sz w:val="24"/>
                <w:szCs w:val="24"/>
                <w:color w:val="auto"/>
              </w:rPr>
            </w:pP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3,971,594</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Long term debt, less current maturities</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3,921,342</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4,251,008</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Redeemable common stock</w:t>
            </w:r>
          </w:p>
        </w:tc>
        <w:tc>
          <w:tcPr>
            <w:tcW w:w="980" w:type="dxa"/>
            <w:vAlign w:val="bottom"/>
          </w:tcPr>
          <w:p>
            <w:pPr>
              <w:spacing w:after="0"/>
              <w:rPr>
                <w:sz w:val="24"/>
                <w:szCs w:val="24"/>
                <w:color w:val="auto"/>
              </w:rPr>
            </w:pPr>
          </w:p>
        </w:tc>
        <w:tc>
          <w:tcPr>
            <w:tcW w:w="1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6,667,681</w:t>
            </w:r>
          </w:p>
        </w:tc>
        <w:tc>
          <w:tcPr>
            <w:tcW w:w="520" w:type="dxa"/>
            <w:vAlign w:val="bottom"/>
          </w:tcPr>
          <w:p>
            <w:pPr>
              <w:spacing w:after="0"/>
              <w:rPr>
                <w:sz w:val="24"/>
                <w:szCs w:val="24"/>
                <w:color w:val="auto"/>
              </w:rPr>
            </w:pP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8,158,798</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Common stock</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158,401</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156,144</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Additional paid in capital</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4"/>
              </w:rPr>
              <w:t>109,486,998</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4"/>
              </w:rPr>
              <w:t>107,649,659</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980" w:type="dxa"/>
            <w:vAlign w:val="bottom"/>
          </w:tcPr>
          <w:p>
            <w:pPr>
              <w:spacing w:after="0"/>
              <w:rPr>
                <w:sz w:val="15"/>
                <w:szCs w:val="15"/>
                <w:color w:val="auto"/>
              </w:rPr>
            </w:pP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(77,802,237)</w:t>
            </w:r>
          </w:p>
        </w:tc>
        <w:tc>
          <w:tcPr>
            <w:tcW w:w="520" w:type="dxa"/>
            <w:vAlign w:val="bottom"/>
          </w:tcPr>
          <w:p>
            <w:pPr>
              <w:spacing w:after="0"/>
              <w:rPr>
                <w:sz w:val="15"/>
                <w:szCs w:val="15"/>
                <w:color w:val="auto"/>
              </w:rPr>
            </w:pP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(72,922,674)</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Deferred compensation</w:t>
            </w:r>
          </w:p>
        </w:tc>
        <w:tc>
          <w:tcPr>
            <w:tcW w:w="980" w:type="dxa"/>
            <w:vAlign w:val="bottom"/>
          </w:tcPr>
          <w:p>
            <w:pPr>
              <w:spacing w:after="0"/>
              <w:rPr>
                <w:sz w:val="15"/>
                <w:szCs w:val="15"/>
                <w:color w:val="auto"/>
              </w:rPr>
            </w:pP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(35,359)</w:t>
            </w:r>
          </w:p>
        </w:tc>
        <w:tc>
          <w:tcPr>
            <w:tcW w:w="520" w:type="dxa"/>
            <w:vAlign w:val="bottom"/>
          </w:tcPr>
          <w:p>
            <w:pPr>
              <w:spacing w:after="0"/>
              <w:rPr>
                <w:sz w:val="15"/>
                <w:szCs w:val="15"/>
                <w:color w:val="auto"/>
              </w:rPr>
            </w:pP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(90,118)</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Unrealized currency loss</w:t>
            </w:r>
          </w:p>
        </w:tc>
        <w:tc>
          <w:tcPr>
            <w:tcW w:w="980" w:type="dxa"/>
            <w:vAlign w:val="bottom"/>
          </w:tcPr>
          <w:p>
            <w:pPr>
              <w:spacing w:after="0"/>
              <w:rPr>
                <w:sz w:val="15"/>
                <w:szCs w:val="15"/>
                <w:color w:val="auto"/>
              </w:rPr>
            </w:pP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(100,765)</w:t>
            </w:r>
          </w:p>
        </w:tc>
        <w:tc>
          <w:tcPr>
            <w:tcW w:w="520" w:type="dxa"/>
            <w:vAlign w:val="bottom"/>
          </w:tcPr>
          <w:p>
            <w:pPr>
              <w:spacing w:after="0"/>
              <w:rPr>
                <w:sz w:val="15"/>
                <w:szCs w:val="15"/>
                <w:color w:val="auto"/>
              </w:rPr>
            </w:pPr>
          </w:p>
        </w:tc>
        <w:tc>
          <w:tcPr>
            <w:tcW w:w="13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(60,416)</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Unrealized gain (loss) on marketable securities</w:t>
            </w:r>
          </w:p>
        </w:tc>
        <w:tc>
          <w:tcPr>
            <w:tcW w:w="980" w:type="dxa"/>
            <w:vAlign w:val="bottom"/>
          </w:tcPr>
          <w:p>
            <w:pPr>
              <w:spacing w:after="0"/>
              <w:rPr>
                <w:sz w:val="15"/>
                <w:szCs w:val="15"/>
                <w:color w:val="auto"/>
              </w:rPr>
            </w:pPr>
          </w:p>
        </w:tc>
        <w:tc>
          <w:tcPr>
            <w:tcW w:w="15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(17,082)</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14,760</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980" w:type="dxa"/>
            <w:vAlign w:val="bottom"/>
          </w:tcPr>
          <w:p>
            <w:pPr>
              <w:spacing w:after="0"/>
              <w:rPr>
                <w:sz w:val="15"/>
                <w:szCs w:val="15"/>
                <w:color w:val="auto"/>
              </w:rPr>
            </w:pPr>
          </w:p>
        </w:tc>
        <w:tc>
          <w:tcPr>
            <w:tcW w:w="15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31,689,956</w:t>
            </w:r>
          </w:p>
        </w:tc>
        <w:tc>
          <w:tcPr>
            <w:tcW w:w="520" w:type="dxa"/>
            <w:vAlign w:val="bottom"/>
          </w:tcPr>
          <w:p>
            <w:pPr>
              <w:spacing w:after="0"/>
              <w:rPr>
                <w:sz w:val="15"/>
                <w:szCs w:val="15"/>
                <w:color w:val="auto"/>
              </w:rPr>
            </w:pP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34,747,355</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00" w:type="dxa"/>
            <w:vAlign w:val="bottom"/>
          </w:tcPr>
          <w:p>
            <w:pPr>
              <w:ind w:left="64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98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51,301,716</w:t>
            </w:r>
          </w:p>
        </w:tc>
        <w:tc>
          <w:tcPr>
            <w:tcW w:w="52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58,396,743</w:t>
            </w:r>
          </w:p>
        </w:tc>
      </w:tr>
      <w:tr>
        <w:trPr>
          <w:trHeight w:val="179"/>
        </w:trPr>
        <w:tc>
          <w:tcPr>
            <w:tcW w:w="5800" w:type="dxa"/>
            <w:vAlign w:val="bottom"/>
          </w:tcPr>
          <w:p>
            <w:pPr>
              <w:spacing w:after="0"/>
              <w:rPr>
                <w:sz w:val="15"/>
                <w:szCs w:val="15"/>
                <w:color w:val="auto"/>
              </w:rPr>
            </w:pPr>
          </w:p>
        </w:tc>
        <w:tc>
          <w:tcPr>
            <w:tcW w:w="252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3 of 17</w:t>
      </w:r>
    </w:p>
    <w:p>
      <w:pPr>
        <w:sectPr>
          <w:pgSz w:w="11900" w:h="16838" w:orient="portrait"/>
          <w:cols w:equalWidth="0" w:num="1">
            <w:col w:w="10220"/>
          </w:cols>
          <w:pgMar w:left="240" w:top="290" w:right="14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ind w:left="180"/>
              <w:spacing w:after="0"/>
              <w:rPr>
                <w:sz w:val="20"/>
                <w:szCs w:val="20"/>
                <w:color w:val="auto"/>
              </w:rPr>
            </w:pPr>
            <w:r>
              <w:rPr>
                <w:rFonts w:ascii="Courier New" w:cs="Courier New" w:eastAsia="Courier New" w:hAnsi="Courier New"/>
                <w:sz w:val="16"/>
                <w:szCs w:val="16"/>
                <w:color w:val="auto"/>
              </w:rPr>
              <w:t>CYTOTHERAPEUTICS, INC.</w:t>
            </w:r>
          </w:p>
        </w:tc>
        <w:tc>
          <w:tcPr>
            <w:tcW w:w="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37"/>
        </w:trPr>
        <w:tc>
          <w:tcPr>
            <w:tcW w:w="45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CONDENSED CONSOLIDATED STATEMENTS OF OPERATIONS</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3900" w:type="dxa"/>
            <w:vAlign w:val="bottom"/>
          </w:tcPr>
          <w:p>
            <w:pPr>
              <w:ind w:left="360"/>
              <w:spacing w:after="0"/>
              <w:rPr>
                <w:sz w:val="20"/>
                <w:szCs w:val="20"/>
                <w:color w:val="auto"/>
              </w:rPr>
            </w:pPr>
            <w:r>
              <w:rPr>
                <w:rFonts w:ascii="Courier New" w:cs="Courier New" w:eastAsia="Courier New" w:hAnsi="Courier New"/>
                <w:sz w:val="16"/>
                <w:szCs w:val="16"/>
                <w:color w:val="auto"/>
              </w:rPr>
              <w:t>(unaudited)</w:t>
            </w: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37"/>
        </w:trPr>
        <w:tc>
          <w:tcPr>
            <w:tcW w:w="3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gridSpan w:val="3"/>
          </w:tcPr>
          <w:p>
            <w:pPr>
              <w:jc w:val="right"/>
              <w:ind w:right="1222"/>
              <w:spacing w:after="0"/>
              <w:rPr>
                <w:sz w:val="20"/>
                <w:szCs w:val="20"/>
                <w:color w:val="auto"/>
              </w:rPr>
            </w:pPr>
            <w:r>
              <w:rPr>
                <w:rFonts w:ascii="Courier New" w:cs="Courier New" w:eastAsia="Courier New" w:hAnsi="Courier New"/>
                <w:sz w:val="16"/>
                <w:szCs w:val="16"/>
                <w:color w:val="auto"/>
              </w:rPr>
              <w:t>Three Months Ended</w:t>
            </w:r>
          </w:p>
        </w:tc>
        <w:tc>
          <w:tcPr>
            <w:tcW w:w="460" w:type="dxa"/>
            <w:vAlign w:val="bottom"/>
          </w:tcPr>
          <w:p>
            <w:pPr>
              <w:spacing w:after="0"/>
              <w:rPr>
                <w:sz w:val="24"/>
                <w:szCs w:val="24"/>
                <w:color w:val="auto"/>
              </w:rPr>
            </w:pPr>
          </w:p>
        </w:tc>
        <w:tc>
          <w:tcPr>
            <w:tcW w:w="298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Six Months Ended</w:t>
            </w:r>
          </w:p>
        </w:tc>
      </w:tr>
      <w:tr>
        <w:trPr>
          <w:trHeight w:val="179"/>
        </w:trPr>
        <w:tc>
          <w:tcPr>
            <w:tcW w:w="3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June 30,</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June 30,</w:t>
            </w:r>
          </w:p>
        </w:tc>
        <w:tc>
          <w:tcPr>
            <w:tcW w:w="1020" w:type="dxa"/>
            <w:vAlign w:val="bottom"/>
          </w:tcPr>
          <w:p>
            <w:pPr>
              <w:spacing w:after="0"/>
              <w:rPr>
                <w:sz w:val="15"/>
                <w:szCs w:val="15"/>
                <w:color w:val="auto"/>
              </w:rPr>
            </w:pPr>
          </w:p>
        </w:tc>
      </w:tr>
      <w:tr>
        <w:trPr>
          <w:trHeight w:val="179"/>
        </w:trPr>
        <w:tc>
          <w:tcPr>
            <w:tcW w:w="3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5"/>
                <w:szCs w:val="15"/>
                <w:color w:val="auto"/>
              </w:rPr>
            </w:pPr>
          </w:p>
        </w:tc>
        <w:tc>
          <w:tcPr>
            <w:tcW w:w="150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1996</w:t>
            </w:r>
          </w:p>
        </w:tc>
        <w:tc>
          <w:tcPr>
            <w:tcW w:w="46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84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537"/>
        </w:trPr>
        <w:tc>
          <w:tcPr>
            <w:tcW w:w="3900" w:type="dxa"/>
            <w:vAlign w:val="bottom"/>
          </w:tcPr>
          <w:p>
            <w:pPr>
              <w:spacing w:after="0"/>
              <w:rPr>
                <w:sz w:val="20"/>
                <w:szCs w:val="20"/>
                <w:color w:val="auto"/>
              </w:rPr>
            </w:pPr>
            <w:r>
              <w:rPr>
                <w:rFonts w:ascii="Courier New" w:cs="Courier New" w:eastAsia="Courier New" w:hAnsi="Courier New"/>
                <w:sz w:val="16"/>
                <w:szCs w:val="16"/>
                <w:color w:val="auto"/>
              </w:rPr>
              <w:t>Revenue from collaborative arrangements</w:t>
            </w:r>
          </w:p>
        </w:tc>
        <w:tc>
          <w:tcPr>
            <w:tcW w:w="6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5,084,864</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1,850,632</w:t>
            </w:r>
          </w:p>
        </w:tc>
        <w:tc>
          <w:tcPr>
            <w:tcW w:w="4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6,941,486</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3,514,849</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660" w:type="dxa"/>
            <w:vAlign w:val="bottom"/>
          </w:tcPr>
          <w:p>
            <w:pPr>
              <w:spacing w:after="0"/>
              <w:rPr>
                <w:sz w:val="15"/>
                <w:szCs w:val="15"/>
                <w:color w:val="auto"/>
              </w:rPr>
            </w:pP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4,449,727</w:t>
            </w:r>
          </w:p>
        </w:tc>
        <w:tc>
          <w:tcPr>
            <w:tcW w:w="28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4,175,341</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9,099,227</w:t>
            </w:r>
          </w:p>
        </w:tc>
        <w:tc>
          <w:tcPr>
            <w:tcW w:w="84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8,080,500</w:t>
            </w: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660" w:type="dxa"/>
            <w:vAlign w:val="bottom"/>
          </w:tcPr>
          <w:p>
            <w:pPr>
              <w:spacing w:after="0"/>
              <w:rPr>
                <w:sz w:val="15"/>
                <w:szCs w:val="15"/>
                <w:color w:val="auto"/>
              </w:rPr>
            </w:pP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1,684,917</w:t>
            </w:r>
          </w:p>
        </w:tc>
        <w:tc>
          <w:tcPr>
            <w:tcW w:w="28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1,173,221</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3,481,347</w:t>
            </w:r>
          </w:p>
        </w:tc>
        <w:tc>
          <w:tcPr>
            <w:tcW w:w="84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2,407,269</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6,134,644</w:t>
            </w:r>
          </w:p>
        </w:tc>
        <w:tc>
          <w:tcPr>
            <w:tcW w:w="28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5,348,562</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12,580,574</w:t>
            </w:r>
          </w:p>
        </w:tc>
        <w:tc>
          <w:tcPr>
            <w:tcW w:w="84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10,487,769</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660" w:type="dxa"/>
            <w:vAlign w:val="bottom"/>
          </w:tcPr>
          <w:p>
            <w:pPr>
              <w:spacing w:after="0"/>
              <w:rPr>
                <w:sz w:val="24"/>
                <w:szCs w:val="24"/>
                <w:color w:val="auto"/>
              </w:rPr>
            </w:pPr>
          </w:p>
        </w:tc>
        <w:tc>
          <w:tcPr>
            <w:tcW w:w="166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4"/>
              </w:rPr>
              <w:t>(1,049,780)</w:t>
            </w:r>
          </w:p>
        </w:tc>
        <w:tc>
          <w:tcPr>
            <w:tcW w:w="280" w:type="dxa"/>
            <w:vAlign w:val="bottom"/>
          </w:tcPr>
          <w:p>
            <w:pPr>
              <w:spacing w:after="0"/>
              <w:rPr>
                <w:sz w:val="24"/>
                <w:szCs w:val="24"/>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(3,497,930)</w:t>
            </w:r>
          </w:p>
        </w:tc>
        <w:tc>
          <w:tcPr>
            <w:tcW w:w="46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(5,639,088)</w:t>
            </w:r>
          </w:p>
        </w:tc>
        <w:tc>
          <w:tcPr>
            <w:tcW w:w="8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4"/>
              </w:rPr>
              <w:t>(6,972,920)</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Investment income</w:t>
            </w:r>
          </w:p>
        </w:tc>
        <w:tc>
          <w:tcPr>
            <w:tcW w:w="660" w:type="dxa"/>
            <w:vAlign w:val="bottom"/>
          </w:tcPr>
          <w:p>
            <w:pPr>
              <w:spacing w:after="0"/>
              <w:rPr>
                <w:sz w:val="15"/>
                <w:szCs w:val="15"/>
                <w:color w:val="auto"/>
              </w:rPr>
            </w:pP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467,769</w:t>
            </w:r>
          </w:p>
        </w:tc>
        <w:tc>
          <w:tcPr>
            <w:tcW w:w="28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572,744</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1,116,399</w:t>
            </w:r>
          </w:p>
        </w:tc>
        <w:tc>
          <w:tcPr>
            <w:tcW w:w="84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1,207,269</w:t>
            </w: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Interest expense</w:t>
            </w:r>
          </w:p>
        </w:tc>
        <w:tc>
          <w:tcPr>
            <w:tcW w:w="660" w:type="dxa"/>
            <w:vAlign w:val="bottom"/>
          </w:tcPr>
          <w:p>
            <w:pPr>
              <w:spacing w:after="0"/>
              <w:rPr>
                <w:sz w:val="15"/>
                <w:szCs w:val="15"/>
                <w:color w:val="auto"/>
              </w:rPr>
            </w:pPr>
          </w:p>
        </w:tc>
        <w:tc>
          <w:tcPr>
            <w:tcW w:w="16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(70,583)</w:t>
            </w:r>
          </w:p>
        </w:tc>
        <w:tc>
          <w:tcPr>
            <w:tcW w:w="280" w:type="dxa"/>
            <w:vAlign w:val="bottom"/>
          </w:tcPr>
          <w:p>
            <w:pPr>
              <w:spacing w:after="0"/>
              <w:rPr>
                <w:sz w:val="15"/>
                <w:szCs w:val="15"/>
                <w:color w:val="auto"/>
              </w:rPr>
            </w:pPr>
          </w:p>
        </w:tc>
        <w:tc>
          <w:tcPr>
            <w:tcW w:w="15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(149,145)</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(246,094)</w:t>
            </w:r>
          </w:p>
        </w:tc>
        <w:tc>
          <w:tcPr>
            <w:tcW w:w="8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(304,740)</w:t>
            </w: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660" w:type="dxa"/>
            <w:vAlign w:val="bottom"/>
          </w:tcPr>
          <w:p>
            <w:pPr>
              <w:spacing w:after="0"/>
              <w:rPr>
                <w:sz w:val="15"/>
                <w:szCs w:val="15"/>
                <w:color w:val="auto"/>
              </w:rPr>
            </w:pPr>
          </w:p>
        </w:tc>
        <w:tc>
          <w:tcPr>
            <w:tcW w:w="16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(15,360)</w:t>
            </w:r>
          </w:p>
        </w:tc>
        <w:tc>
          <w:tcPr>
            <w:tcW w:w="28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342,500</w:t>
            </w:r>
          </w:p>
        </w:tc>
        <w:tc>
          <w:tcPr>
            <w:tcW w:w="4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(110,780)</w:t>
            </w:r>
          </w:p>
        </w:tc>
        <w:tc>
          <w:tcPr>
            <w:tcW w:w="84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342,500</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381,826</w:t>
            </w:r>
          </w:p>
        </w:tc>
        <w:tc>
          <w:tcPr>
            <w:tcW w:w="280" w:type="dxa"/>
            <w:vAlign w:val="bottom"/>
          </w:tcPr>
          <w:p>
            <w:pPr>
              <w:spacing w:after="0"/>
              <w:rPr>
                <w:sz w:val="15"/>
                <w:szCs w:val="15"/>
                <w:color w:val="auto"/>
              </w:rPr>
            </w:pP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766,099</w:t>
            </w:r>
          </w:p>
        </w:tc>
        <w:tc>
          <w:tcPr>
            <w:tcW w:w="4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759,525</w:t>
            </w:r>
          </w:p>
        </w:tc>
        <w:tc>
          <w:tcPr>
            <w:tcW w:w="84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1,245,029</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660" w:type="dxa"/>
            <w:vAlign w:val="bottom"/>
          </w:tcPr>
          <w:p>
            <w:pPr>
              <w:ind w:left="460"/>
              <w:spacing w:after="0"/>
              <w:rPr>
                <w:sz w:val="20"/>
                <w:szCs w:val="20"/>
                <w:color w:val="auto"/>
              </w:rPr>
            </w:pPr>
            <w:r>
              <w:rPr>
                <w:rFonts w:ascii="Courier New" w:cs="Courier New" w:eastAsia="Courier New" w:hAnsi="Courier New"/>
                <w:sz w:val="16"/>
                <w:szCs w:val="16"/>
                <w:color w:val="auto"/>
                <w:w w:val="93"/>
              </w:rPr>
              <w:t>($</w:t>
            </w:r>
          </w:p>
        </w:tc>
        <w:tc>
          <w:tcPr>
            <w:tcW w:w="16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667,954)</w:t>
            </w:r>
          </w:p>
        </w:tc>
        <w:tc>
          <w:tcPr>
            <w:tcW w:w="178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($ 2,731,831)</w:t>
            </w:r>
          </w:p>
        </w:tc>
        <w:tc>
          <w:tcPr>
            <w:tcW w:w="15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($ 4,879,563)</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($ 5,727,891)</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660" w:type="dxa"/>
            <w:vAlign w:val="bottom"/>
          </w:tcPr>
          <w:p>
            <w:pPr>
              <w:ind w:left="460"/>
              <w:spacing w:after="0"/>
              <w:rPr>
                <w:sz w:val="20"/>
                <w:szCs w:val="20"/>
                <w:color w:val="auto"/>
              </w:rPr>
            </w:pPr>
            <w:r>
              <w:rPr>
                <w:rFonts w:ascii="Courier New" w:cs="Courier New" w:eastAsia="Courier New" w:hAnsi="Courier New"/>
                <w:sz w:val="16"/>
                <w:szCs w:val="16"/>
                <w:color w:val="auto"/>
                <w:w w:val="93"/>
              </w:rPr>
              <w:t>($</w:t>
            </w:r>
          </w:p>
        </w:tc>
        <w:tc>
          <w:tcPr>
            <w:tcW w:w="16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0.04)</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w w:val="83"/>
              </w:rPr>
              <w:t>($</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0.18)</w:t>
            </w:r>
          </w:p>
        </w:tc>
        <w:tc>
          <w:tcPr>
            <w:tcW w:w="460" w:type="dxa"/>
            <w:vAlign w:val="bottom"/>
          </w:tcPr>
          <w:p>
            <w:pPr>
              <w:ind w:left="280"/>
              <w:spacing w:after="0"/>
              <w:rPr>
                <w:sz w:val="20"/>
                <w:szCs w:val="20"/>
                <w:color w:val="auto"/>
              </w:rPr>
            </w:pPr>
            <w:r>
              <w:rPr>
                <w:rFonts w:ascii="Courier New" w:cs="Courier New" w:eastAsia="Courier New" w:hAnsi="Courier New"/>
                <w:sz w:val="16"/>
                <w:szCs w:val="16"/>
                <w:color w:val="auto"/>
                <w:w w:val="83"/>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0.30)</w:t>
            </w:r>
          </w:p>
        </w:tc>
        <w:tc>
          <w:tcPr>
            <w:tcW w:w="840" w:type="dxa"/>
            <w:vAlign w:val="bottom"/>
          </w:tcPr>
          <w:p>
            <w:pPr>
              <w:ind w:left="640"/>
              <w:spacing w:after="0"/>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0.37)</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Shares used in calculation</w:t>
            </w:r>
          </w:p>
        </w:tc>
        <w:tc>
          <w:tcPr>
            <w:tcW w:w="660" w:type="dxa"/>
            <w:vAlign w:val="bottom"/>
          </w:tcPr>
          <w:p>
            <w:pPr>
              <w:spacing w:after="0"/>
              <w:rPr>
                <w:sz w:val="24"/>
                <w:szCs w:val="24"/>
                <w:color w:val="auto"/>
              </w:rPr>
            </w:pPr>
          </w:p>
        </w:tc>
        <w:tc>
          <w:tcPr>
            <w:tcW w:w="1660" w:type="dxa"/>
            <w:vAlign w:val="bottom"/>
          </w:tcPr>
          <w:p>
            <w:pPr>
              <w:jc w:val="right"/>
              <w:ind w:right="662"/>
              <w:spacing w:after="0"/>
              <w:rPr>
                <w:sz w:val="20"/>
                <w:szCs w:val="20"/>
                <w:color w:val="auto"/>
              </w:rPr>
            </w:pPr>
            <w:r>
              <w:rPr>
                <w:rFonts w:ascii="Courier New" w:cs="Courier New" w:eastAsia="Courier New" w:hAnsi="Courier New"/>
                <w:sz w:val="16"/>
                <w:szCs w:val="16"/>
                <w:color w:val="auto"/>
                <w:w w:val="93"/>
              </w:rPr>
              <w:t>16,498,374</w:t>
            </w:r>
          </w:p>
        </w:tc>
        <w:tc>
          <w:tcPr>
            <w:tcW w:w="280" w:type="dxa"/>
            <w:vAlign w:val="bottom"/>
          </w:tcPr>
          <w:p>
            <w:pPr>
              <w:spacing w:after="0"/>
              <w:rPr>
                <w:sz w:val="24"/>
                <w:szCs w:val="24"/>
                <w:color w:val="auto"/>
              </w:rPr>
            </w:pP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5"/>
              </w:rPr>
              <w:t>15,368,009</w:t>
            </w:r>
          </w:p>
        </w:tc>
        <w:tc>
          <w:tcPr>
            <w:tcW w:w="46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16,484,864</w:t>
            </w:r>
          </w:p>
        </w:tc>
        <w:tc>
          <w:tcPr>
            <w:tcW w:w="84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15,320,989</w:t>
            </w:r>
          </w:p>
        </w:tc>
      </w:tr>
      <w:tr>
        <w:trPr>
          <w:trHeight w:val="179"/>
        </w:trPr>
        <w:tc>
          <w:tcPr>
            <w:tcW w:w="3900" w:type="dxa"/>
            <w:vAlign w:val="bottom"/>
          </w:tcPr>
          <w:p>
            <w:pPr>
              <w:spacing w:after="0"/>
              <w:rPr>
                <w:sz w:val="15"/>
                <w:szCs w:val="15"/>
                <w:color w:val="auto"/>
              </w:rPr>
            </w:pPr>
          </w:p>
        </w:tc>
        <w:tc>
          <w:tcPr>
            <w:tcW w:w="232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4 of 17</w:t>
      </w:r>
    </w:p>
    <w:p>
      <w:pPr>
        <w:sectPr>
          <w:pgSz w:w="11900" w:h="16838" w:orient="portrait"/>
          <w:cols w:equalWidth="0" w:num="1">
            <w:col w:w="11440"/>
          </w:cols>
          <w:pgMar w:left="240" w:top="290"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594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716"/>
        </w:trPr>
        <w:tc>
          <w:tcPr>
            <w:tcW w:w="5940" w:type="dxa"/>
            <w:vAlign w:val="bottom"/>
          </w:tcPr>
          <w:p>
            <w:pPr>
              <w:spacing w:after="0"/>
              <w:rPr>
                <w:sz w:val="20"/>
                <w:szCs w:val="20"/>
                <w:color w:val="auto"/>
              </w:rPr>
            </w:pPr>
            <w:r>
              <w:rPr>
                <w:rFonts w:ascii="Courier New" w:cs="Courier New" w:eastAsia="Courier New" w:hAnsi="Courier New"/>
                <w:sz w:val="16"/>
                <w:szCs w:val="16"/>
                <w:color w:val="auto"/>
              </w:rPr>
              <w:t>PART I - ITEM 1 - FINANCIAL STATEMENTS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716"/>
        </w:trPr>
        <w:tc>
          <w:tcPr>
            <w:tcW w:w="5940" w:type="dxa"/>
            <w:vAlign w:val="bottom"/>
          </w:tcPr>
          <w:p>
            <w:pPr>
              <w:spacing w:after="0"/>
              <w:rPr>
                <w:sz w:val="20"/>
                <w:szCs w:val="20"/>
                <w:color w:val="auto"/>
              </w:rPr>
            </w:pPr>
            <w:r>
              <w:rPr>
                <w:rFonts w:ascii="Courier New" w:cs="Courier New" w:eastAsia="Courier New" w:hAnsi="Courier New"/>
                <w:sz w:val="16"/>
                <w:szCs w:val="16"/>
                <w:color w:val="auto"/>
              </w:rPr>
              <w:t>CYTOTHERAPEUTICS, INC.</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37"/>
        </w:trPr>
        <w:tc>
          <w:tcPr>
            <w:tcW w:w="594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37"/>
        </w:trPr>
        <w:tc>
          <w:tcPr>
            <w:tcW w:w="5940" w:type="dxa"/>
            <w:vAlign w:val="bottom"/>
          </w:tcPr>
          <w:p>
            <w:pPr>
              <w:ind w:left="80"/>
              <w:spacing w:after="0"/>
              <w:rPr>
                <w:sz w:val="20"/>
                <w:szCs w:val="20"/>
                <w:color w:val="auto"/>
              </w:rPr>
            </w:pPr>
            <w:r>
              <w:rPr>
                <w:rFonts w:ascii="Courier New" w:cs="Courier New" w:eastAsia="Courier New" w:hAnsi="Courier New"/>
                <w:sz w:val="16"/>
                <w:szCs w:val="16"/>
                <w:color w:val="auto"/>
              </w:rPr>
              <w:t>(unaudited)</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5940" w:type="dxa"/>
            <w:vAlign w:val="bottom"/>
          </w:tcPr>
          <w:p>
            <w:pPr>
              <w:spacing w:after="0"/>
              <w:rPr>
                <w:sz w:val="15"/>
                <w:szCs w:val="15"/>
                <w:color w:val="auto"/>
              </w:rPr>
            </w:pPr>
          </w:p>
        </w:tc>
        <w:tc>
          <w:tcPr>
            <w:tcW w:w="39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Six Months Ended June 30,</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1997</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940" w:type="dxa"/>
            <w:vAlign w:val="bottom"/>
          </w:tcPr>
          <w:p>
            <w:pPr>
              <w:spacing w:after="0"/>
              <w:rPr>
                <w:sz w:val="15"/>
                <w:szCs w:val="15"/>
                <w:color w:val="auto"/>
              </w:rPr>
            </w:pPr>
          </w:p>
        </w:tc>
        <w:tc>
          <w:tcPr>
            <w:tcW w:w="3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loss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($ 4,879,563)</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($ 5,727,891)</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Adjustments to reconcile net loss to</w:t>
            </w: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cash used for operating activities:</w:t>
            </w: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9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967,350</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794,645</w:t>
            </w:r>
          </w:p>
        </w:tc>
      </w:tr>
      <w:tr>
        <w:trPr>
          <w:trHeight w:val="179"/>
        </w:trPr>
        <w:tc>
          <w:tcPr>
            <w:tcW w:w="59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Compensation expense relating to the grant</w:t>
            </w: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94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of stock options</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27,413</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31,061</w:t>
            </w:r>
          </w:p>
        </w:tc>
      </w:tr>
      <w:tr>
        <w:trPr>
          <w:trHeight w:val="179"/>
        </w:trPr>
        <w:tc>
          <w:tcPr>
            <w:tcW w:w="59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Loss on sale of fixed assets</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825</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Changes in operating assets and liabilities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(1,963,479)</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(639,653)</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used in operating activities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(5,847,454)</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(5,541,838)</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Proceeds from sale of marketable securities</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9,936,929</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6,207,051</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Purchases of marketable securities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(6,104,205)</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(3,083,620)</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Purchase of property, plant and equipment</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(4,504,373)</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(1,149,202)</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Proceeds from the sale of fixed assets</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1,941</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Acquisition of other assets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(572,576)</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(305,791)</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provided by (used in) investing activities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(1,242,284)</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1,668,438</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Proceeds from the exercise of stock options</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375,825</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1,085,138</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Proceeds from financing transactions</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821,172</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Principal payments under capitalized lease obligations</w:t>
            </w: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9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and mortgage payable</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(538,485)</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(497,425)</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provided by (used in) financing activities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(162,660)</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1,408,885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exchange rate on cash and cash equivalents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(234,206)</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Decrease in cash and cash equivalents</w:t>
            </w:r>
          </w:p>
        </w:tc>
        <w:tc>
          <w:tcPr>
            <w:tcW w:w="23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(7,486,604)</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(2,464,515)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January 1</w:t>
            </w: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19,921,584</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9,548,579</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Cash and cash equivalents, June 30</w:t>
            </w:r>
          </w:p>
        </w:tc>
        <w:tc>
          <w:tcPr>
            <w:tcW w:w="23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$ 12,434,980</w:t>
            </w:r>
          </w:p>
        </w:tc>
        <w:tc>
          <w:tcPr>
            <w:tcW w:w="1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7,084,064</w:t>
            </w:r>
          </w:p>
        </w:tc>
      </w:tr>
      <w:tr>
        <w:trPr>
          <w:trHeight w:val="179"/>
        </w:trPr>
        <w:tc>
          <w:tcPr>
            <w:tcW w:w="5940" w:type="dxa"/>
            <w:vAlign w:val="bottom"/>
          </w:tcPr>
          <w:p>
            <w:pPr>
              <w:spacing w:after="0"/>
              <w:rPr>
                <w:sz w:val="15"/>
                <w:szCs w:val="15"/>
                <w:color w:val="auto"/>
              </w:rPr>
            </w:pPr>
          </w:p>
        </w:tc>
        <w:tc>
          <w:tcPr>
            <w:tcW w:w="23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5 of 17</w:t>
      </w:r>
    </w:p>
    <w:p>
      <w:pPr>
        <w:sectPr>
          <w:pgSz w:w="11900" w:h="16838" w:orient="portrait"/>
          <w:cols w:equalWidth="0" w:num="1">
            <w:col w:w="10219"/>
          </w:cols>
          <w:pgMar w:left="240" w:top="29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PART I - ITEM 1 - FINANCIAL STATEMENTS</w:t>
      </w:r>
    </w:p>
    <w:p>
      <w:pPr>
        <w:ind w:left="8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236" w:lineRule="auto"/>
        <w:rPr>
          <w:sz w:val="20"/>
          <w:szCs w:val="20"/>
          <w:color w:val="auto"/>
        </w:rPr>
      </w:pPr>
      <w:r>
        <w:rPr>
          <w:rFonts w:ascii="Courier New" w:cs="Courier New" w:eastAsia="Courier New" w:hAnsi="Courier New"/>
          <w:sz w:val="16"/>
          <w:szCs w:val="16"/>
          <w:color w:val="auto"/>
        </w:rPr>
        <w:t>JUNE 30, 1997 AND 1996</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83"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six months ended June 30, 1997 are not necessarily indicative of the results that may be expected for the entire fiscal year ended December 31, 1997.</w:t>
      </w:r>
    </w:p>
    <w:p>
      <w:pPr>
        <w:spacing w:after="0" w:line="188" w:lineRule="exact"/>
        <w:rPr>
          <w:sz w:val="20"/>
          <w:szCs w:val="20"/>
          <w:color w:val="auto"/>
        </w:rPr>
      </w:pPr>
    </w:p>
    <w:p>
      <w:pPr>
        <w:ind w:left="460" w:right="2879"/>
        <w:spacing w:after="0" w:line="235" w:lineRule="auto"/>
        <w:rPr>
          <w:sz w:val="20"/>
          <w:szCs w:val="20"/>
          <w:color w:val="auto"/>
        </w:rPr>
      </w:pPr>
      <w:r>
        <w:rPr>
          <w:rFonts w:ascii="Courier New" w:cs="Courier New" w:eastAsia="Courier New" w:hAnsi="Courier New"/>
          <w:sz w:val="16"/>
          <w:szCs w:val="16"/>
          <w:color w:val="auto"/>
        </w:rPr>
        <w:t>For further information, refer to the audited financial statements and footnotes thereto as of December 31, 1996 included in the Company's Annual Report to Stockholders and the Annual Report on Form 10-K filed with the Securities and Exchange Commission.</w:t>
      </w:r>
    </w:p>
    <w:p>
      <w:pPr>
        <w:spacing w:after="0" w:line="17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183" w:lineRule="exact"/>
        <w:rPr>
          <w:sz w:val="20"/>
          <w:szCs w:val="20"/>
          <w:color w:val="auto"/>
        </w:rPr>
      </w:pPr>
    </w:p>
    <w:p>
      <w:pPr>
        <w:ind w:left="460" w:right="2879"/>
        <w:spacing w:after="0" w:line="235" w:lineRule="auto"/>
        <w:rPr>
          <w:sz w:val="20"/>
          <w:szCs w:val="20"/>
          <w:color w:val="auto"/>
        </w:rPr>
      </w:pPr>
      <w:r>
        <w:rPr>
          <w:rFonts w:ascii="Courier New" w:cs="Courier New" w:eastAsia="Courier New" w:hAnsi="Courier New"/>
          <w:sz w:val="16"/>
          <w:szCs w:val="16"/>
          <w:color w:val="auto"/>
        </w:rPr>
        <w:t>Net loss per share is computed using the weighted average number of shares of common stock outstanding. Common equivalent shares from stock options and warrants are excluded as their effect is antidilutive.</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4"/>
          <w:szCs w:val="14"/>
          <w:color w:val="auto"/>
        </w:rPr>
        <w:t>ADOPTION OF NEW ACCOUNTING PRONOUNCEMENTS</w:t>
      </w:r>
    </w:p>
    <w:p>
      <w:pPr>
        <w:spacing w:after="0" w:line="183" w:lineRule="exact"/>
        <w:rPr>
          <w:sz w:val="20"/>
          <w:szCs w:val="20"/>
          <w:color w:val="auto"/>
        </w:rPr>
      </w:pPr>
    </w:p>
    <w:p>
      <w:pPr>
        <w:ind w:left="460" w:right="2879"/>
        <w:spacing w:after="0" w:line="273" w:lineRule="auto"/>
        <w:rPr>
          <w:sz w:val="20"/>
          <w:szCs w:val="20"/>
          <w:color w:val="auto"/>
        </w:rPr>
      </w:pPr>
      <w:r>
        <w:rPr>
          <w:rFonts w:ascii="Courier New" w:cs="Courier New" w:eastAsia="Courier New" w:hAnsi="Courier New"/>
          <w:sz w:val="14"/>
          <w:szCs w:val="14"/>
          <w:color w:val="auto"/>
        </w:rPr>
        <w:t>The Company will adopt Statement of Accounting Standards No. 128, Earnings per Share (EPS) which is effective for both interim and annual financial statements for periods ended after December 15, 1997. Under Statement 128, primary EPS computed in accordance with Opinion 15 will be replaced with a simpler calculation called basic EPS. Basic EPS will be calculated by dividing income available to common stockholders by the weighted average common shares outstanding. Fully dilutive EPS will not change significantly, but has been renamed diluted EPS. The adoption of Statement 128 is not expected to have any effect on the Company's financial statements since in the past common equivalent shares from stock options and warrants have been excluded as their effect is antidilutive.</w:t>
      </w:r>
    </w:p>
    <w:p>
      <w:pPr>
        <w:spacing w:after="0" w:line="15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4"/>
          <w:szCs w:val="14"/>
          <w:color w:val="auto"/>
        </w:rPr>
        <w:t>LEGAL PROCEDINGS</w:t>
      </w:r>
    </w:p>
    <w:p>
      <w:pPr>
        <w:spacing w:after="0" w:line="183" w:lineRule="exact"/>
        <w:rPr>
          <w:sz w:val="20"/>
          <w:szCs w:val="20"/>
          <w:color w:val="auto"/>
        </w:rPr>
      </w:pPr>
    </w:p>
    <w:p>
      <w:pPr>
        <w:ind w:left="460" w:right="2879"/>
        <w:spacing w:after="0" w:line="236" w:lineRule="auto"/>
        <w:rPr>
          <w:sz w:val="20"/>
          <w:szCs w:val="20"/>
          <w:color w:val="auto"/>
        </w:rPr>
      </w:pPr>
      <w:r>
        <w:rPr>
          <w:rFonts w:ascii="Courier New" w:cs="Courier New" w:eastAsia="Courier New" w:hAnsi="Courier New"/>
          <w:sz w:val="16"/>
          <w:szCs w:val="16"/>
          <w:color w:val="auto"/>
        </w:rPr>
        <w:t>The Company has settled its dispute with NeuroSpheres LTD. The pending action in the United States District Court and its counterpart actions in Calgary, as well as all arbitration proceedings have been discontinued. Under the terms of the settlement, the Company has an exclusive royalty-bearing license to growth-factor responsive stem cells for transplantation. NeuroSpheres has an option to acquire co-exclusive rights in exchange for an up front payment of $5,000,000. NeuroSpheres' option expires in 1998, if unexercised. The parties have no further research obligations to each other.</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6 of 17</w:t>
      </w:r>
    </w:p>
    <w:p>
      <w:pPr>
        <w:sectPr>
          <w:pgSz w:w="11900" w:h="16838" w:orient="portrait"/>
          <w:cols w:equalWidth="0" w:num="1">
            <w:col w:w="10219"/>
          </w:cols>
          <w:pgMar w:left="240" w:top="29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355"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3799"/>
        <w:spacing w:after="0" w:line="236" w:lineRule="auto"/>
        <w:rPr>
          <w:sz w:val="20"/>
          <w:szCs w:val="20"/>
          <w:color w:val="auto"/>
        </w:rPr>
      </w:pPr>
      <w:r>
        <w:rPr>
          <w:rFonts w:ascii="Courier New" w:cs="Courier New" w:eastAsia="Courier New" w:hAnsi="Courier New"/>
          <w:sz w:val="16"/>
          <w:szCs w:val="16"/>
          <w:color w:val="auto"/>
        </w:rPr>
        <w:t>FINANCIAL CONDITION AND RESULTS OF OPERATIONS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and six months ended June 30, 1997 and 1996 should be read in conjunction with the accompanying unaudited condensed consolidated financial statements and the related footnotes thereto.</w:t>
      </w:r>
    </w:p>
    <w:p>
      <w:pPr>
        <w:spacing w:after="0" w:line="18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This report may contain certain forward-looking statements regarding, among other things, the Company's results of operations, the progress of the Company's product development and clinical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236" w:lineRule="auto"/>
        <w:rPr>
          <w:sz w:val="20"/>
          <w:szCs w:val="20"/>
          <w:color w:val="auto"/>
        </w:rPr>
      </w:pPr>
      <w:r>
        <w:rPr>
          <w:rFonts w:ascii="Courier New" w:cs="Courier New" w:eastAsia="Courier New" w:hAnsi="Courier New"/>
          <w:sz w:val="16"/>
          <w:szCs w:val="16"/>
          <w:color w:val="auto"/>
        </w:rPr>
        <w:t>THREE MONTHS ENDED JUNE 30, 1997 AND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quarter ended June 30, 1997 and 1996, revenues from collaborative</w:t>
      </w:r>
    </w:p>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7 of 17</w:t>
      </w:r>
    </w:p>
    <w:p>
      <w:pPr>
        <w:sectPr>
          <w:pgSz w:w="11900" w:h="16838" w:orient="portrait"/>
          <w:cols w:equalWidth="0" w:num="1">
            <w:col w:w="10219"/>
          </w:cols>
          <w:pgMar w:left="240" w:top="29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agreements totaled $5,085,000 and $1,851,000, respectively. The revenues were earned primarily from a Development, Marketing, and License Agreement with Astra AB. For the quarter ended June 30, 1997, the Company recognized a $3,000,000 milestone payment from Astra related to the Phase II clinical program for ACTID (Analgesic Cell Therapy Implantable Device), the Company's cell-containing, pain control implant.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Research and development expenses totaled $4,450,000 for the three months ended June 30, 1997, compared with $4,175,000 for the same period in 1996 The increase of $275,000, or 7%, from 1996 to 1997 is principally due to increases in the number of scientists and the addition of Modex, a 50% owned subsidiary, which contributed $347,000 to the expense increase, partially offset by a decrease in expenses related to research agreements.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General and administrative expenses were $1,685,000 for the three months ended June 30, 1997, compared with $1,173,000 for the same period in 1996. The increase of 512,000 or 44%, from 1996 to 1997 was primarily attributable to legal expenses incurred related to arbitration proceedings with NeuroSpheres, an increase in patent expenses and the addition of Modex, a 50% owned subsidiary, which contributed $211,000 to the increase.</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Other income in the amount of $343,000 was received in May 1996 for settlement of a legal suit filed on behalf of the Company.</w:t>
      </w:r>
    </w:p>
    <w:p>
      <w:pPr>
        <w:spacing w:after="0" w:line="183"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Interest income for the three months ended June 30, 1997 and 1996 was $468,000 and $573,000, respectively. The average investment balances were $34,672,000 and $38,807,000 in the second quarter of 1997 and 1996, respectively.</w:t>
      </w:r>
    </w:p>
    <w:p>
      <w:pPr>
        <w:spacing w:after="0" w:line="15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Interest expense was $71,000 for the three months ended June 30, 1997, compared with $149,000 for the same period in 1996. The decrease from 1997 to 1996 was attributable to the capitalization of interest for the new facility in the amount of $99,000.</w:t>
      </w:r>
    </w:p>
    <w:p>
      <w:pPr>
        <w:spacing w:after="0" w:line="18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Net loss for the three months ended June 30, 1997 was $668,000, or $0.04 per share, as compared to net loss of $2,732,000, or $0.18 per share, for the comparable period in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236" w:lineRule="auto"/>
        <w:rPr>
          <w:sz w:val="20"/>
          <w:szCs w:val="20"/>
          <w:color w:val="auto"/>
        </w:rPr>
      </w:pPr>
      <w:r>
        <w:rPr>
          <w:rFonts w:ascii="Courier New" w:cs="Courier New" w:eastAsia="Courier New" w:hAnsi="Courier New"/>
          <w:sz w:val="16"/>
          <w:szCs w:val="16"/>
          <w:color w:val="auto"/>
        </w:rPr>
        <w:t>SIX MONTHS ENDED JUNE 30, 1997 AND 1996</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For the six months ended June 30, 1997 and 1996, revenues from collaborative agreements totaled $6,941,000 and $3,515,000. The revenues were earned primarily from a Development, Marketing and License Agreement with Astra AB. Included in the 1997 revenues is a $3,000,000 milestone payment from Astra</w:t>
      </w:r>
    </w:p>
    <w:p>
      <w:pPr>
        <w:spacing w:after="0" w:line="35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8 of 17</w:t>
      </w:r>
    </w:p>
    <w:p>
      <w:pPr>
        <w:sectPr>
          <w:pgSz w:w="11900" w:h="16838" w:orient="portrait"/>
          <w:cols w:equalWidth="0" w:num="1">
            <w:col w:w="10219"/>
          </w:cols>
          <w:pgMar w:left="240" w:top="29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3339"/>
        <w:spacing w:after="0" w:line="295" w:lineRule="auto"/>
        <w:rPr>
          <w:sz w:val="20"/>
          <w:szCs w:val="20"/>
          <w:color w:val="auto"/>
        </w:rPr>
      </w:pPr>
      <w:r>
        <w:rPr>
          <w:rFonts w:ascii="Courier New" w:cs="Courier New" w:eastAsia="Courier New" w:hAnsi="Courier New"/>
          <w:sz w:val="14"/>
          <w:szCs w:val="14"/>
          <w:color w:val="auto"/>
        </w:rPr>
        <w:t>related to the Phase II clinical program for ACTID (Analgesic Cell Therapy Implantable Device), the Company's cell-containing, pain control implant.</w:t>
      </w:r>
    </w:p>
    <w:p>
      <w:pPr>
        <w:spacing w:after="0" w:line="147"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Research and development expenses totaled $9,099,000 for the six months ended June 30, 1997, compared with $8,081,000 for the same period in 1996. The increase of $1,018,000 or 13%, from 1996 to 1997 is principally due to increases in the number of scientists and related expenses and the addition of Modex, a 50% owned subsidiary, which contributed $704,000 to the increase.</w:t>
      </w:r>
    </w:p>
    <w:p>
      <w:pPr>
        <w:spacing w:after="0" w:line="186"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General and administrative expenses were $3,481,000 for the six months ended June 30, 1997, compared with $2,407,000 for the same period in 1996. The increase of $1,074,000 or 45%, from 1996 to 1997 was primarily attributable to increased spending for legal fees associated with the NeuroSpheres litigation, patents, recruiting fees and other professional services, as well as, the addition of Modex, a 50% owned subsidiary, which contributed $286,000 to the increase.</w:t>
      </w:r>
    </w:p>
    <w:p>
      <w:pPr>
        <w:spacing w:after="0" w:line="184" w:lineRule="exact"/>
        <w:rPr>
          <w:sz w:val="20"/>
          <w:szCs w:val="20"/>
          <w:color w:val="auto"/>
        </w:rPr>
      </w:pPr>
    </w:p>
    <w:p>
      <w:pPr>
        <w:jc w:val="both"/>
        <w:ind w:right="2959"/>
        <w:spacing w:after="0" w:line="234" w:lineRule="auto"/>
        <w:rPr>
          <w:sz w:val="20"/>
          <w:szCs w:val="20"/>
          <w:color w:val="auto"/>
        </w:rPr>
      </w:pPr>
      <w:r>
        <w:rPr>
          <w:rFonts w:ascii="Courier New" w:cs="Courier New" w:eastAsia="Courier New" w:hAnsi="Courier New"/>
          <w:sz w:val="16"/>
          <w:szCs w:val="16"/>
          <w:color w:val="auto"/>
        </w:rPr>
        <w:t>Other income in the amount of $343,000 was received in May 1996 for settlement of a legal suit filed on behalf of the Company.</w:t>
      </w:r>
    </w:p>
    <w:p>
      <w:pPr>
        <w:spacing w:after="0" w:line="183" w:lineRule="exact"/>
        <w:rPr>
          <w:sz w:val="20"/>
          <w:szCs w:val="20"/>
          <w:color w:val="auto"/>
        </w:rPr>
      </w:pPr>
    </w:p>
    <w:p>
      <w:pPr>
        <w:jc w:val="both"/>
        <w:ind w:right="2959"/>
        <w:spacing w:after="0" w:line="283" w:lineRule="auto"/>
        <w:rPr>
          <w:sz w:val="20"/>
          <w:szCs w:val="20"/>
          <w:color w:val="auto"/>
        </w:rPr>
      </w:pPr>
      <w:r>
        <w:rPr>
          <w:rFonts w:ascii="Courier New" w:cs="Courier New" w:eastAsia="Courier New" w:hAnsi="Courier New"/>
          <w:sz w:val="14"/>
          <w:szCs w:val="14"/>
          <w:color w:val="auto"/>
        </w:rPr>
        <w:t>Interest income for the six months ended June 30, 1997 and 1996 was $1,116,000 and $1,207,000, respectively. The average investment balances were $37,555,000 and $40,517,000 for the first six months of 1997 and 1996, respectively.</w:t>
      </w:r>
    </w:p>
    <w:p>
      <w:pPr>
        <w:spacing w:after="0" w:line="155"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Interest expense was $246,000 for the six months ended June 30, 1997, compared with $305,000 for the same period in 1996. The decrease from 1996 to 1997 was attributable to the capitalization of interest for the new facility in the amount of $99,000.</w:t>
      </w:r>
    </w:p>
    <w:p>
      <w:pPr>
        <w:spacing w:after="0" w:line="18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Net loss for the six months ended June 30, 1997 was $4,880,000, or $0.30 per share, as compared to net loss of $5,728,000, or $0.37 per share, for the comparable period in 1996.</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85" w:lineRule="exact"/>
        <w:rPr>
          <w:sz w:val="20"/>
          <w:szCs w:val="20"/>
          <w:color w:val="auto"/>
        </w:rPr>
      </w:pPr>
    </w:p>
    <w:p>
      <w:pPr>
        <w:ind w:right="3999"/>
        <w:spacing w:after="0" w:line="270" w:lineRule="auto"/>
        <w:rPr>
          <w:sz w:val="20"/>
          <w:szCs w:val="20"/>
          <w:color w:val="auto"/>
        </w:rPr>
      </w:pPr>
      <w:r>
        <w:rPr>
          <w:rFonts w:ascii="Courier New" w:cs="Courier New" w:eastAsia="Courier New" w:hAnsi="Courier New"/>
          <w:sz w:val="14"/>
          <w:szCs w:val="14"/>
          <w:color w:val="auto"/>
        </w:rPr>
        <w:t>The Company had unrestricted cash, cash equivalents and marketable securities totaling $31,256,000 at June 30, 1997. Cash equivalents</w:t>
      </w:r>
    </w:p>
    <w:p>
      <w:pPr>
        <w:spacing w:after="0" w:line="233" w:lineRule="auto"/>
        <w:rPr>
          <w:sz w:val="20"/>
          <w:szCs w:val="20"/>
          <w:color w:val="auto"/>
        </w:rPr>
      </w:pPr>
      <w:r>
        <w:rPr>
          <w:rFonts w:ascii="Courier New" w:cs="Courier New" w:eastAsia="Courier New" w:hAnsi="Courier New"/>
          <w:sz w:val="16"/>
          <w:szCs w:val="16"/>
          <w:color w:val="auto"/>
        </w:rPr>
        <w:t>and marketable securities are invested in agencies of the U.S. government,</w:t>
      </w: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9 of 17</w:t>
      </w:r>
    </w:p>
    <w:p>
      <w:pPr>
        <w:sectPr>
          <w:pgSz w:w="11900" w:h="16838" w:orient="portrait"/>
          <w:cols w:equalWidth="0" w:num="1">
            <w:col w:w="10219"/>
          </w:cols>
          <w:pgMar w:left="240" w:top="29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grade corporate bonds and money market funds.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Company currently occupies all of its laboratory and administrative office space, other than that at its pilot manufacturing site, under the terms of operating leases subject to termination upon nine months notice by the Company. As a result of an anticipated increase in the number of employees, the Company's current facilities will not be sufficient to accommodate the Company's needs past the end of 1997. The Company has purchased land and a building and began construction of a new headquarters and laboratory facility in the fourth quarter of 1996. The total cost of the project is estimated to be $7,800,000. The Company has spent $6,273,000 on the project through June 30, 1997.</w:t>
      </w:r>
    </w:p>
    <w:p>
      <w:pPr>
        <w:spacing w:after="0" w:line="165"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 October 1996, the Company obtained financing of $5,500,000 from a bank, secured by a mortgage on the new facility. The Company had borrowed $1,450,000 under this agreement as of June 30, 1997. Any unused commitment expires October 31, 1997. Quarterly principal payments of 1/40 of the loan balance commence September 30, 1997 with the balance due at maturity, October 2001. The loan agreement requires the Company provide full cash collateral if the Company's unencumbered cash balance falls below $18,000,000 and to comply with certain financial covenants.</w:t>
      </w:r>
    </w:p>
    <w:p>
      <w:pPr>
        <w:spacing w:after="0" w:line="18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 May 1996, the Company secured an equipment loan facility with a bank in the amount of $2,000,000. The Company has borrowed $741,000 under this agreement as of June 30, 1997. The loan requires interest payments only for the first two years; principal payments are payable over a three-year period beginning May 1998. Any unused commitment expires on May 15, 1998. The loan is secured by equipment purchased with the proceeds of the credit facility.</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 April 1997, CytoTherapeutics entered into an agreement with NeuroSpheres LTD replacing all previous agreements and resolving its dispute with NeuroSpheres. The pending action in the United State District Court and its counterpart actions in Calgary, as well as all arbitration proceedings have been discontinued. Under the terms of the settlement, the Company has an exclusive royalty-bearing license to growth-factor responsive stem cells for transplantation. NeuroSpheres has an option to acquire co-exclusive rights in exchange for an up front payment of $5,000,000. NeuroSpheres' option expires in 1998, if unexercised. The parties have no further research obligations to each other.</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 February 1997, CytoTherapeutics and Cognetix, Inc. entered into a Collaboration and Development Agreement to screen selected peptides isolated by Cognetix for possible development into therapeutic products aimed at a broad range of human disease states using CytoTherapeutics' cell-based delivery technology. Based on in vitro data, a screening committee comprised of an equal number of representatives from CytoTherapeutics</w:t>
      </w: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10 of 17</w:t>
      </w:r>
    </w:p>
    <w:p>
      <w:pPr>
        <w:sectPr>
          <w:pgSz w:w="11900" w:h="16838" w:orient="portrait"/>
          <w:cols w:equalWidth="0" w:num="1">
            <w:col w:w="10219"/>
          </w:cols>
          <w:pgMar w:left="240" w:top="29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and Cognetix will determine which compounds to select for in vivo studies and possible clinical trials. The companies will generally share expenses associated with the development of any specific product candidate and any resulting revenues, except as otherwise determined on a product-by-product basis. As part of the agreement with Cognetix, CytoTherapeutics has purchased $250,000 of Cognetix preferred stock and subject to certain milestones, is obligated to purchase up to a total of $1,750,000 of Cognetix stock over the next year. In July 1997, the Company loaned $250,000 to Cognetix. The loan will bear interest and is payable on the earlier of February 20, 1998 or the completion of a financing greater than $2,000,000 by Cognetix.</w:t>
      </w:r>
    </w:p>
    <w:p>
      <w:pPr>
        <w:spacing w:after="0" w:line="186"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In November 1996, the Company signed collaborative development and licensing agreements with Genentech, Inc. relating to the development of products using the Company's technology to deliver certain of Genentech's proprietary growth factors to treat Parkinson's disease, Huntington's disease and amyotrophic lateral sclerosis ("ALS").</w:t>
      </w:r>
    </w:p>
    <w:p>
      <w:pPr>
        <w:spacing w:after="0" w:line="186"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Under the terms of the agreement for Parkinson's disease, Genentech purchased 829,171 shares of common stock for $8,300,000 to fund development of products to treat Parkinson's disease. Additional equity purchases and other funding by Genentech is available for future clinical development as determined by the parties. If the Parkinson's program is terminated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upon the share price paid by Genentech. As such, the Common Stock purchased by Genentech is classified as Redeemable Common Stock until such time as the related funds are expended on the program. Upon commercialization, Genentech and the Company will share profits in the U.S. at an agreed upon percentage, and Genentech will pay the Company a royalty based upon deals outside the U.S. The Company retains manufacturing rights and will be paid manufacturing costs for products sold.</w:t>
      </w:r>
    </w:p>
    <w:p>
      <w:pPr>
        <w:spacing w:after="0" w:line="34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 also licensed certain growth factors for the treatment of Huntington's disease and amyotrophic lateral sclerosis ("ALS"). Under the terms of the agreements, the Company is responsible for conducting and funding all preclincal and clinical development, subject to specified rights 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w:t>
      </w:r>
    </w:p>
    <w:p>
      <w:pPr>
        <w:spacing w:after="0" w:line="35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11 of 17</w:t>
      </w:r>
    </w:p>
    <w:p>
      <w:pPr>
        <w:sectPr>
          <w:pgSz w:w="11900" w:h="16838" w:orient="portrait"/>
          <w:cols w:equalWidth="0" w:num="1">
            <w:col w:w="10219"/>
          </w:cols>
          <w:pgMar w:left="240" w:top="29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development, upon commercialization, the Company will pay Genentech an agreed upon royalty based upon sales. These agreements supersede the Development Collaboration and License Agreement between the Company and Genentech entered into in March 1994.</w:t>
      </w:r>
    </w:p>
    <w:p>
      <w:pPr>
        <w:spacing w:after="0" w:line="18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In July 1996, the Company invested $2 million in Modex, a 50% owned Swiss subsidiary, to pursue extensions of the Company's encapsulated-cell technology for specific applications outside the central nervous system, with a commitment to invest an additional Sfr 2.4 million on the second anniversary of the agreement if Modex has, prior to that time, achieved one or more specified scientific milestones. An investment fund, managed by Swiss private bank, has invested $2 million in Modex, with a commitment to invest an additional Sfr 1.2 million on the second anniversary of the agreement, in exchange for a 15% stake in the company. The remaining 35% of Modex is owned by the scientific founders of Modex. The Company has granted to Modex an exclusive, royalty-bearing license to the Company's proprietary encapsulated-cell technology for three applications outside the central nervous system: diabetes, obesity and anemia. Modex granted the Company an exclusive royalty-bearing license to any technology developed or obtained by Modex for application to diseases, conditions and disorders which affect the central nervous system. In addition to its royalty obligations, the Company is also obligated to issue to Modex up to 300,000 shares of the Company's Common Stock on the achievement by Modex of certain scientific milestones. Substantially all of these shares are expected to be awarded by Modex as incentive compensation to Modex' founding scientists and other researchers upon achievement of such milestones.</w:t>
      </w:r>
    </w:p>
    <w:p>
      <w:pPr>
        <w:spacing w:after="0" w:line="200" w:lineRule="exact"/>
        <w:rPr>
          <w:sz w:val="20"/>
          <w:szCs w:val="20"/>
          <w:color w:val="auto"/>
        </w:rPr>
      </w:pPr>
    </w:p>
    <w:p>
      <w:pPr>
        <w:spacing w:after="0" w:line="321"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Under the terms of its agreement with the investment fund, during the first two years following closing, the Company has the right to acquire the fund's interest in Modex for the greater of a 30% annual return or Sfr 3.6 million. Following this two-year period, the Company has the right to purchase the fund's interest at 110% of fair market value. Following the second anniversary of the agreement and prior to the tenth anniversary of the agreement, if no public market exists for the common stock of Modex, the fund has the right to require the Company to purchase the fund's interest in Modex for 90% of the fair market value of such interest. Any purchase made by the Company under any of the circumstances described in this paragraph may be made at the Company's option in cash or shares of the Company's Common Stock valued at the market price at the time of purchase. The Company also has the right to acquire, and the founders have the right to require the Company to acquire, the founders' initial equity interest in Modex in exchange for the issuance of an aggregate of approximately 92,000 shares of the Company's Common Stock.</w:t>
      </w:r>
    </w:p>
    <w:p>
      <w:pPr>
        <w:spacing w:after="0" w:line="346" w:lineRule="exact"/>
        <w:rPr>
          <w:sz w:val="20"/>
          <w:szCs w:val="20"/>
          <w:color w:val="auto"/>
        </w:rPr>
      </w:pPr>
    </w:p>
    <w:p>
      <w:pPr>
        <w:ind w:right="3339"/>
        <w:spacing w:after="0" w:line="295"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 for the development and marketing of certain</w:t>
      </w:r>
    </w:p>
    <w:p>
      <w:pPr>
        <w:spacing w:after="0" w:line="32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12 of 17</w:t>
      </w:r>
    </w:p>
    <w:p>
      <w:pPr>
        <w:sectPr>
          <w:pgSz w:w="11900" w:h="16838" w:orient="portrait"/>
          <w:cols w:equalWidth="0" w:num="1">
            <w:col w:w="10219"/>
          </w:cols>
          <w:pgMar w:left="240" w:top="29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encapsulated-cell products to treat pain. Astra made an initial, nonrefundable payment of $5,000,000, a milestone payment of $3,000,000 in the first quarter of 1997 which was recognized as revenue in the second quarter of 1997 and may make up to $13,000,000 in additional payments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from Astra of $5 million to $7 million, which the Company expects should approximate the research and development costs incurred by the Company under the plan.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products. Astra has the right to terminate the agreement after April 1, 1998.</w:t>
      </w:r>
    </w:p>
    <w:p>
      <w:pPr>
        <w:spacing w:after="0" w:line="200" w:lineRule="exact"/>
        <w:rPr>
          <w:sz w:val="20"/>
          <w:szCs w:val="20"/>
          <w:color w:val="auto"/>
        </w:rPr>
      </w:pPr>
    </w:p>
    <w:p>
      <w:pPr>
        <w:spacing w:after="0" w:line="32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185"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184" w:lineRule="exact"/>
        <w:rPr>
          <w:sz w:val="20"/>
          <w:szCs w:val="20"/>
          <w:color w:val="auto"/>
        </w:rPr>
      </w:pPr>
    </w:p>
    <w:p>
      <w:pPr>
        <w:ind w:right="2959"/>
        <w:spacing w:after="0" w:line="276" w:lineRule="auto"/>
        <w:rPr>
          <w:sz w:val="20"/>
          <w:szCs w:val="20"/>
          <w:color w:val="auto"/>
        </w:rPr>
      </w:pPr>
      <w:r>
        <w:rPr>
          <w:rFonts w:ascii="Courier New" w:cs="Courier New" w:eastAsia="Courier New" w:hAnsi="Courier New"/>
          <w:sz w:val="14"/>
          <w:szCs w:val="14"/>
          <w:color w:val="auto"/>
        </w:rPr>
        <w:t>The Company expects that its existing capital resources, revenues from collaborative agreements and income earned on invested capital will be sufficient to fund its operations into the first half of 1999. The Company's cash requirements may vary, however, depending on numerous factors. Lack of necessary funds may require the Company to delay, scale back or eliminate some</w:t>
      </w: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13 of 17</w:t>
      </w:r>
    </w:p>
    <w:p>
      <w:pPr>
        <w:sectPr>
          <w:pgSz w:w="11900" w:h="16838" w:orient="portrait"/>
          <w:cols w:equalWidth="0" w:num="1">
            <w:col w:w="10219"/>
          </w:cols>
          <w:pgMar w:left="240" w:top="29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362" w:lineRule="exact"/>
        <w:rPr>
          <w:sz w:val="20"/>
          <w:szCs w:val="20"/>
          <w:color w:val="auto"/>
        </w:rPr>
      </w:pPr>
    </w:p>
    <w:p>
      <w:pPr>
        <w:jc w:val="both"/>
        <w:ind w:right="3339"/>
        <w:spacing w:after="0" w:line="235" w:lineRule="auto"/>
        <w:rPr>
          <w:sz w:val="20"/>
          <w:szCs w:val="20"/>
          <w:color w:val="auto"/>
        </w:rPr>
      </w:pPr>
      <w:r>
        <w:rPr>
          <w:rFonts w:ascii="Courier New" w:cs="Courier New" w:eastAsia="Courier New" w:hAnsi="Courier New"/>
          <w:sz w:val="16"/>
          <w:szCs w:val="16"/>
          <w:color w:val="auto"/>
        </w:rPr>
        <w:t>or all of its research and product development programs and/or its capital expenditures or to license its potential products or technologies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14 of 17</w:t>
      </w:r>
    </w:p>
    <w:p>
      <w:pPr>
        <w:sectPr>
          <w:pgSz w:w="11900" w:h="16838" w:orient="portrait"/>
          <w:cols w:equalWidth="0" w:num="1">
            <w:col w:w="10219"/>
          </w:cols>
          <w:pgMar w:left="240" w:top="290" w:right="1440" w:bottom="1440" w:gutter="0" w:footer="0" w:header="0"/>
        </w:sectPr>
      </w:pPr>
    </w:p>
    <w:bookmarkStart w:id="14" w:name="page15"/>
    <w:bookmarkEnd w:id="14"/>
    <w:p>
      <w:pPr>
        <w:ind w:left="285"/>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PART II - ITEM 1</w:t>
      </w:r>
    </w:p>
    <w:p>
      <w:pPr>
        <w:ind w:left="185" w:hanging="185"/>
        <w:spacing w:after="0" w:line="236" w:lineRule="auto"/>
        <w:tabs>
          <w:tab w:leader="none" w:pos="1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LEGAL PROCEEDINGS</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Company has settled its dispute with NeuroSpheres LTD. The pending action in the United States District Court and its counterpart actions in Calgary, as well as all arbitration proceedings have been discontinued. Under the terms of the settlement, the Company has an exclusive royalty-bearing license to growth-factor responsive stem cells for transplantation. NeuroSpheres has an option to acquire co-exclusive rights in exchange for an up front payment of $5,000,000. NeuroSpheres' option expires in 1998, if unexercised. The parties have no further research obligations to each other.</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PART II - ITEM 4</w:t>
      </w:r>
    </w:p>
    <w:p>
      <w:pPr>
        <w:ind w:left="5"/>
        <w:spacing w:after="0" w:line="236" w:lineRule="auto"/>
        <w:rPr>
          <w:sz w:val="20"/>
          <w:szCs w:val="20"/>
          <w:color w:val="auto"/>
        </w:rPr>
      </w:pPr>
      <w:r>
        <w:rPr>
          <w:rFonts w:ascii="Courier New" w:cs="Courier New" w:eastAsia="Courier New" w:hAnsi="Courier New"/>
          <w:sz w:val="16"/>
          <w:szCs w:val="16"/>
          <w:color w:val="auto"/>
        </w:rPr>
        <w:t>- ----------------</w:t>
      </w:r>
    </w:p>
    <w:p>
      <w:pPr>
        <w:ind w:left="5"/>
        <w:spacing w:after="0" w:line="237" w:lineRule="auto"/>
        <w:rPr>
          <w:sz w:val="20"/>
          <w:szCs w:val="20"/>
          <w:color w:val="auto"/>
        </w:rPr>
      </w:pPr>
      <w:r>
        <w:rPr>
          <w:rFonts w:ascii="Courier New" w:cs="Courier New" w:eastAsia="Courier New" w:hAnsi="Courier New"/>
          <w:sz w:val="16"/>
          <w:szCs w:val="16"/>
          <w:color w:val="auto"/>
        </w:rPr>
        <w:t>SUBMISSION OF MATTERS TO A VOTE OF SECURITY-HOLDERS</w:t>
      </w:r>
    </w:p>
    <w:p>
      <w:pPr>
        <w:spacing w:after="0" w:line="183" w:lineRule="exact"/>
        <w:rPr>
          <w:sz w:val="20"/>
          <w:szCs w:val="20"/>
          <w:color w:val="auto"/>
        </w:rPr>
      </w:pPr>
    </w:p>
    <w:p>
      <w:pPr>
        <w:ind w:left="465" w:right="3619" w:hanging="465"/>
        <w:spacing w:after="0" w:line="234" w:lineRule="auto"/>
        <w:tabs>
          <w:tab w:leader="none" w:pos="4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6, 1997 the 1997 Annual Meeting of Stockholders was held in Providence, Rhode Island.</w:t>
      </w:r>
    </w:p>
    <w:p>
      <w:pPr>
        <w:spacing w:after="0" w:line="177"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2" w:lineRule="exact"/>
        <w:rPr>
          <w:rFonts w:ascii="Courier New" w:cs="Courier New" w:eastAsia="Courier New" w:hAnsi="Courier New"/>
          <w:sz w:val="16"/>
          <w:szCs w:val="16"/>
          <w:color w:val="auto"/>
        </w:rPr>
      </w:pPr>
    </w:p>
    <w:p>
      <w:pPr>
        <w:ind w:left="465" w:right="2779" w:hanging="465"/>
        <w:spacing w:after="0" w:line="235" w:lineRule="auto"/>
        <w:tabs>
          <w:tab w:leader="none" w:pos="4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brief description of each matter voted upon at the meeting and a breakdown of the votes cast for, against or withheld, as well as the number of abstentions voted for each proposal.</w:t>
      </w:r>
    </w:p>
    <w:p>
      <w:pPr>
        <w:spacing w:after="0" w:line="183" w:lineRule="exact"/>
        <w:rPr>
          <w:sz w:val="20"/>
          <w:szCs w:val="20"/>
          <w:color w:val="auto"/>
        </w:rPr>
      </w:pPr>
    </w:p>
    <w:p>
      <w:pPr>
        <w:ind w:left="465" w:right="3059" w:firstLine="1"/>
        <w:spacing w:after="0" w:line="234" w:lineRule="auto"/>
        <w:tabs>
          <w:tab w:leader="none" w:pos="7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elect the following nominees as Directors of the Company: Patrick Aebischer, Peter Simon, Richard Ramsden</w:t>
      </w:r>
    </w:p>
    <w:p>
      <w:pPr>
        <w:spacing w:after="0" w:line="177" w:lineRule="exact"/>
        <w:rPr>
          <w:sz w:val="20"/>
          <w:szCs w:val="20"/>
          <w:color w:val="auto"/>
        </w:rPr>
      </w:pPr>
    </w:p>
    <w:tbl>
      <w:tblPr>
        <w:tblLayout w:type="fixed"/>
        <w:tblInd w:w="1405" w:type="dxa"/>
        <w:tblCellMar>
          <w:top w:w="0" w:type="dxa"/>
          <w:left w:w="0" w:type="dxa"/>
          <w:bottom w:w="0" w:type="dxa"/>
          <w:right w:w="0" w:type="dxa"/>
        </w:tblCellMar>
      </w:tblPr>
      <w:tr>
        <w:trPr>
          <w:trHeight w:val="181"/>
        </w:trPr>
        <w:tc>
          <w:tcPr>
            <w:tcW w:w="2080" w:type="dxa"/>
            <w:vAlign w:val="bottom"/>
          </w:tcPr>
          <w:p>
            <w:pPr>
              <w:spacing w:after="0"/>
              <w:rPr>
                <w:sz w:val="20"/>
                <w:szCs w:val="20"/>
                <w:color w:val="auto"/>
              </w:rPr>
            </w:pPr>
            <w:r>
              <w:rPr>
                <w:rFonts w:ascii="Courier New" w:cs="Courier New" w:eastAsia="Courier New" w:hAnsi="Courier New"/>
                <w:sz w:val="16"/>
                <w:szCs w:val="16"/>
                <w:color w:val="auto"/>
              </w:rPr>
              <w:t>Dr. Aebischer -</w:t>
            </w:r>
          </w:p>
        </w:tc>
        <w:tc>
          <w:tcPr>
            <w:tcW w:w="1680" w:type="dxa"/>
            <w:vAlign w:val="bottom"/>
            <w:gridSpan w:val="2"/>
          </w:tcPr>
          <w:p>
            <w:pPr>
              <w:ind w:left="700"/>
              <w:spacing w:after="0"/>
              <w:rPr>
                <w:sz w:val="20"/>
                <w:szCs w:val="20"/>
                <w:color w:val="auto"/>
              </w:rPr>
            </w:pPr>
            <w:r>
              <w:rPr>
                <w:rFonts w:ascii="Courier New" w:cs="Courier New" w:eastAsia="Courier New" w:hAnsi="Courier New"/>
                <w:sz w:val="16"/>
                <w:szCs w:val="16"/>
                <w:color w:val="auto"/>
                <w:w w:val="99"/>
              </w:rPr>
              <w:t>13,247,349</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w w:val="95"/>
              </w:rPr>
              <w:t>votes in favor</w:t>
            </w:r>
          </w:p>
        </w:tc>
      </w:tr>
      <w:tr>
        <w:trPr>
          <w:trHeight w:val="179"/>
        </w:trPr>
        <w:tc>
          <w:tcPr>
            <w:tcW w:w="2080" w:type="dxa"/>
            <w:vAlign w:val="bottom"/>
          </w:tcPr>
          <w:p>
            <w:pPr>
              <w:spacing w:after="0"/>
              <w:rPr>
                <w:sz w:val="15"/>
                <w:szCs w:val="15"/>
                <w:color w:val="auto"/>
              </w:rPr>
            </w:pPr>
          </w:p>
        </w:tc>
        <w:tc>
          <w:tcPr>
            <w:tcW w:w="13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17,966</w:t>
            </w:r>
          </w:p>
        </w:tc>
        <w:tc>
          <w:tcPr>
            <w:tcW w:w="17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votes withheld</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Mr. Simon -</w:t>
            </w:r>
          </w:p>
        </w:tc>
        <w:tc>
          <w:tcPr>
            <w:tcW w:w="1680" w:type="dxa"/>
            <w:vAlign w:val="bottom"/>
            <w:gridSpan w:val="2"/>
          </w:tcPr>
          <w:p>
            <w:pPr>
              <w:ind w:left="700"/>
              <w:spacing w:after="0" w:line="179" w:lineRule="exact"/>
              <w:rPr>
                <w:sz w:val="20"/>
                <w:szCs w:val="20"/>
                <w:color w:val="auto"/>
              </w:rPr>
            </w:pPr>
            <w:r>
              <w:rPr>
                <w:rFonts w:ascii="Courier New" w:cs="Courier New" w:eastAsia="Courier New" w:hAnsi="Courier New"/>
                <w:sz w:val="16"/>
                <w:szCs w:val="16"/>
                <w:color w:val="auto"/>
                <w:w w:val="99"/>
              </w:rPr>
              <w:t>13,247,468</w:t>
            </w:r>
          </w:p>
        </w:tc>
        <w:tc>
          <w:tcPr>
            <w:tcW w:w="1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votes in favor</w:t>
            </w:r>
          </w:p>
        </w:tc>
      </w:tr>
      <w:tr>
        <w:trPr>
          <w:trHeight w:val="179"/>
        </w:trPr>
        <w:tc>
          <w:tcPr>
            <w:tcW w:w="2080" w:type="dxa"/>
            <w:vAlign w:val="bottom"/>
          </w:tcPr>
          <w:p>
            <w:pPr>
              <w:spacing w:after="0"/>
              <w:rPr>
                <w:sz w:val="15"/>
                <w:szCs w:val="15"/>
                <w:color w:val="auto"/>
              </w:rPr>
            </w:pPr>
          </w:p>
        </w:tc>
        <w:tc>
          <w:tcPr>
            <w:tcW w:w="13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17,847</w:t>
            </w:r>
          </w:p>
        </w:tc>
        <w:tc>
          <w:tcPr>
            <w:tcW w:w="17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votes withheld</w:t>
            </w:r>
          </w:p>
        </w:tc>
      </w:t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rPr>
              <w:t>Mr. Ramsden -</w:t>
            </w:r>
          </w:p>
        </w:tc>
        <w:tc>
          <w:tcPr>
            <w:tcW w:w="1680" w:type="dxa"/>
            <w:vAlign w:val="bottom"/>
            <w:gridSpan w:val="2"/>
          </w:tcPr>
          <w:p>
            <w:pPr>
              <w:ind w:left="700"/>
              <w:spacing w:after="0" w:line="179" w:lineRule="exact"/>
              <w:rPr>
                <w:sz w:val="20"/>
                <w:szCs w:val="20"/>
                <w:color w:val="auto"/>
              </w:rPr>
            </w:pPr>
            <w:r>
              <w:rPr>
                <w:rFonts w:ascii="Courier New" w:cs="Courier New" w:eastAsia="Courier New" w:hAnsi="Courier New"/>
                <w:sz w:val="16"/>
                <w:szCs w:val="16"/>
                <w:color w:val="auto"/>
                <w:w w:val="99"/>
              </w:rPr>
              <w:t>13,247,468</w:t>
            </w:r>
          </w:p>
        </w:tc>
        <w:tc>
          <w:tcPr>
            <w:tcW w:w="1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votes in favor</w:t>
            </w:r>
          </w:p>
        </w:tc>
      </w:tr>
      <w:tr>
        <w:trPr>
          <w:trHeight w:val="179"/>
        </w:trPr>
        <w:tc>
          <w:tcPr>
            <w:tcW w:w="2080" w:type="dxa"/>
            <w:vAlign w:val="bottom"/>
          </w:tcPr>
          <w:p>
            <w:pPr>
              <w:spacing w:after="0"/>
              <w:rPr>
                <w:sz w:val="15"/>
                <w:szCs w:val="15"/>
                <w:color w:val="auto"/>
              </w:rPr>
            </w:pPr>
          </w:p>
        </w:tc>
        <w:tc>
          <w:tcPr>
            <w:tcW w:w="13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16,847</w:t>
            </w:r>
          </w:p>
        </w:tc>
        <w:tc>
          <w:tcPr>
            <w:tcW w:w="17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votes withheld</w:t>
            </w:r>
          </w:p>
        </w:tc>
      </w:tr>
    </w:tbl>
    <w:p>
      <w:pPr>
        <w:spacing w:after="0" w:line="183" w:lineRule="exact"/>
        <w:rPr>
          <w:sz w:val="20"/>
          <w:szCs w:val="20"/>
          <w:color w:val="auto"/>
        </w:rPr>
      </w:pPr>
    </w:p>
    <w:p>
      <w:pPr>
        <w:ind w:left="5" w:right="3059" w:firstLine="461"/>
        <w:spacing w:after="0" w:line="295" w:lineRule="auto"/>
        <w:tabs>
          <w:tab w:leader="none" w:pos="7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increase by 100,000 the number of shares of Common Stock available for issuance under the Company's 1992 Employee Stock Purchase Plan.</w:t>
      </w:r>
    </w:p>
    <w:p>
      <w:pPr>
        <w:spacing w:after="0" w:line="141"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12,706,879 votes in favor</w:t>
      </w:r>
    </w:p>
    <w:p>
      <w:pPr>
        <w:ind w:left="3065"/>
        <w:spacing w:after="0" w:line="236" w:lineRule="auto"/>
        <w:rPr>
          <w:sz w:val="20"/>
          <w:szCs w:val="20"/>
          <w:color w:val="auto"/>
        </w:rPr>
      </w:pPr>
      <w:r>
        <w:rPr>
          <w:rFonts w:ascii="Courier New" w:cs="Courier New" w:eastAsia="Courier New" w:hAnsi="Courier New"/>
          <w:sz w:val="16"/>
          <w:szCs w:val="16"/>
          <w:color w:val="auto"/>
        </w:rPr>
        <w:t>74,487 votes against</w:t>
      </w:r>
    </w:p>
    <w:p>
      <w:pPr>
        <w:ind w:left="3065"/>
        <w:spacing w:after="0" w:line="237" w:lineRule="auto"/>
        <w:rPr>
          <w:sz w:val="20"/>
          <w:szCs w:val="20"/>
          <w:color w:val="auto"/>
        </w:rPr>
      </w:pPr>
      <w:r>
        <w:rPr>
          <w:rFonts w:ascii="Courier New" w:cs="Courier New" w:eastAsia="Courier New" w:hAnsi="Courier New"/>
          <w:sz w:val="16"/>
          <w:szCs w:val="16"/>
          <w:color w:val="auto"/>
        </w:rPr>
        <w:t>43,980 votes abstaining</w:t>
      </w:r>
    </w:p>
    <w:p>
      <w:pPr>
        <w:ind w:left="3065"/>
        <w:spacing w:after="0" w:line="237" w:lineRule="auto"/>
        <w:rPr>
          <w:sz w:val="20"/>
          <w:szCs w:val="20"/>
          <w:color w:val="auto"/>
        </w:rPr>
      </w:pPr>
      <w:r>
        <w:rPr>
          <w:rFonts w:ascii="Courier New" w:cs="Courier New" w:eastAsia="Courier New" w:hAnsi="Courier New"/>
          <w:sz w:val="16"/>
          <w:szCs w:val="16"/>
          <w:color w:val="auto"/>
        </w:rPr>
        <w:t>439,969 votes delivered - not voted</w:t>
      </w: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PART II - ITEM 5</w:t>
      </w:r>
    </w:p>
    <w:p>
      <w:pPr>
        <w:ind w:left="185" w:hanging="185"/>
        <w:spacing w:after="0" w:line="236" w:lineRule="auto"/>
        <w:tabs>
          <w:tab w:leader="none" w:pos="1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Effective as of August 4, 1997, Sandra Nusinoff Lehrman, M.D. resigned from the Company. Dr. Lehrman had served as the President, Chief Operating Officer and a Director of the Company. E. Edward Baetge, Ph.D. Vice President, Research, has also resigned from the Company.</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PART II - ITEM 6</w:t>
      </w:r>
    </w:p>
    <w:p>
      <w:pPr>
        <w:ind w:left="5"/>
        <w:spacing w:after="0" w:line="236" w:lineRule="auto"/>
        <w:rPr>
          <w:sz w:val="20"/>
          <w:szCs w:val="20"/>
          <w:color w:val="auto"/>
        </w:rPr>
      </w:pPr>
      <w:r>
        <w:rPr>
          <w:rFonts w:ascii="Courier New" w:cs="Courier New" w:eastAsia="Courier New" w:hAnsi="Courier New"/>
          <w:sz w:val="16"/>
          <w:szCs w:val="16"/>
          <w:color w:val="auto"/>
        </w:rPr>
        <w:t>- ----------------</w:t>
      </w:r>
    </w:p>
    <w:p>
      <w:pPr>
        <w:ind w:left="5"/>
        <w:spacing w:after="0" w:line="237" w:lineRule="auto"/>
        <w:rPr>
          <w:sz w:val="20"/>
          <w:szCs w:val="20"/>
          <w:color w:val="auto"/>
        </w:rPr>
      </w:pPr>
      <w:r>
        <w:rPr>
          <w:rFonts w:ascii="Courier New" w:cs="Courier New" w:eastAsia="Courier New" w:hAnsi="Courier New"/>
          <w:sz w:val="16"/>
          <w:szCs w:val="16"/>
          <w:color w:val="auto"/>
        </w:rPr>
        <w:t>EXHIBITS AND REPORTS ON FORM 8-K</w:t>
      </w:r>
    </w:p>
    <w:p>
      <w:pPr>
        <w:spacing w:after="0" w:line="177" w:lineRule="exact"/>
        <w:rPr>
          <w:sz w:val="20"/>
          <w:szCs w:val="20"/>
          <w:color w:val="auto"/>
        </w:rPr>
      </w:pPr>
    </w:p>
    <w:p>
      <w:pPr>
        <w:ind w:left="465" w:hanging="465"/>
        <w:spacing w:after="0"/>
        <w:tabs>
          <w:tab w:leader="none" w:pos="4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99 - Cautionary Factors Relevant to Forward-Looking-Information.</w:t>
      </w:r>
    </w:p>
    <w:p>
      <w:pPr>
        <w:spacing w:after="0" w:line="355"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Page 15 of 17</w:t>
      </w:r>
    </w:p>
    <w:p>
      <w:pPr>
        <w:sectPr>
          <w:pgSz w:w="11900" w:h="16838" w:orient="portrait"/>
          <w:cols w:equalWidth="0" w:num="1">
            <w:col w:w="10224"/>
          </w:cols>
          <w:pgMar w:left="235" w:top="291" w:right="1440" w:bottom="1440" w:gutter="0" w:footer="0" w:header="0"/>
        </w:sectPr>
      </w:pPr>
    </w:p>
    <w:bookmarkStart w:id="15" w:name="page16"/>
    <w:bookmarkEnd w:id="15"/>
    <w:p>
      <w:pPr>
        <w:ind w:left="285"/>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465" w:right="7999" w:hanging="465"/>
        <w:spacing w:after="0" w:line="465" w:lineRule="auto"/>
        <w:tabs>
          <w:tab w:leader="none" w:pos="4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186"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6"/>
          <w:szCs w:val="16"/>
          <w:color w:val="auto"/>
        </w:rPr>
        <w:t>Page 16 of 17</w:t>
      </w:r>
    </w:p>
    <w:p>
      <w:pPr>
        <w:sectPr>
          <w:pgSz w:w="11900" w:h="16838" w:orient="portrait"/>
          <w:cols w:equalWidth="0" w:num="1">
            <w:col w:w="10224"/>
          </w:cols>
          <w:pgMar w:left="235" w:top="29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460" w:right="305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CYTOTHERAPEUTICS, INC.</w:t>
      </w:r>
    </w:p>
    <w:p>
      <w:pPr>
        <w:ind w:left="3260"/>
        <w:spacing w:after="0" w:line="236" w:lineRule="auto"/>
        <w:rPr>
          <w:sz w:val="20"/>
          <w:szCs w:val="20"/>
          <w:color w:val="auto"/>
        </w:rPr>
      </w:pPr>
      <w:r>
        <w:rPr>
          <w:rFonts w:ascii="Courier New" w:cs="Courier New" w:eastAsia="Courier New" w:hAnsi="Courier New"/>
          <w:sz w:val="16"/>
          <w:szCs w:val="16"/>
          <w:color w:val="auto"/>
        </w:rPr>
        <w:t>(Name of Registrant)</w:t>
      </w:r>
    </w:p>
    <w:p>
      <w:pPr>
        <w:sectPr>
          <w:pgSz w:w="11900" w:h="16838" w:orient="portrait"/>
          <w:cols w:equalWidth="0" w:num="1">
            <w:col w:w="10219"/>
          </w:cols>
          <w:pgMar w:left="240" w:top="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14,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S. McBride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 and</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accounting officer)</w:t>
      </w:r>
    </w:p>
    <w:p>
      <w:pPr>
        <w:spacing w:after="0" w:line="200" w:lineRule="exact"/>
        <w:rPr>
          <w:sz w:val="20"/>
          <w:szCs w:val="20"/>
          <w:color w:val="auto"/>
        </w:rPr>
      </w:pPr>
    </w:p>
    <w:p>
      <w:pPr>
        <w:sectPr>
          <w:pgSz w:w="11900" w:h="16838" w:orient="portrait"/>
          <w:cols w:equalWidth="0" w:num="2">
            <w:col w:w="2540" w:space="720"/>
            <w:col w:w="6959"/>
          </w:cols>
          <w:pgMar w:left="240" w:top="290" w:right="1440"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Page 17 of 17</w:t>
      </w:r>
    </w:p>
    <w:p>
      <w:pPr>
        <w:sectPr>
          <w:pgSz w:w="11900" w:h="16838" w:orient="portrait"/>
          <w:cols w:equalWidth="0" w:num="1">
            <w:col w:w="10219"/>
          </w:cols>
          <w:pgMar w:left="240" w:top="290"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6-MOS</w:t>
      </w:r>
    </w:p>
    <w:p>
      <w:pPr>
        <w:ind w:left="2420"/>
        <w:spacing w:after="0" w:line="236" w:lineRule="auto"/>
        <w:rPr>
          <w:sz w:val="20"/>
          <w:szCs w:val="20"/>
          <w:color w:val="auto"/>
        </w:rPr>
      </w:pPr>
      <w:r>
        <w:rPr>
          <w:rFonts w:ascii="Courier New" w:cs="Courier New" w:eastAsia="Courier New" w:hAnsi="Courier New"/>
          <w:sz w:val="16"/>
          <w:szCs w:val="16"/>
          <w:color w:val="auto"/>
        </w:rPr>
        <w:t>DEC-31-1997</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JUN-30-1997</w:t>
      </w:r>
    </w:p>
    <w:p>
      <w:pPr>
        <w:ind w:left="3540"/>
        <w:spacing w:after="0" w:line="236" w:lineRule="auto"/>
        <w:rPr>
          <w:sz w:val="20"/>
          <w:szCs w:val="20"/>
          <w:color w:val="auto"/>
        </w:rPr>
      </w:pPr>
      <w:r>
        <w:rPr>
          <w:rFonts w:ascii="Courier New" w:cs="Courier New" w:eastAsia="Courier New" w:hAnsi="Courier New"/>
          <w:sz w:val="16"/>
          <w:szCs w:val="16"/>
          <w:color w:val="auto"/>
        </w:rPr>
        <w:t>12,434,980</w:t>
      </w:r>
    </w:p>
    <w:p>
      <w:pPr>
        <w:ind w:left="2980"/>
        <w:spacing w:after="0" w:line="237" w:lineRule="auto"/>
        <w:rPr>
          <w:sz w:val="20"/>
          <w:szCs w:val="20"/>
          <w:color w:val="auto"/>
        </w:rPr>
      </w:pPr>
      <w:r>
        <w:rPr>
          <w:rFonts w:ascii="Courier New" w:cs="Courier New" w:eastAsia="Courier New" w:hAnsi="Courier New"/>
          <w:sz w:val="16"/>
          <w:szCs w:val="16"/>
          <w:color w:val="auto"/>
        </w:rPr>
        <w:t>18,821,289</w:t>
      </w:r>
    </w:p>
    <w:p>
      <w:pPr>
        <w:ind w:left="3720"/>
        <w:spacing w:after="0" w:line="237" w:lineRule="auto"/>
        <w:rPr>
          <w:sz w:val="20"/>
          <w:szCs w:val="20"/>
          <w:color w:val="auto"/>
        </w:rPr>
      </w:pPr>
      <w:r>
        <w:rPr>
          <w:rFonts w:ascii="Courier New" w:cs="Courier New" w:eastAsia="Courier New" w:hAnsi="Courier New"/>
          <w:sz w:val="16"/>
          <w:szCs w:val="16"/>
          <w:color w:val="auto"/>
        </w:rPr>
        <w:t>0</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2600"/>
        <w:spacing w:after="0" w:line="237" w:lineRule="auto"/>
        <w:rPr>
          <w:sz w:val="20"/>
          <w:szCs w:val="20"/>
          <w:color w:val="auto"/>
        </w:rPr>
      </w:pPr>
      <w:r>
        <w:rPr>
          <w:rFonts w:ascii="Courier New" w:cs="Courier New" w:eastAsia="Courier New" w:hAnsi="Courier New"/>
          <w:sz w:val="16"/>
          <w:szCs w:val="16"/>
          <w:color w:val="auto"/>
        </w:rPr>
        <w:t>32,586,849</w:t>
      </w:r>
    </w:p>
    <w:p>
      <w:pPr>
        <w:ind w:left="3540"/>
        <w:spacing w:after="0" w:line="237" w:lineRule="auto"/>
        <w:rPr>
          <w:sz w:val="20"/>
          <w:szCs w:val="20"/>
          <w:color w:val="auto"/>
        </w:rPr>
      </w:pPr>
      <w:r>
        <w:rPr>
          <w:rFonts w:ascii="Courier New" w:cs="Courier New" w:eastAsia="Courier New" w:hAnsi="Courier New"/>
          <w:sz w:val="16"/>
          <w:szCs w:val="16"/>
          <w:color w:val="auto"/>
        </w:rPr>
        <w:t>22,170,181</w:t>
      </w:r>
    </w:p>
    <w:p>
      <w:pPr>
        <w:ind w:left="2880"/>
        <w:spacing w:after="0" w:line="237" w:lineRule="auto"/>
        <w:rPr>
          <w:sz w:val="20"/>
          <w:szCs w:val="20"/>
          <w:color w:val="auto"/>
        </w:rPr>
      </w:pPr>
      <w:r>
        <w:rPr>
          <w:rFonts w:ascii="Courier New" w:cs="Courier New" w:eastAsia="Courier New" w:hAnsi="Courier New"/>
          <w:sz w:val="16"/>
          <w:szCs w:val="16"/>
          <w:color w:val="auto"/>
        </w:rPr>
        <w:t>7,841,179</w:t>
      </w:r>
    </w:p>
    <w:p>
      <w:pPr>
        <w:ind w:left="2780"/>
        <w:spacing w:after="0" w:line="236" w:lineRule="auto"/>
        <w:rPr>
          <w:sz w:val="20"/>
          <w:szCs w:val="20"/>
          <w:color w:val="auto"/>
        </w:rPr>
      </w:pPr>
      <w:r>
        <w:rPr>
          <w:rFonts w:ascii="Courier New" w:cs="Courier New" w:eastAsia="Courier New" w:hAnsi="Courier New"/>
          <w:sz w:val="16"/>
          <w:szCs w:val="16"/>
          <w:color w:val="auto"/>
        </w:rPr>
        <w:t>51,301,716</w:t>
      </w:r>
    </w:p>
    <w:p>
      <w:pPr>
        <w:ind w:left="2220"/>
        <w:spacing w:after="0" w:line="237" w:lineRule="auto"/>
        <w:rPr>
          <w:sz w:val="20"/>
          <w:szCs w:val="20"/>
          <w:color w:val="auto"/>
        </w:rPr>
      </w:pPr>
      <w:r>
        <w:rPr>
          <w:rFonts w:ascii="Courier New" w:cs="Courier New" w:eastAsia="Courier New" w:hAnsi="Courier New"/>
          <w:sz w:val="16"/>
          <w:szCs w:val="16"/>
          <w:color w:val="auto"/>
        </w:rPr>
        <w:t>5,312,737</w:t>
      </w:r>
    </w:p>
    <w:p>
      <w:pPr>
        <w:ind w:left="3540"/>
        <w:spacing w:after="0" w:line="237" w:lineRule="auto"/>
        <w:rPr>
          <w:sz w:val="20"/>
          <w:szCs w:val="20"/>
          <w:color w:val="auto"/>
        </w:rPr>
      </w:pPr>
      <w:r>
        <w:rPr>
          <w:rFonts w:ascii="Courier New" w:cs="Courier New" w:eastAsia="Courier New" w:hAnsi="Courier New"/>
          <w:sz w:val="16"/>
          <w:szCs w:val="16"/>
          <w:color w:val="auto"/>
        </w:rPr>
        <w:t>7,631,342</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7" w:lineRule="auto"/>
        <w:rPr>
          <w:sz w:val="20"/>
          <w:szCs w:val="20"/>
          <w:color w:val="auto"/>
        </w:rPr>
      </w:pPr>
      <w:r>
        <w:rPr>
          <w:rFonts w:ascii="Courier New" w:cs="Courier New" w:eastAsia="Courier New" w:hAnsi="Courier New"/>
          <w:sz w:val="16"/>
          <w:szCs w:val="16"/>
          <w:color w:val="auto"/>
        </w:rPr>
        <w:t>158,401</w:t>
      </w:r>
    </w:p>
    <w:p>
      <w:pPr>
        <w:ind w:left="3160"/>
        <w:spacing w:after="0" w:line="237" w:lineRule="auto"/>
        <w:rPr>
          <w:sz w:val="20"/>
          <w:szCs w:val="20"/>
          <w:color w:val="auto"/>
        </w:rPr>
      </w:pPr>
      <w:r>
        <w:rPr>
          <w:rFonts w:ascii="Courier New" w:cs="Courier New" w:eastAsia="Courier New" w:hAnsi="Courier New"/>
          <w:sz w:val="16"/>
          <w:szCs w:val="16"/>
          <w:color w:val="auto"/>
        </w:rPr>
        <w:t>31,531,555</w:t>
      </w:r>
    </w:p>
    <w:p>
      <w:pPr>
        <w:ind w:left="1480"/>
        <w:spacing w:after="0" w:line="237" w:lineRule="auto"/>
        <w:rPr>
          <w:sz w:val="20"/>
          <w:szCs w:val="20"/>
          <w:color w:val="auto"/>
        </w:rPr>
      </w:pPr>
      <w:r>
        <w:rPr>
          <w:rFonts w:ascii="Courier New" w:cs="Courier New" w:eastAsia="Courier New" w:hAnsi="Courier New"/>
          <w:sz w:val="16"/>
          <w:szCs w:val="16"/>
          <w:color w:val="auto"/>
        </w:rPr>
        <w:t>51,301,716</w:t>
      </w:r>
    </w:p>
    <w:p>
      <w:pPr>
        <w:ind w:left="4280"/>
        <w:spacing w:after="0" w:line="236" w:lineRule="auto"/>
        <w:rPr>
          <w:sz w:val="20"/>
          <w:szCs w:val="20"/>
          <w:color w:val="auto"/>
        </w:rPr>
      </w:pPr>
      <w:r>
        <w:rPr>
          <w:rFonts w:ascii="Courier New" w:cs="Courier New" w:eastAsia="Courier New" w:hAnsi="Courier New"/>
          <w:sz w:val="16"/>
          <w:szCs w:val="16"/>
          <w:color w:val="auto"/>
        </w:rPr>
        <w:t>0</w:t>
      </w:r>
    </w:p>
    <w:p>
      <w:pPr>
        <w:ind w:left="2700"/>
        <w:spacing w:after="0" w:line="237" w:lineRule="auto"/>
        <w:rPr>
          <w:sz w:val="20"/>
          <w:szCs w:val="20"/>
          <w:color w:val="auto"/>
        </w:rPr>
      </w:pPr>
      <w:r>
        <w:rPr>
          <w:rFonts w:ascii="Courier New" w:cs="Courier New" w:eastAsia="Courier New" w:hAnsi="Courier New"/>
          <w:sz w:val="16"/>
          <w:szCs w:val="16"/>
          <w:color w:val="auto"/>
        </w:rPr>
        <w:t>6,941,486</w:t>
      </w:r>
    </w:p>
    <w:p>
      <w:pPr>
        <w:jc w:val="right"/>
        <w:ind w:right="5659"/>
        <w:spacing w:after="0" w:line="237" w:lineRule="auto"/>
        <w:rPr>
          <w:sz w:val="20"/>
          <w:szCs w:val="20"/>
          <w:color w:val="auto"/>
        </w:rPr>
      </w:pPr>
      <w:r>
        <w:rPr>
          <w:rFonts w:ascii="Courier New" w:cs="Courier New" w:eastAsia="Courier New" w:hAnsi="Courier New"/>
          <w:sz w:val="16"/>
          <w:szCs w:val="16"/>
          <w:color w:val="auto"/>
        </w:rPr>
        <w:t>0</w:t>
      </w:r>
    </w:p>
    <w:p>
      <w:pPr>
        <w:ind w:left="3720"/>
        <w:spacing w:after="0" w:line="237" w:lineRule="auto"/>
        <w:rPr>
          <w:sz w:val="20"/>
          <w:szCs w:val="20"/>
          <w:color w:val="auto"/>
        </w:rPr>
      </w:pPr>
      <w:r>
        <w:rPr>
          <w:rFonts w:ascii="Courier New" w:cs="Courier New" w:eastAsia="Courier New" w:hAnsi="Courier New"/>
          <w:sz w:val="16"/>
          <w:szCs w:val="16"/>
          <w:color w:val="auto"/>
        </w:rPr>
        <w:t>0</w:t>
      </w:r>
    </w:p>
    <w:p>
      <w:pPr>
        <w:jc w:val="right"/>
        <w:ind w:right="6679"/>
        <w:spacing w:after="0" w:line="237" w:lineRule="auto"/>
        <w:rPr>
          <w:sz w:val="20"/>
          <w:szCs w:val="20"/>
          <w:color w:val="auto"/>
        </w:rPr>
      </w:pPr>
      <w:r>
        <w:rPr>
          <w:rFonts w:ascii="Courier New" w:cs="Courier New" w:eastAsia="Courier New" w:hAnsi="Courier New"/>
          <w:sz w:val="16"/>
          <w:szCs w:val="16"/>
          <w:color w:val="auto"/>
        </w:rPr>
        <w:t>12,580,574</w:t>
      </w:r>
    </w:p>
    <w:p>
      <w:pPr>
        <w:jc w:val="right"/>
        <w:ind w:right="6679"/>
        <w:spacing w:after="0" w:line="237" w:lineRule="auto"/>
        <w:rPr>
          <w:sz w:val="20"/>
          <w:szCs w:val="20"/>
          <w:color w:val="auto"/>
        </w:rPr>
      </w:pPr>
      <w:r>
        <w:rPr>
          <w:rFonts w:ascii="Courier New" w:cs="Courier New" w:eastAsia="Courier New" w:hAnsi="Courier New"/>
          <w:sz w:val="16"/>
          <w:szCs w:val="16"/>
          <w:color w:val="auto"/>
        </w:rPr>
        <w:t>0</w:t>
      </w:r>
    </w:p>
    <w:p>
      <w:pPr>
        <w:ind w:left="2700"/>
        <w:spacing w:after="0" w:line="237" w:lineRule="auto"/>
        <w:rPr>
          <w:sz w:val="20"/>
          <w:szCs w:val="20"/>
          <w:color w:val="auto"/>
        </w:rPr>
      </w:pPr>
      <w:r>
        <w:rPr>
          <w:rFonts w:ascii="Courier New" w:cs="Courier New" w:eastAsia="Courier New" w:hAnsi="Courier New"/>
          <w:sz w:val="16"/>
          <w:szCs w:val="16"/>
          <w:color w:val="auto"/>
        </w:rPr>
        <w:t>246,094</w:t>
      </w:r>
    </w:p>
    <w:p>
      <w:pPr>
        <w:ind w:left="2700"/>
        <w:spacing w:after="0" w:line="237" w:lineRule="auto"/>
        <w:rPr>
          <w:sz w:val="20"/>
          <w:szCs w:val="20"/>
          <w:color w:val="auto"/>
        </w:rPr>
      </w:pPr>
      <w:r>
        <w:rPr>
          <w:rFonts w:ascii="Courier New" w:cs="Courier New" w:eastAsia="Courier New" w:hAnsi="Courier New"/>
          <w:sz w:val="16"/>
          <w:szCs w:val="16"/>
          <w:color w:val="auto"/>
        </w:rPr>
        <w:t>(4,879,563)</w:t>
      </w:r>
    </w:p>
    <w:p>
      <w:pPr>
        <w:ind w:left="3800"/>
        <w:spacing w:after="0" w:line="236" w:lineRule="auto"/>
        <w:rPr>
          <w:sz w:val="20"/>
          <w:szCs w:val="20"/>
          <w:color w:val="auto"/>
        </w:rPr>
      </w:pPr>
      <w:r>
        <w:rPr>
          <w:rFonts w:ascii="Courier New" w:cs="Courier New" w:eastAsia="Courier New" w:hAnsi="Courier New"/>
          <w:sz w:val="16"/>
          <w:szCs w:val="16"/>
          <w:color w:val="auto"/>
        </w:rPr>
        <w:t>0</w:t>
      </w:r>
    </w:p>
    <w:p>
      <w:pPr>
        <w:ind w:left="2320"/>
        <w:spacing w:after="0" w:line="237" w:lineRule="auto"/>
        <w:rPr>
          <w:sz w:val="20"/>
          <w:szCs w:val="20"/>
          <w:color w:val="auto"/>
        </w:rPr>
      </w:pPr>
      <w:r>
        <w:rPr>
          <w:rFonts w:ascii="Courier New" w:cs="Courier New" w:eastAsia="Courier New" w:hAnsi="Courier New"/>
          <w:sz w:val="16"/>
          <w:szCs w:val="16"/>
          <w:color w:val="auto"/>
        </w:rPr>
        <w:t>(4,879,563)</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(4,879,563)</w:t>
      </w:r>
    </w:p>
    <w:p>
      <w:pPr>
        <w:ind w:left="3440"/>
        <w:spacing w:after="0" w:line="237" w:lineRule="auto"/>
        <w:rPr>
          <w:sz w:val="20"/>
          <w:szCs w:val="20"/>
          <w:color w:val="auto"/>
        </w:rPr>
      </w:pPr>
      <w:r>
        <w:rPr>
          <w:rFonts w:ascii="Courier New" w:cs="Courier New" w:eastAsia="Courier New" w:hAnsi="Courier New"/>
          <w:sz w:val="16"/>
          <w:szCs w:val="16"/>
          <w:color w:val="auto"/>
        </w:rPr>
        <w:t>(.30)</w:t>
      </w:r>
    </w:p>
    <w:p>
      <w:pPr>
        <w:ind w:left="3440"/>
        <w:spacing w:after="0" w:line="237" w:lineRule="auto"/>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142"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99</w:t>
      </w:r>
    </w:p>
    <w:p>
      <w:pPr>
        <w:spacing w:after="0" w:line="35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CAUTIONARY FACTORS RELEVANT TO FORWARD-LOOKING INFORMATION</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by the Company on the basis of management's current expectations. The business in which the Company is engaged is rapidly changing, extremely competitive and involves a high degree of risk, and accuracy with respect to forward-looking projections is difficult. Cross-references in this Exhibit refer to the sections of the Company's Annual Report on Form 10-K.</w:t>
      </w:r>
    </w:p>
    <w:p>
      <w:pPr>
        <w:spacing w:after="0" w:line="34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91" w:lineRule="exact"/>
        <w:rPr>
          <w:sz w:val="20"/>
          <w:szCs w:val="20"/>
          <w:color w:val="auto"/>
        </w:rPr>
      </w:pPr>
    </w:p>
    <w:p>
      <w:pPr>
        <w:ind w:right="2879"/>
        <w:spacing w:after="0" w:line="272" w:lineRule="auto"/>
        <w:rPr>
          <w:sz w:val="20"/>
          <w:szCs w:val="20"/>
          <w:color w:val="auto"/>
        </w:rPr>
      </w:pPr>
      <w:r>
        <w:rPr>
          <w:rFonts w:ascii="Courier New" w:cs="Courier New" w:eastAsia="Courier New" w:hAnsi="Courier New"/>
          <w:sz w:val="14"/>
          <w:szCs w:val="14"/>
          <w:color w:val="auto"/>
        </w:rPr>
        <w:t>UNCERTAINTIES OF CLINICAL DEVELOPMENT AND NEW MODE OF THERAPY -- None of the Company's proposed products has been approved for commercial sale or entered Phase II or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may be precluded from development by new regulations, be adversely affected by government price controls or limitations on reimbursement, be precluded from commercialization by proprietary rights of third parties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 through the membrane into the patient in controlled doses for extended periods; and (v) are sufficiently durable for the intended indication.</w:t>
      </w:r>
    </w:p>
    <w:p>
      <w:pPr>
        <w:spacing w:after="0" w:line="34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time-consuming approval requirements for the Company's products, in the dilution of FDA resources available to review the Company's products or in other unpredictable consequences. See "Government Regulation."</w:t>
      </w:r>
    </w:p>
    <w:p>
      <w:pPr>
        <w:spacing w:after="0" w:line="189"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There has been increasing regulatory concern about the risks of cell transplantation. Concern has focused on cells derived from cows (such as are used in the Company's pain program) and cells from primates and pigs. The United Kingdom has adopted a moratorium on xenotransplantation pending further research and discussion and the EC Commission has introduced a ban on the use of "high-risk material" from cattle and sheep in the Member States of the European Union in the manufacture of pharmaceuticals (this ban would apparently not include cells used in the Company's pain program). In addition, the FDA has recently proposed guidelines which impose significant constraints on the conduct</w:t>
      </w:r>
    </w:p>
    <w:p>
      <w:pPr>
        <w:sectPr>
          <w:pgSz w:w="11900" w:h="16838" w:orient="portrait"/>
          <w:cols w:equalWidth="0" w:num="1">
            <w:col w:w="10219"/>
          </w:cols>
          <w:pgMar w:left="240" w:top="135" w:right="1440" w:bottom="0" w:gutter="0" w:footer="0" w:header="0"/>
        </w:sectPr>
      </w:pPr>
    </w:p>
    <w:bookmarkStart w:id="19" w:name="page20"/>
    <w:bookmarkEnd w:id="19"/>
    <w:p>
      <w:pPr>
        <w:ind w:right="2779"/>
        <w:spacing w:after="0" w:line="236" w:lineRule="auto"/>
        <w:rPr>
          <w:sz w:val="20"/>
          <w:szCs w:val="20"/>
          <w:color w:val="auto"/>
        </w:rPr>
      </w:pPr>
      <w:r>
        <w:rPr>
          <w:rFonts w:ascii="Courier New" w:cs="Courier New" w:eastAsia="Courier New" w:hAnsi="Courier New"/>
          <w:sz w:val="16"/>
          <w:szCs w:val="16"/>
          <w:color w:val="auto"/>
        </w:rPr>
        <w:t>of clinical trials utilizing xenotransplantation. Furthermore, the FDA has published a "Proposed Approach to Regulation of Cellular and Tissue-Based Products" which relates to use of human cells. The Company cannot presently determine the effects of such actions nor what other actions may be taken. Restrictions on the testing or use of cells (whether nonhuman or human) as human therapeutics could materially adversely affect the Company's product development programs and the Company itself. See "Government Regulation."</w:t>
      </w:r>
    </w:p>
    <w:p>
      <w:pPr>
        <w:sectPr>
          <w:pgSz w:w="11900" w:h="16838" w:orient="portrait"/>
          <w:cols w:equalWidth="0" w:num="1">
            <w:col w:w="10219"/>
          </w:cols>
          <w:pgMar w:left="240" w:top="142" w:right="1440" w:bottom="1440" w:gutter="0" w:footer="0" w:header="0"/>
        </w:sectPr>
      </w:pPr>
    </w:p>
    <w:bookmarkStart w:id="20" w:name="page21"/>
    <w:bookmarkEnd w:id="20"/>
    <w:p>
      <w:pPr>
        <w:ind w:left="285"/>
        <w:spacing w:after="0"/>
        <w:rPr>
          <w:sz w:val="20"/>
          <w:szCs w:val="20"/>
          <w:color w:val="auto"/>
        </w:rPr>
      </w:pPr>
      <w:r>
        <w:rPr>
          <w:rFonts w:ascii="Courier New" w:cs="Courier New" w:eastAsia="Courier New" w:hAnsi="Courier New"/>
          <w:sz w:val="16"/>
          <w:szCs w:val="16"/>
          <w:color w:val="auto"/>
        </w:rPr>
        <w:t>2</w:t>
      </w:r>
    </w:p>
    <w:p>
      <w:pPr>
        <w:spacing w:after="0" w:line="362" w:lineRule="exact"/>
        <w:rPr>
          <w:sz w:val="20"/>
          <w:szCs w:val="20"/>
          <w:color w:val="auto"/>
        </w:rPr>
      </w:pPr>
    </w:p>
    <w:p>
      <w:pPr>
        <w:ind w:left="5" w:right="2879"/>
        <w:spacing w:after="0" w:line="273" w:lineRule="auto"/>
        <w:rPr>
          <w:sz w:val="20"/>
          <w:szCs w:val="20"/>
          <w:color w:val="auto"/>
        </w:rPr>
      </w:pPr>
      <w:r>
        <w:rPr>
          <w:rFonts w:ascii="Courier New" w:cs="Courier New" w:eastAsia="Courier New" w:hAnsi="Courier New"/>
          <w:sz w:val="14"/>
          <w:szCs w:val="14"/>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terminates its agreement with the Company, the development or commercialization of the Company's product candidate or research program under such collaborative agreement may be adversely affected.</w:t>
      </w:r>
    </w:p>
    <w:p>
      <w:pPr>
        <w:spacing w:after="0" w:line="343" w:lineRule="exact"/>
        <w:rPr>
          <w:sz w:val="20"/>
          <w:szCs w:val="20"/>
          <w:color w:val="auto"/>
        </w:rPr>
      </w:pPr>
    </w:p>
    <w:p>
      <w:pPr>
        <w:ind w:left="5" w:right="2779"/>
        <w:spacing w:after="0" w:line="275" w:lineRule="auto"/>
        <w:rPr>
          <w:sz w:val="20"/>
          <w:szCs w:val="20"/>
          <w:color w:val="auto"/>
        </w:rPr>
      </w:pPr>
      <w:r>
        <w:rPr>
          <w:rFonts w:ascii="Courier New" w:cs="Courier New" w:eastAsia="Courier New" w:hAnsi="Courier New"/>
          <w:sz w:val="14"/>
          <w:szCs w:val="14"/>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EXISTENCE OF THIRD-PARTY PATENTS AND PROPRIETARY RIGHTS; NEED TO OBTAIN LICENSES</w:t>
      </w:r>
    </w:p>
    <w:p>
      <w:pPr>
        <w:spacing w:after="0" w:line="20" w:lineRule="exact"/>
        <w:rPr>
          <w:sz w:val="20"/>
          <w:szCs w:val="20"/>
          <w:color w:val="auto"/>
        </w:rPr>
      </w:pPr>
    </w:p>
    <w:p>
      <w:pPr>
        <w:ind w:left="5" w:right="2779" w:hanging="5"/>
        <w:spacing w:after="0" w:line="272" w:lineRule="auto"/>
        <w:tabs>
          <w:tab w:leader="none" w:pos="19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There are pending patent applications or issued patents held by others relating to the Company's proposed products or the technology to be utilized by the Company in the development of its proposed products. If such patents or other patents are determined by the Company or a court to be valid and infringed, the Company may be required to alter its products or processes, pay licensing fees or royalties or cease certain activities. In particular, the Company is aware of one issued patent claiming certain methods for treating defective, diseased or damaged cells in the mammalian CNS by grafting genetically modified donor cells from the same mammalian species. In addition, each of the neurotrophic factors which the Company is currently investigating for use in its proposed products is the subject of one or more claims in patents or patent applications of third parties, and certain other neurotrophic factors are the subject of third-party patent applications.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w:t>
      </w:r>
    </w:p>
    <w:p>
      <w:pPr>
        <w:spacing w:after="0" w:line="200" w:lineRule="exact"/>
        <w:rPr>
          <w:sz w:val="20"/>
          <w:szCs w:val="20"/>
          <w:color w:val="auto"/>
        </w:rPr>
      </w:pPr>
    </w:p>
    <w:p>
      <w:pPr>
        <w:spacing w:after="0" w:line="321"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 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pacing w:after="0" w:line="347" w:lineRule="exact"/>
        <w:rPr>
          <w:sz w:val="20"/>
          <w:szCs w:val="20"/>
          <w:color w:val="auto"/>
        </w:rPr>
      </w:pPr>
    </w:p>
    <w:p>
      <w:pPr>
        <w:ind w:left="5" w:right="2779"/>
        <w:spacing w:after="0" w:line="274" w:lineRule="auto"/>
        <w:rPr>
          <w:sz w:val="20"/>
          <w:szCs w:val="20"/>
          <w:color w:val="auto"/>
        </w:rPr>
      </w:pPr>
      <w:r>
        <w:rPr>
          <w:rFonts w:ascii="Courier New" w:cs="Courier New" w:eastAsia="Courier New" w:hAnsi="Courier New"/>
          <w:sz w:val="14"/>
          <w:szCs w:val="14"/>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consistency or in the quantities necessary to make a commercially viable product, if at all.</w:t>
      </w:r>
    </w:p>
    <w:p>
      <w:pPr>
        <w:spacing w:after="0" w:line="200" w:lineRule="exact"/>
        <w:rPr>
          <w:sz w:val="20"/>
          <w:szCs w:val="20"/>
          <w:color w:val="auto"/>
        </w:rPr>
      </w:pPr>
    </w:p>
    <w:p>
      <w:pPr>
        <w:spacing w:after="0" w:line="319"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w:t>
      </w:r>
    </w:p>
    <w:p>
      <w:pPr>
        <w:spacing w:after="0" w:line="188" w:lineRule="exact"/>
        <w:rPr>
          <w:sz w:val="20"/>
          <w:szCs w:val="20"/>
          <w:color w:val="auto"/>
        </w:rPr>
      </w:pPr>
    </w:p>
    <w:p>
      <w:pPr>
        <w:ind w:left="5" w:right="2879"/>
        <w:spacing w:after="0" w:line="275" w:lineRule="auto"/>
        <w:rPr>
          <w:sz w:val="20"/>
          <w:szCs w:val="20"/>
          <w:color w:val="auto"/>
        </w:rPr>
      </w:pPr>
      <w:r>
        <w:rPr>
          <w:rFonts w:ascii="Courier New" w:cs="Courier New" w:eastAsia="Courier New" w:hAnsi="Courier New"/>
          <w:sz w:val="14"/>
          <w:szCs w:val="14"/>
          <w:color w:val="auto"/>
        </w:rPr>
        <w:t>DEPENDENCE ON KEY PERSONNEL -- The Company is highly dependent on the principal members of its management and scientific staff and certain of its outside consultants. Vacancies have occurred and are likely to occur from time to time amoung the Company's senior management and scientific staff. Loss of the services of any of the Company's key employees or consultants or the continued existence of such vacancies could have a material adverse effect on the</w:t>
      </w:r>
    </w:p>
    <w:p>
      <w:pPr>
        <w:sectPr>
          <w:pgSz w:w="11900" w:h="16838" w:orient="portrait"/>
          <w:cols w:equalWidth="0" w:num="1">
            <w:col w:w="10224"/>
          </w:cols>
          <w:pgMar w:left="235" w:top="291" w:right="1440" w:bottom="0" w:gutter="0" w:footer="0" w:header="0"/>
        </w:sectPr>
      </w:pPr>
    </w:p>
    <w:bookmarkStart w:id="21" w:name="page22"/>
    <w:bookmarkEnd w:id="21"/>
    <w:p>
      <w:pPr>
        <w:ind w:right="2779"/>
        <w:spacing w:after="0" w:line="236" w:lineRule="auto"/>
        <w:rPr>
          <w:sz w:val="20"/>
          <w:szCs w:val="20"/>
          <w:color w:val="auto"/>
        </w:rPr>
      </w:pPr>
      <w:r>
        <w:rPr>
          <w:rFonts w:ascii="Courier New" w:cs="Courier New" w:eastAsia="Courier New" w:hAnsi="Courier New"/>
          <w:sz w:val="16"/>
          <w:szCs w:val="16"/>
          <w:color w:val="auto"/>
        </w:rPr>
        <w:t>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healthcare companies, universities and research institutions for experienced personnel.</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REIMBURSEMENT AND HEALTHCARE REFORM -- In both domestic and foreign markets, sales of the Company's potential products will depend in part upon the availability and amounts of reimbursement from third-party healthcare payor organizations, including government agencies, private healthcare insurers and other healthcare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Healthcare Cost Control."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0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2019-12-13T20:59:39Z</dcterms:created>
  <dcterms:modified xsi:type="dcterms:W3CDTF">2019-12-13T20:59:39Z</dcterms:modified>
</cp:coreProperties>
</file>