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certain information reported by us with the Securities and Exchange Commission or otherwise publicly disclosed. Accordingly, we have included such information in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February 4, 2025, the closing price of our common stock was $2.06.</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7, 2025, after taking into account the issuance of all of the shares sold under the ATM Agreement and all of the shares sold to the investors in the January 2025 Offerings (excluding shares underlying the series G preferred investment options), we had 24,242,120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supplement, although a cease fire with Hamas was declared on January 15, 2025 and there is currently a ceasefire with Hezbollah in Lebanon.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supplement,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This does not include or take into account any of the approximately $20.6 million we raised subsequent to September 30,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January 31, 2025, Microbot has raised cash proceeds of approximately $93.4 million. Since inception (November 2010) through September 30, 2024, Microbot incurred a total cumulative loss of approximately $87.5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through January 31, 2025, we have raised the following amounts:</w:t>
      </w:r>
    </w:p>
    <w:p>
      <w:pPr>
        <w:spacing w:after="0" w:line="201"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and June 2023, Microbot raised aggregate gross proceeds of approximately $7.6 million, before fees and expenses of approximately $1.1 million, from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$5.08 million in gross proceeds, before fees and expenses of approximately $661,000, from financing activities through June 30,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$4.8 million in gross proceeds, before fees and expenses of $167,292, through our ATM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aggregate gross proceeds of approximately $15.6 million, before fees and expenses of approximately $1.4 million, from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approximately 915,000 in gross proceeds from the exercise of outstanding preferred investment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supplement,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3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2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149,189(5)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501,304(9)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1,228,642</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470,302</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241,455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84,754(4)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114,425(9)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89,435(6)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530,069</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88,418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15,246(9)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365,246</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14,808</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162,793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40,816(4)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101,182(9)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358,485</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76,533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8"/>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certain performance-based options granted to the executive in 2024 which remain subject to confirmation of performance vesting by the Company’s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26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09"/>
        </w:trPr>
        <w:tc>
          <w:tcPr>
            <w:tcW w:w="2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120,847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01/12/2033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Harel Gadot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As of the date of this prospectus supplement, the Compensation Committee has not yet reviewed Mr. Gadot’s 2025 salary to determine a potential increase.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are expected to have vested in accordance with their terms subject to Compensation Committee confirmation.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Rachel Vaknin Employment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 and did not change in 2024. As of the date of this prospectus supplement, the Compensation Committee has not yet reviewed Ms. Vaknin’s 2025 salary to determine a potential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are expected to have vested in accordance with their terms subject to Compensation Committee confirmation.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Simon Sharon Employment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 and did not change in 2024. As of the date of this prospectus supplement, the Compensation Committee has not yet reviewed Mr. Sharon’s 2025 salary to determine a potential increase.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are expected to have vested in accordance with their terms subject to Compensation Committee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 As of the date of this prospectus supplement, the Compensation Committee has not yet reviewed Dr. Diaz-Cartelle’s 2025 salary to determine a potential increase.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are expected to have vested in accordance with their terms subject to Compensation Committee confirmation.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Additionally, as a result of the Company’s May 2023 cost reduction plan, the independent members of the Board agreed to a suspension of their quarterly director fees, with reinstatement of such fees effective as of January 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$ 39,375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106,266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$ 33,750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100,641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$ 31,875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jc w:val="both"/>
        <w:ind w:left="340" w:hanging="332"/>
        <w:spacing w:after="0" w:line="24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23"/>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1,978,435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642,217</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2,584,991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-1134110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-850900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-576580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-302260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wp:posOffset>
            </wp:positionV>
            <wp:extent cx="1062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10801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4680" w:space="720"/>
            <w:col w:w="5840"/>
          </w:cols>
          <w:pgMar w:left="320" w:top="657"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-127635</wp:posOffset>
            </wp:positionV>
            <wp:extent cx="1062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1080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January 31,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January 31, 2025. We calculated percentage ownership in accordance with the rules of the SEC. The percentage of common stock beneficially owned is based on 28,641,187 shares outstanding as of January 31, 2025. In addition, shares issuable pursuant to options or other convertible securities that may be acquired within 60 days of January 31, 2025 are deemed to be issued and outstanding and have been treated as outstanding in calculating and determining the beneficial ownership and percentage ownership of those persons possessing those securities, but not for any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60" w:type="dxa"/>
            <w:vAlign w:val="bottom"/>
            <w:tcBorders>
              <w:bottom w:val="single" w:sz="8" w:color="CCEEFF"/>
            </w:tcBorders>
          </w:tcPr>
          <w:p>
            <w:pPr>
              <w:spacing w:after="0"/>
              <w:rPr>
                <w:sz w:val="20"/>
                <w:szCs w:val="20"/>
                <w:color w:val="auto"/>
              </w:rPr>
            </w:pPr>
          </w:p>
        </w:tc>
      </w:tr>
      <w:tr>
        <w:trPr>
          <w:trHeight w:val="250"/>
        </w:trPr>
        <w:tc>
          <w:tcPr>
            <w:tcW w:w="71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1,073,927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69,458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107,795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67,867</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72,700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18,875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1,634,284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r>
      <w:tr>
        <w:trPr>
          <w:trHeight w:val="198"/>
        </w:trPr>
        <w:tc>
          <w:tcPr>
            <w:tcW w:w="71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__________</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performance-based options, the vesting of which remains subject to confirmation by the Company’s Compensation Committee. See “Executive Compensation—Executive Employment Agreements” above.</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2,584,991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642,217 shares of our common stock reserved for future grant under our 2020 Omnibus Performance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2025-02-10T05:20:06Z</dcterms:created>
  <dcterms:modified xsi:type="dcterms:W3CDTF">2025-02-10T05:20:06Z</dcterms:modified>
</cp:coreProperties>
</file>