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STEMCELLS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STEM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82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12/31/2003</w:t>
            </w: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666 FIFTH AVENUE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32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3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20" w:type="dxa"/>
            <w:vAlign w:val="bottom"/>
          </w:tcPr>
          <w:p>
            <w:pPr>
              <w:spacing w:after="0"/>
              <w:rPr>
                <w:sz w:val="24"/>
                <w:szCs w:val="24"/>
                <w:color w:val="auto"/>
              </w:rPr>
            </w:pPr>
          </w:p>
        </w:tc>
        <w:tc>
          <w:tcPr>
            <w:tcW w:w="2720" w:type="dxa"/>
            <w:vAlign w:val="bottom"/>
            <w:gridSpan w:val="5"/>
          </w:tcPr>
          <w:p>
            <w:pPr>
              <w:ind w:left="60"/>
              <w:spacing w:after="0"/>
              <w:rPr>
                <w:sz w:val="20"/>
                <w:szCs w:val="20"/>
                <w:color w:val="auto"/>
              </w:rPr>
            </w:pPr>
            <w:r>
              <w:rPr>
                <w:rFonts w:ascii="Arial" w:cs="Arial" w:eastAsia="Arial" w:hAnsi="Arial"/>
                <w:sz w:val="18"/>
                <w:szCs w:val="18"/>
                <w:color w:val="0000FF"/>
                <w:w w:val="91"/>
              </w:rPr>
              <w:t>Common Stock, par value $0.01 per</w:t>
            </w:r>
          </w:p>
        </w:tc>
        <w:tc>
          <w:tcPr>
            <w:tcW w:w="1720" w:type="dxa"/>
            <w:vAlign w:val="bottom"/>
            <w:gridSpan w:val="5"/>
          </w:tcPr>
          <w:p>
            <w:pPr>
              <w:ind w:left="400"/>
              <w:spacing w:after="0"/>
              <w:rPr>
                <w:sz w:val="20"/>
                <w:szCs w:val="20"/>
                <w:color w:val="auto"/>
              </w:rPr>
            </w:pPr>
            <w:r>
              <w:rPr>
                <w:rFonts w:ascii="Arial" w:cs="Arial" w:eastAsia="Arial" w:hAnsi="Arial"/>
                <w:sz w:val="18"/>
                <w:szCs w:val="18"/>
                <w:color w:val="0000FF"/>
              </w:rPr>
              <w:t>12/31/2003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Arial" w:cs="Arial" w:eastAsia="Arial" w:hAnsi="Arial"/>
                <w:sz w:val="14"/>
                <w:szCs w:val="14"/>
                <w:color w:val="0000FF"/>
                <w:w w:val="85"/>
              </w:rPr>
              <w:t>S</w:t>
            </w:r>
          </w:p>
        </w:tc>
        <w:tc>
          <w:tcPr>
            <w:tcW w:w="1480" w:type="dxa"/>
            <w:vAlign w:val="bottom"/>
            <w:gridSpan w:val="2"/>
          </w:tcPr>
          <w:p>
            <w:pPr>
              <w:ind w:left="680"/>
              <w:spacing w:after="0"/>
              <w:rPr>
                <w:sz w:val="20"/>
                <w:szCs w:val="20"/>
                <w:color w:val="auto"/>
              </w:rPr>
            </w:pPr>
            <w:r>
              <w:rPr>
                <w:rFonts w:ascii="Arial" w:cs="Arial" w:eastAsia="Arial" w:hAnsi="Arial"/>
                <w:sz w:val="18"/>
                <w:szCs w:val="18"/>
                <w:color w:val="0000FF"/>
              </w:rPr>
              <w:t>27,000</w:t>
            </w:r>
          </w:p>
        </w:tc>
        <w:tc>
          <w:tcPr>
            <w:tcW w:w="400" w:type="dxa"/>
            <w:vAlign w:val="bottom"/>
          </w:tcPr>
          <w:p>
            <w:pPr>
              <w:ind w:left="2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ind w:right="2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w:t>
            </w:r>
          </w:p>
        </w:tc>
        <w:tc>
          <w:tcPr>
            <w:tcW w:w="780" w:type="dxa"/>
            <w:vAlign w:val="bottom"/>
          </w:tcPr>
          <w:p>
            <w:pPr>
              <w:ind w:left="60"/>
              <w:spacing w:after="0"/>
              <w:rPr>
                <w:sz w:val="20"/>
                <w:szCs w:val="20"/>
                <w:color w:val="auto"/>
              </w:rPr>
            </w:pPr>
            <w:r>
              <w:rPr>
                <w:rFonts w:ascii="Arial" w:cs="Arial" w:eastAsia="Arial" w:hAnsi="Arial"/>
                <w:sz w:val="18"/>
                <w:szCs w:val="18"/>
                <w:color w:val="0000FF"/>
                <w:w w:val="87"/>
              </w:rPr>
              <w:t>3,854,589</w:t>
            </w:r>
          </w:p>
        </w:tc>
        <w:tc>
          <w:tcPr>
            <w:tcW w:w="980" w:type="dxa"/>
            <w:vAlign w:val="bottom"/>
          </w:tcPr>
          <w:p>
            <w:pPr>
              <w:ind w:left="380"/>
              <w:spacing w:after="0" w:line="324" w:lineRule="exact"/>
              <w:rPr>
                <w:sz w:val="20"/>
                <w:szCs w:val="20"/>
                <w:color w:val="auto"/>
              </w:rPr>
            </w:pPr>
            <w:r>
              <w:rPr>
                <w:rFonts w:ascii="Arial" w:cs="Arial" w:eastAsia="Arial" w:hAnsi="Arial"/>
                <w:sz w:val="35"/>
                <w:szCs w:val="35"/>
                <w:color w:val="0000FF"/>
                <w:w w:val="96"/>
                <w:vertAlign w:val="subscript"/>
              </w:rPr>
              <w:t>I</w:t>
            </w:r>
            <w:r>
              <w:rPr>
                <w:rFonts w:ascii="Arial" w:cs="Arial" w:eastAsia="Arial" w:hAnsi="Arial"/>
                <w:sz w:val="11"/>
                <w:szCs w:val="11"/>
                <w:color w:val="008000"/>
                <w:w w:val="96"/>
              </w:rPr>
              <w:t>(1)(2)(3)(4)</w:t>
            </w:r>
          </w:p>
        </w:tc>
        <w:tc>
          <w:tcPr>
            <w:tcW w:w="1500" w:type="dxa"/>
            <w:vAlign w:val="bottom"/>
            <w:gridSpan w:val="3"/>
          </w:tcPr>
          <w:p>
            <w:pPr>
              <w:ind w:left="240"/>
              <w:spacing w:after="0"/>
              <w:rPr>
                <w:sz w:val="20"/>
                <w:szCs w:val="20"/>
                <w:color w:val="auto"/>
              </w:rPr>
            </w:pPr>
            <w:r>
              <w:rPr>
                <w:rFonts w:ascii="Arial" w:cs="Arial" w:eastAsia="Arial" w:hAnsi="Arial"/>
                <w:sz w:val="18"/>
                <w:szCs w:val="18"/>
                <w:color w:val="0000FF"/>
                <w:w w:val="96"/>
              </w:rPr>
              <w:t>See footnotes</w:t>
            </w:r>
            <w:r>
              <w:rPr>
                <w:rFonts w:ascii="Arial" w:cs="Arial" w:eastAsia="Arial" w:hAnsi="Arial"/>
                <w:sz w:val="22"/>
                <w:szCs w:val="22"/>
                <w:color w:val="008000"/>
                <w:w w:val="96"/>
                <w:vertAlign w:val="superscript"/>
              </w:rPr>
              <w:t>(1)</w:t>
            </w:r>
          </w:p>
        </w:tc>
      </w:tr>
      <w:tr>
        <w:trPr>
          <w:trHeight w:val="223"/>
        </w:trPr>
        <w:tc>
          <w:tcPr>
            <w:tcW w:w="20" w:type="dxa"/>
            <w:vAlign w:val="bottom"/>
          </w:tcPr>
          <w:p>
            <w:pPr>
              <w:spacing w:after="0"/>
              <w:rPr>
                <w:sz w:val="19"/>
                <w:szCs w:val="19"/>
                <w:color w:val="auto"/>
              </w:rPr>
            </w:pPr>
          </w:p>
        </w:tc>
        <w:tc>
          <w:tcPr>
            <w:tcW w:w="27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share ("Common Stock")</w:t>
            </w:r>
          </w:p>
        </w:tc>
        <w:tc>
          <w:tcPr>
            <w:tcW w:w="8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1"/>
                <w:szCs w:val="11"/>
                <w:color w:val="008000"/>
              </w:rPr>
              <w:t>(2)(3)(4)</w:t>
            </w:r>
          </w:p>
        </w:tc>
        <w:tc>
          <w:tcPr>
            <w:tcW w:w="7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r>
      <w:tr>
        <w:trPr>
          <w:trHeight w:val="284"/>
        </w:trPr>
        <w:tc>
          <w:tcPr>
            <w:tcW w:w="2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5"/>
          </w:tcPr>
          <w:p>
            <w:pPr>
              <w:ind w:left="400"/>
              <w:spacing w:after="0"/>
              <w:rPr>
                <w:sz w:val="20"/>
                <w:szCs w:val="20"/>
                <w:color w:val="auto"/>
              </w:rPr>
            </w:pPr>
            <w:r>
              <w:rPr>
                <w:rFonts w:ascii="Arial" w:cs="Arial" w:eastAsia="Arial" w:hAnsi="Arial"/>
                <w:sz w:val="18"/>
                <w:szCs w:val="18"/>
                <w:color w:val="0000FF"/>
              </w:rPr>
              <w:t>01/02/2004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Arial" w:cs="Arial" w:eastAsia="Arial" w:hAnsi="Arial"/>
                <w:sz w:val="14"/>
                <w:szCs w:val="14"/>
                <w:color w:val="0000FF"/>
                <w:w w:val="85"/>
              </w:rPr>
              <w:t>S</w:t>
            </w:r>
          </w:p>
        </w:tc>
        <w:tc>
          <w:tcPr>
            <w:tcW w:w="1480" w:type="dxa"/>
            <w:vAlign w:val="bottom"/>
            <w:gridSpan w:val="2"/>
          </w:tcPr>
          <w:p>
            <w:pPr>
              <w:ind w:left="680"/>
              <w:spacing w:after="0"/>
              <w:rPr>
                <w:sz w:val="20"/>
                <w:szCs w:val="20"/>
                <w:color w:val="auto"/>
              </w:rPr>
            </w:pPr>
            <w:r>
              <w:rPr>
                <w:rFonts w:ascii="Arial" w:cs="Arial" w:eastAsia="Arial" w:hAnsi="Arial"/>
                <w:sz w:val="18"/>
                <w:szCs w:val="18"/>
                <w:color w:val="0000FF"/>
              </w:rPr>
              <w:t>27,000</w:t>
            </w:r>
          </w:p>
        </w:tc>
        <w:tc>
          <w:tcPr>
            <w:tcW w:w="400" w:type="dxa"/>
            <w:vAlign w:val="bottom"/>
          </w:tcPr>
          <w:p>
            <w:pPr>
              <w:ind w:left="2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ind w:right="192"/>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2.02</w:t>
            </w:r>
          </w:p>
        </w:tc>
        <w:tc>
          <w:tcPr>
            <w:tcW w:w="780" w:type="dxa"/>
            <w:vAlign w:val="bottom"/>
          </w:tcPr>
          <w:p>
            <w:pPr>
              <w:ind w:left="60"/>
              <w:spacing w:after="0"/>
              <w:rPr>
                <w:sz w:val="20"/>
                <w:szCs w:val="20"/>
                <w:color w:val="auto"/>
              </w:rPr>
            </w:pPr>
            <w:r>
              <w:rPr>
                <w:rFonts w:ascii="Arial" w:cs="Arial" w:eastAsia="Arial" w:hAnsi="Arial"/>
                <w:sz w:val="18"/>
                <w:szCs w:val="18"/>
                <w:color w:val="0000FF"/>
                <w:w w:val="87"/>
              </w:rPr>
              <w:t>3,827,589</w:t>
            </w:r>
          </w:p>
        </w:tc>
        <w:tc>
          <w:tcPr>
            <w:tcW w:w="980" w:type="dxa"/>
            <w:vAlign w:val="bottom"/>
          </w:tcPr>
          <w:p>
            <w:pPr>
              <w:ind w:left="380"/>
              <w:spacing w:after="0" w:line="283" w:lineRule="exact"/>
              <w:rPr>
                <w:sz w:val="20"/>
                <w:szCs w:val="20"/>
                <w:color w:val="auto"/>
              </w:rPr>
            </w:pPr>
            <w:r>
              <w:rPr>
                <w:rFonts w:ascii="Arial" w:cs="Arial" w:eastAsia="Arial" w:hAnsi="Arial"/>
                <w:sz w:val="32"/>
                <w:szCs w:val="32"/>
                <w:color w:val="0000FF"/>
                <w:w w:val="97"/>
                <w:vertAlign w:val="subscript"/>
              </w:rPr>
              <w:t>I</w:t>
            </w:r>
            <w:r>
              <w:rPr>
                <w:rFonts w:ascii="Arial" w:cs="Arial" w:eastAsia="Arial" w:hAnsi="Arial"/>
                <w:sz w:val="11"/>
                <w:szCs w:val="11"/>
                <w:color w:val="008000"/>
                <w:w w:val="97"/>
              </w:rPr>
              <w:t>(1)(2)(3)(4)</w:t>
            </w:r>
          </w:p>
        </w:tc>
        <w:tc>
          <w:tcPr>
            <w:tcW w:w="1500" w:type="dxa"/>
            <w:vAlign w:val="bottom"/>
            <w:gridSpan w:val="3"/>
          </w:tcPr>
          <w:p>
            <w:pPr>
              <w:ind w:left="240"/>
              <w:spacing w:after="0"/>
              <w:rPr>
                <w:sz w:val="20"/>
                <w:szCs w:val="20"/>
                <w:color w:val="auto"/>
              </w:rPr>
            </w:pPr>
            <w:r>
              <w:rPr>
                <w:rFonts w:ascii="Arial" w:cs="Arial" w:eastAsia="Arial" w:hAnsi="Arial"/>
                <w:sz w:val="18"/>
                <w:szCs w:val="18"/>
                <w:color w:val="0000FF"/>
                <w:w w:val="96"/>
              </w:rPr>
              <w:t>See footnotes</w:t>
            </w:r>
            <w:r>
              <w:rPr>
                <w:rFonts w:ascii="Arial" w:cs="Arial" w:eastAsia="Arial" w:hAnsi="Arial"/>
                <w:sz w:val="22"/>
                <w:szCs w:val="22"/>
                <w:color w:val="008000"/>
                <w:w w:val="96"/>
                <w:vertAlign w:val="superscript"/>
              </w:rPr>
              <w:t>(1)</w:t>
            </w: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008000"/>
              </w:rPr>
              <w:t>(2)(3)(4)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360" w:type="dxa"/>
            <w:vAlign w:val="bottom"/>
            <w:tcBorders>
              <w:bottom w:val="single" w:sz="8" w:color="2C2C2C"/>
            </w:tcBorders>
            <w:gridSpan w:val="7"/>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6"/>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20" w:type="dxa"/>
            <w:vAlign w:val="bottom"/>
            <w:gridSpan w:val="13"/>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8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4"/>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666 FIFTH AVENUE</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860" w:type="dxa"/>
            <w:vAlign w:val="bottom"/>
          </w:tcPr>
          <w:p>
            <w:pPr>
              <w:ind w:left="300"/>
              <w:spacing w:after="0"/>
              <w:rPr>
                <w:sz w:val="20"/>
                <w:szCs w:val="20"/>
                <w:color w:val="auto"/>
              </w:rPr>
            </w:pPr>
            <w:r>
              <w:rPr>
                <w:rFonts w:ascii="Arial" w:cs="Arial" w:eastAsia="Arial" w:hAnsi="Arial"/>
                <w:sz w:val="18"/>
                <w:szCs w:val="18"/>
                <w:color w:val="0000FF"/>
              </w:rPr>
              <w:t>10103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60" w:type="dxa"/>
            <w:vAlign w:val="bottom"/>
            <w:gridSpan w:val="4"/>
          </w:tcPr>
          <w:p>
            <w:pPr>
              <w:ind w:left="30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RIVERVIEW GROUP LLC</w:t>
              </w:r>
            </w:hyperlink>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4"/>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666 FIFTH AVE</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60" w:type="dxa"/>
            <w:vAlign w:val="bottom"/>
            <w:gridSpan w:val="4"/>
          </w:tcPr>
          <w:p>
            <w:pPr>
              <w:ind w:left="300"/>
              <w:spacing w:after="0"/>
              <w:rPr>
                <w:sz w:val="20"/>
                <w:szCs w:val="20"/>
                <w:color w:val="auto"/>
              </w:rPr>
            </w:pPr>
            <w:r>
              <w:rPr>
                <w:rFonts w:ascii="Arial" w:cs="Arial" w:eastAsia="Arial" w:hAnsi="Arial"/>
                <w:sz w:val="18"/>
                <w:szCs w:val="18"/>
                <w:color w:val="0000FF"/>
                <w:w w:val="87"/>
              </w:rPr>
              <w:t>10103-0899</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60" w:type="dxa"/>
            <w:vAlign w:val="bottom"/>
            <w:gridSpan w:val="4"/>
          </w:tcPr>
          <w:p>
            <w:pPr>
              <w:ind w:left="30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MILLENNIUM HOLDING GROUP LP</w:t>
              </w:r>
            </w:hyperlink>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4"/>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666 FIFTH AVE</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10103-0899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ENGLANDER ISRAEL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C/O MILLENNIUM MANAGEMENT LLC</w:t>
            </w:r>
          </w:p>
        </w:tc>
      </w:tr>
      <w:tr>
        <w:trPr>
          <w:trHeight w:val="270"/>
        </w:trPr>
        <w:tc>
          <w:tcPr>
            <w:tcW w:w="100" w:type="dxa"/>
            <w:vAlign w:val="bottom"/>
          </w:tcPr>
          <w:p>
            <w:pPr>
              <w:spacing w:after="0"/>
              <w:rPr>
                <w:sz w:val="23"/>
                <w:szCs w:val="23"/>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666 FIFTH AVENUE</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62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6282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by The Riverview Group LLC, a Delaware limited liability company ("Riverview") which as of the date hereof directly holds 3,827,589 shares of Common Stock of StemCells, Inc. (the "Company") and warrants exercisable into 1,322,716 shares of Common Stock of the Company. Riverview is a wholly owned subsidiary of Millennium Holding Group, L.P., a Delaware limited partnership ("Holding"). Millennium Management, LLC, a Delaware limited liability company ("Millennium Management"), is the general partner of Holding and consequently has voting control and investment discretion over securities owned by Holding and by Riverview.</w:t>
      </w:r>
    </w:p>
    <w:p>
      <w:pPr>
        <w:spacing w:after="0" w:line="31" w:lineRule="exact"/>
        <w:rPr>
          <w:rFonts w:ascii="Arial" w:cs="Arial" w:eastAsia="Arial" w:hAnsi="Arial"/>
          <w:sz w:val="14"/>
          <w:szCs w:val="14"/>
          <w:color w:val="008000"/>
        </w:rPr>
      </w:pPr>
    </w:p>
    <w:p>
      <w:pPr>
        <w:ind w:left="20" w:right="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Israel A. Englander ("Mr. Englander") is the sole managing member of Millennium Management. As a result, Mr. Englander may be considered the beneficial owner of any shares deemed to be beneficially owned by Millennium Management.</w:t>
      </w:r>
    </w:p>
    <w:p>
      <w:pPr>
        <w:spacing w:after="0" w:line="30" w:lineRule="exact"/>
        <w:rPr>
          <w:rFonts w:ascii="Arial" w:cs="Arial" w:eastAsia="Arial" w:hAnsi="Arial"/>
          <w:sz w:val="14"/>
          <w:szCs w:val="14"/>
          <w:color w:val="008000"/>
        </w:rPr>
      </w:pPr>
    </w:p>
    <w:p>
      <w:pPr>
        <w:ind w:left="20" w:right="2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Holding, Millennium Management and Mr. Englander disclaims any beneficial ownership of the shares owned by Riverview to the extent such beneficial ownership exceeds such person's pecuniary interest.</w:t>
      </w:r>
    </w:p>
    <w:p>
      <w:pPr>
        <w:spacing w:after="0" w:line="30" w:lineRule="exact"/>
        <w:rPr>
          <w:rFonts w:ascii="Arial" w:cs="Arial" w:eastAsia="Arial" w:hAnsi="Arial"/>
          <w:sz w:val="14"/>
          <w:szCs w:val="14"/>
          <w:color w:val="008000"/>
        </w:rPr>
      </w:pPr>
    </w:p>
    <w:p>
      <w:pPr>
        <w:ind w:left="20" w:right="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Millennium Partners, L.P., a Cayman Islands limited partnership ("Partners"), is a limited partner of Holding. As a limited partner, Partners has no ability to control Holding. Therefore, as of the date of this filing, Partners may not be deemed a beneficial owner of the shares of the Company or a member of the above-listed group.</w:t>
      </w:r>
    </w:p>
    <w:p>
      <w:pPr>
        <w:spacing w:after="0" w:line="37"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Israel A. Englander,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01/05/2004</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Managing Member</w:t>
            </w:r>
          </w:p>
        </w:tc>
        <w:tc>
          <w:tcPr>
            <w:tcW w:w="26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8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00"/>
          </w:cols>
          <w:pgMar w:left="260" w:top="409" w:right="339"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The Riverview Group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666 5th Avenue</w:t>
      </w:r>
    </w:p>
    <w:p>
      <w:pPr>
        <w:ind w:left="9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 January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THE RIVERVIEW GROUP LLC</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Terry Feeney</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Terry Feeney</w:t>
      </w:r>
    </w:p>
    <w:p>
      <w:pPr>
        <w:ind w:left="1700"/>
        <w:spacing w:after="0" w:line="237" w:lineRule="auto"/>
        <w:rPr>
          <w:sz w:val="20"/>
          <w:szCs w:val="20"/>
          <w:color w:val="auto"/>
        </w:rPr>
      </w:pPr>
      <w:r>
        <w:rPr>
          <w:rFonts w:ascii="Courier New" w:cs="Courier New" w:eastAsia="Courier New" w:hAnsi="Courier New"/>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Millennium Holding Group,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666 5th Avenue</w:t>
      </w:r>
    </w:p>
    <w:p>
      <w:pPr>
        <w:ind w:left="9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 January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MILLENNIUM HOLDING GROUP, L.P.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Millennium Management LLC</w:t>
      </w:r>
    </w:p>
    <w:p>
      <w:pPr>
        <w:ind w:left="1280"/>
        <w:spacing w:after="0" w:line="238" w:lineRule="auto"/>
        <w:rPr>
          <w:sz w:val="20"/>
          <w:szCs w:val="20"/>
          <w:color w:val="auto"/>
        </w:rPr>
      </w:pPr>
      <w:r>
        <w:rPr>
          <w:rFonts w:ascii="Courier New" w:cs="Courier New" w:eastAsia="Courier New" w:hAnsi="Courier New"/>
          <w:sz w:val="18"/>
          <w:szCs w:val="18"/>
          <w:color w:val="auto"/>
        </w:rPr>
        <w:t>as General Partner</w:t>
      </w:r>
    </w:p>
    <w:p>
      <w:pPr>
        <w:ind w:left="1280"/>
        <w:spacing w:after="0"/>
        <w:rPr>
          <w:sz w:val="20"/>
          <w:szCs w:val="20"/>
          <w:color w:val="auto"/>
        </w:rPr>
      </w:pPr>
      <w:r>
        <w:rPr>
          <w:rFonts w:ascii="Courier New" w:cs="Courier New" w:eastAsia="Courier New" w:hAnsi="Courier New"/>
          <w:sz w:val="18"/>
          <w:szCs w:val="18"/>
          <w:color w:val="auto"/>
        </w:rPr>
        <w:t>By: Israel A. Englander</w:t>
      </w:r>
    </w:p>
    <w:p>
      <w:pPr>
        <w:ind w:left="1280"/>
        <w:spacing w:after="0" w:line="237" w:lineRule="auto"/>
        <w:rPr>
          <w:sz w:val="20"/>
          <w:szCs w:val="20"/>
          <w:color w:val="auto"/>
        </w:rPr>
      </w:pPr>
      <w:r>
        <w:rPr>
          <w:rFonts w:ascii="Courier New" w:cs="Courier New" w:eastAsia="Courier New" w:hAnsi="Courier New"/>
          <w:sz w:val="18"/>
          <w:szCs w:val="18"/>
          <w:color w:val="auto"/>
        </w:rPr>
        <w:t>as Sole Managing Member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Israel A. Englander</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Name: Israel A. Englander</w:t>
      </w:r>
    </w:p>
    <w:p>
      <w:pPr>
        <w:sectPr>
          <w:pgSz w:w="11900" w:h="16838" w:orient="portrait"/>
          <w:cols w:equalWidth="0" w:num="1">
            <w:col w:w="10219"/>
          </w:cols>
          <w:pgMar w:left="240" w:top="136" w:right="1440" w:bottom="1440" w:gutter="0" w:footer="0" w:header="0"/>
        </w:sectPr>
      </w:pPr>
    </w:p>
    <w:bookmarkStart w:id="3" w:name="page4"/>
    <w:bookmarkEnd w:id="3"/>
    <w:p>
      <w:pPr>
        <w:jc w:val="right"/>
        <w:ind w:right="4739"/>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Israel A. Englander.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666 5th Avenue</w:t>
      </w:r>
    </w:p>
    <w:p>
      <w:pPr>
        <w:ind w:left="9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 January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ISRAEL A. ENGLANDER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Israel A. Englander</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Israel A. Englander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273087" TargetMode="External"/><Relationship Id="rId13" Type="http://schemas.openxmlformats.org/officeDocument/2006/relationships/hyperlink" Target="http://www.sec.gov/cgi-bin/browse-edgar?action=getcompany&amp;CIK=0000883975" TargetMode="External"/><Relationship Id="rId14" Type="http://schemas.openxmlformats.org/officeDocument/2006/relationships/hyperlink" Target="http://www.sec.gov/cgi-bin/browse-edgar?action=getcompany&amp;CIK=0001273091" TargetMode="External"/><Relationship Id="rId15" Type="http://schemas.openxmlformats.org/officeDocument/2006/relationships/hyperlink" Target="http://www.sec.gov/cgi-bin/browse-edgar?action=getcompany&amp;CIK=0001273089" TargetMode="External"/><Relationship Id="rId16" Type="http://schemas.openxmlformats.org/officeDocument/2006/relationships/hyperlink" Target="http://www.sec.gov/cgi-bin/browse-edgar?action=getcompany&amp;CIK=00010174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2019-12-17T08:10:43Z</dcterms:created>
  <dcterms:modified xsi:type="dcterms:W3CDTF">2019-12-17T08:10:43Z</dcterms:modified>
</cp:coreProperties>
</file>