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Bornstein Yoseph</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Microbot Medical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MBOT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4"/>
          </w:tcPr>
          <w:p>
            <w:pPr>
              <w:ind w:left="80"/>
              <w:spacing w:after="0"/>
              <w:rPr>
                <w:sz w:val="20"/>
                <w:szCs w:val="20"/>
                <w:color w:val="auto"/>
              </w:rPr>
            </w:pPr>
            <w:r>
              <w:rPr>
                <w:rFonts w:ascii="Arial" w:cs="Arial" w:eastAsia="Arial" w:hAnsi="Arial"/>
                <w:sz w:val="13"/>
                <w:szCs w:val="13"/>
                <w:color w:val="auto"/>
              </w:rPr>
              <w:t>(Check all applicable)</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80" w:type="dxa"/>
            <w:vAlign w:val="bottom"/>
          </w:tcPr>
          <w:p>
            <w:pPr>
              <w:spacing w:after="0"/>
              <w:rPr>
                <w:sz w:val="12"/>
                <w:szCs w:val="12"/>
                <w:color w:val="auto"/>
              </w:rPr>
            </w:pP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6"/>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vMerge w:val="continue"/>
          </w:tcPr>
          <w:p>
            <w:pPr>
              <w:spacing w:after="0" w:line="20" w:lineRule="exact"/>
              <w:rPr>
                <w:sz w:val="1"/>
                <w:szCs w:val="1"/>
                <w:color w:val="auto"/>
              </w:rPr>
            </w:pPr>
          </w:p>
        </w:tc>
        <w:tc>
          <w:tcPr>
            <w:tcW w:w="14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98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5"/>
                <w:szCs w:val="15"/>
                <w:color w:val="auto"/>
              </w:rPr>
            </w:pPr>
          </w:p>
        </w:tc>
        <w:tc>
          <w:tcPr>
            <w:tcW w:w="6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MICROBOT MEDICAL INC.</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10/12/2020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25 RECREATION PARK DRIVE, UNIT 108</w:t>
            </w:r>
          </w:p>
        </w:tc>
        <w:tc>
          <w:tcPr>
            <w:tcW w:w="7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continue"/>
          </w:tcPr>
          <w:p>
            <w:pPr>
              <w:spacing w:after="0"/>
              <w:rPr>
                <w:sz w:val="9"/>
                <w:szCs w:val="9"/>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60" w:type="dxa"/>
            <w:vAlign w:val="bottom"/>
            <w:gridSpan w:val="7"/>
            <w:vMerge w:val="continue"/>
          </w:tcPr>
          <w:p>
            <w:pPr>
              <w:spacing w:after="0"/>
              <w:rPr>
                <w:sz w:val="6"/>
                <w:szCs w:val="6"/>
                <w:color w:val="auto"/>
              </w:rPr>
            </w:pPr>
          </w:p>
        </w:tc>
        <w:tc>
          <w:tcPr>
            <w:tcW w:w="36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HINGHAM</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02043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9"/>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4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6"/>
                <w:szCs w:val="6"/>
                <w:color w:val="auto"/>
              </w:rPr>
            </w:pPr>
          </w:p>
        </w:tc>
        <w:tc>
          <w:tcPr>
            <w:tcW w:w="108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By LSA-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10/05/2020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3"/>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7.8449</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246,909</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380" w:type="dxa"/>
            <w:vAlign w:val="bottom"/>
          </w:tcPr>
          <w:p>
            <w:pPr>
              <w:spacing w:after="0"/>
              <w:rPr>
                <w:sz w:val="18"/>
                <w:szCs w:val="18"/>
                <w:color w:val="auto"/>
              </w:rPr>
            </w:pP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LifeScience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Accelerator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-3284855</wp:posOffset>
            </wp:positionV>
            <wp:extent cx="7031355" cy="3325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254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through his Rule 10b5-1 trading plan, sold an aggregate of 20,000 shares of Issuer common stock on October 12, 2020. Accordingly, Reporting Person beneficially owned 246,909 shares of Issuer common stock following the reported transactions.</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Yossi Bornstein</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10/13/2020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100"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2020-10-13T16:03:12Z</dcterms:created>
  <dcterms:modified xsi:type="dcterms:W3CDTF">2020-10-13T16:03:12Z</dcterms:modified>
</cp:coreProperties>
</file>