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23"/>
          <w:szCs w:val="23"/>
          <w:b w:val="1"/>
          <w:bCs w:val="1"/>
          <w:color w:val="auto"/>
        </w:rPr>
        <w:drawing>
          <wp:anchor simplePos="0" relativeHeight="251657728" behindDoc="1" locked="0" layoutInCell="0" allowOverlap="1">
            <wp:simplePos x="0" y="0"/>
            <wp:positionH relativeFrom="page">
              <wp:posOffset>187960</wp:posOffset>
            </wp:positionH>
            <wp:positionV relativeFrom="page">
              <wp:posOffset>233045</wp:posOffset>
            </wp:positionV>
            <wp:extent cx="717296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2960" cy="29845"/>
                    </a:xfrm>
                    <a:prstGeom prst="rect">
                      <a:avLst/>
                    </a:prstGeom>
                    <a:noFill/>
                  </pic:spPr>
                </pic:pic>
              </a:graphicData>
            </a:graphic>
          </wp:anchor>
        </w:drawing>
        <w:drawing>
          <wp:anchor simplePos="0" relativeHeight="251657728" behindDoc="1" locked="0" layoutInCell="0" allowOverlap="1">
            <wp:simplePos x="0" y="0"/>
            <wp:positionH relativeFrom="page">
              <wp:posOffset>187960</wp:posOffset>
            </wp:positionH>
            <wp:positionV relativeFrom="page">
              <wp:posOffset>275590</wp:posOffset>
            </wp:positionV>
            <wp:extent cx="717296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2960" cy="5715"/>
                    </a:xfrm>
                    <a:prstGeom prst="rect">
                      <a:avLst/>
                    </a:prstGeom>
                    <a:noFill/>
                  </pic:spPr>
                </pic:pic>
              </a:graphicData>
            </a:graphic>
          </wp:anchor>
        </w:drawing>
        <w:t>UNITED STATES</w:t>
      </w:r>
    </w:p>
    <w:p>
      <w:pPr>
        <w:spacing w:after="0" w:line="1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15"/>
          <w:szCs w:val="15"/>
          <w:b w:val="1"/>
          <w:bCs w:val="1"/>
          <w:color w:val="auto"/>
        </w:rPr>
        <w:t>Washington, D.C. 20549</w:t>
      </w:r>
    </w:p>
    <w:p>
      <w:pPr>
        <w:spacing w:after="0" w:line="11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3"/>
          <w:szCs w:val="23"/>
          <w:b w:val="1"/>
          <w:bCs w:val="1"/>
          <w:color w:val="auto"/>
        </w:rPr>
        <w:t>FORM 8-K</w:t>
      </w:r>
    </w:p>
    <w:p>
      <w:pPr>
        <w:spacing w:after="0" w:line="16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3"/>
          <w:szCs w:val="13"/>
          <w:b w:val="1"/>
          <w:bCs w:val="1"/>
          <w:color w:val="auto"/>
        </w:rPr>
        <w:t>CURRENT REPORT</w:t>
      </w:r>
    </w:p>
    <w:p>
      <w:pPr>
        <w:spacing w:after="0" w:line="1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3"/>
          <w:szCs w:val="13"/>
          <w:b w:val="1"/>
          <w:bCs w:val="1"/>
          <w:color w:val="auto"/>
        </w:rPr>
        <w:t>Pursuant to Section 13 or 15(d)</w:t>
      </w:r>
    </w:p>
    <w:p>
      <w:pPr>
        <w:spacing w:after="0" w:line="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3"/>
          <w:szCs w:val="13"/>
          <w:b w:val="1"/>
          <w:bCs w:val="1"/>
          <w:color w:val="auto"/>
        </w:rPr>
        <w:t>of the Securities Exchange Act of 1934</w:t>
      </w:r>
    </w:p>
    <w:p>
      <w:pPr>
        <w:spacing w:after="0" w:line="13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3"/>
          <w:szCs w:val="13"/>
          <w:b w:val="1"/>
          <w:bCs w:val="1"/>
          <w:color w:val="auto"/>
        </w:rPr>
        <w:t>Date of Report (Date of earliest event reported): October 31, 2024</w:t>
      </w:r>
    </w:p>
    <w:p>
      <w:pPr>
        <w:spacing w:after="0" w:line="13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23"/>
          <w:szCs w:val="23"/>
          <w:b w:val="1"/>
          <w:bCs w:val="1"/>
          <w:color w:val="auto"/>
        </w:rPr>
        <w:t>MICROBOT MEDICAL INC.</w:t>
      </w:r>
    </w:p>
    <w:p>
      <w:pPr>
        <w:spacing w:after="0" w:line="2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138" w:lineRule="exact"/>
        <w:rPr>
          <w:sz w:val="24"/>
          <w:szCs w:val="24"/>
          <w:color w:val="auto"/>
        </w:rPr>
      </w:pPr>
    </w:p>
    <w:tbl>
      <w:tblPr>
        <w:tblLayout w:type="fixed"/>
        <w:tblInd w:w="1084" w:type="dxa"/>
        <w:tblCellMar>
          <w:top w:w="0" w:type="dxa"/>
          <w:left w:w="0" w:type="dxa"/>
          <w:bottom w:w="0" w:type="dxa"/>
          <w:right w:w="0" w:type="dxa"/>
        </w:tblCellMar>
      </w:tblPr>
      <w:tr>
        <w:trPr>
          <w:trHeight w:val="152"/>
        </w:trPr>
        <w:tc>
          <w:tcPr>
            <w:tcW w:w="2100" w:type="dxa"/>
            <w:vAlign w:val="bottom"/>
          </w:tcPr>
          <w:p>
            <w:pPr>
              <w:jc w:val="center"/>
              <w:ind w:right="577"/>
              <w:spacing w:after="0"/>
              <w:rPr>
                <w:sz w:val="20"/>
                <w:szCs w:val="20"/>
                <w:color w:val="auto"/>
              </w:rPr>
            </w:pPr>
            <w:r>
              <w:rPr>
                <w:rFonts w:ascii="Times New Roman" w:cs="Times New Roman" w:eastAsia="Times New Roman" w:hAnsi="Times New Roman"/>
                <w:sz w:val="13"/>
                <w:szCs w:val="13"/>
                <w:b w:val="1"/>
                <w:bCs w:val="1"/>
                <w:color w:val="auto"/>
                <w:w w:val="94"/>
              </w:rPr>
              <w:t>Delaware</w:t>
            </w:r>
          </w:p>
        </w:tc>
        <w:tc>
          <w:tcPr>
            <w:tcW w:w="5040" w:type="dxa"/>
            <w:vAlign w:val="bottom"/>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5"/>
              </w:rPr>
              <w:t>000-19871</w:t>
            </w:r>
          </w:p>
        </w:tc>
        <w:tc>
          <w:tcPr>
            <w:tcW w:w="1760" w:type="dxa"/>
            <w:vAlign w:val="bottom"/>
          </w:tcPr>
          <w:p>
            <w:pPr>
              <w:jc w:val="center"/>
              <w:ind w:left="717"/>
              <w:spacing w:after="0"/>
              <w:rPr>
                <w:sz w:val="20"/>
                <w:szCs w:val="20"/>
                <w:color w:val="auto"/>
              </w:rPr>
            </w:pPr>
            <w:r>
              <w:rPr>
                <w:rFonts w:ascii="Times New Roman" w:cs="Times New Roman" w:eastAsia="Times New Roman" w:hAnsi="Times New Roman"/>
                <w:sz w:val="13"/>
                <w:szCs w:val="13"/>
                <w:b w:val="1"/>
                <w:bCs w:val="1"/>
                <w:color w:val="auto"/>
                <w:w w:val="98"/>
              </w:rPr>
              <w:t>94-3078125</w:t>
            </w:r>
          </w:p>
        </w:tc>
      </w:tr>
      <w:tr>
        <w:trPr>
          <w:trHeight w:val="152"/>
        </w:trPr>
        <w:tc>
          <w:tcPr>
            <w:tcW w:w="2100" w:type="dxa"/>
            <w:vAlign w:val="bottom"/>
          </w:tcPr>
          <w:p>
            <w:pPr>
              <w:jc w:val="center"/>
              <w:ind w:right="597"/>
              <w:spacing w:after="0"/>
              <w:rPr>
                <w:sz w:val="20"/>
                <w:szCs w:val="20"/>
                <w:color w:val="auto"/>
              </w:rPr>
            </w:pPr>
            <w:r>
              <w:rPr>
                <w:rFonts w:ascii="Times New Roman" w:cs="Times New Roman" w:eastAsia="Times New Roman" w:hAnsi="Times New Roman"/>
                <w:sz w:val="13"/>
                <w:szCs w:val="13"/>
                <w:b w:val="1"/>
                <w:bCs w:val="1"/>
                <w:color w:val="auto"/>
                <w:w w:val="97"/>
              </w:rPr>
              <w:t>(State or other jurisdiction</w:t>
            </w:r>
          </w:p>
        </w:tc>
        <w:tc>
          <w:tcPr>
            <w:tcW w:w="5040" w:type="dxa"/>
            <w:vAlign w:val="bottom"/>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5"/>
              </w:rPr>
              <w:t>(Commission</w:t>
            </w:r>
          </w:p>
        </w:tc>
        <w:tc>
          <w:tcPr>
            <w:tcW w:w="1760" w:type="dxa"/>
            <w:vAlign w:val="bottom"/>
          </w:tcPr>
          <w:p>
            <w:pPr>
              <w:jc w:val="center"/>
              <w:ind w:left="717"/>
              <w:spacing w:after="0"/>
              <w:rPr>
                <w:sz w:val="20"/>
                <w:szCs w:val="20"/>
                <w:color w:val="auto"/>
              </w:rPr>
            </w:pPr>
            <w:r>
              <w:rPr>
                <w:rFonts w:ascii="Times New Roman" w:cs="Times New Roman" w:eastAsia="Times New Roman" w:hAnsi="Times New Roman"/>
                <w:sz w:val="13"/>
                <w:szCs w:val="13"/>
                <w:b w:val="1"/>
                <w:bCs w:val="1"/>
                <w:color w:val="auto"/>
                <w:w w:val="97"/>
              </w:rPr>
              <w:t>(IRS Employer</w:t>
            </w:r>
          </w:p>
        </w:tc>
      </w:tr>
      <w:tr>
        <w:trPr>
          <w:trHeight w:val="167"/>
        </w:trPr>
        <w:tc>
          <w:tcPr>
            <w:tcW w:w="2100" w:type="dxa"/>
            <w:vAlign w:val="bottom"/>
          </w:tcPr>
          <w:p>
            <w:pPr>
              <w:jc w:val="center"/>
              <w:ind w:right="597"/>
              <w:spacing w:after="0"/>
              <w:rPr>
                <w:sz w:val="20"/>
                <w:szCs w:val="20"/>
                <w:color w:val="auto"/>
              </w:rPr>
            </w:pPr>
            <w:r>
              <w:rPr>
                <w:rFonts w:ascii="Times New Roman" w:cs="Times New Roman" w:eastAsia="Times New Roman" w:hAnsi="Times New Roman"/>
                <w:sz w:val="13"/>
                <w:szCs w:val="13"/>
                <w:b w:val="1"/>
                <w:bCs w:val="1"/>
                <w:color w:val="auto"/>
                <w:w w:val="96"/>
              </w:rPr>
              <w:t>of incorporation)</w:t>
            </w:r>
          </w:p>
        </w:tc>
        <w:tc>
          <w:tcPr>
            <w:tcW w:w="5040" w:type="dxa"/>
            <w:vAlign w:val="bottom"/>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6"/>
              </w:rPr>
              <w:t>File Number)</w:t>
            </w:r>
          </w:p>
        </w:tc>
        <w:tc>
          <w:tcPr>
            <w:tcW w:w="1760" w:type="dxa"/>
            <w:vAlign w:val="bottom"/>
          </w:tcPr>
          <w:p>
            <w:pPr>
              <w:jc w:val="center"/>
              <w:ind w:left="717"/>
              <w:spacing w:after="0"/>
              <w:rPr>
                <w:sz w:val="20"/>
                <w:szCs w:val="20"/>
                <w:color w:val="auto"/>
              </w:rPr>
            </w:pPr>
            <w:r>
              <w:rPr>
                <w:rFonts w:ascii="Times New Roman" w:cs="Times New Roman" w:eastAsia="Times New Roman" w:hAnsi="Times New Roman"/>
                <w:sz w:val="13"/>
                <w:szCs w:val="13"/>
                <w:b w:val="1"/>
                <w:bCs w:val="1"/>
                <w:color w:val="auto"/>
                <w:w w:val="96"/>
              </w:rPr>
              <w:t>Identification No.)</w:t>
            </w:r>
          </w:p>
        </w:tc>
      </w:tr>
      <w:tr>
        <w:trPr>
          <w:trHeight w:val="288"/>
        </w:trPr>
        <w:tc>
          <w:tcPr>
            <w:tcW w:w="2100" w:type="dxa"/>
            <w:vAlign w:val="bottom"/>
          </w:tcPr>
          <w:p>
            <w:pPr>
              <w:spacing w:after="0"/>
              <w:rPr>
                <w:sz w:val="24"/>
                <w:szCs w:val="24"/>
                <w:color w:val="auto"/>
              </w:rPr>
            </w:pPr>
          </w:p>
        </w:tc>
        <w:tc>
          <w:tcPr>
            <w:tcW w:w="5040" w:type="dxa"/>
            <w:vAlign w:val="bottom"/>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6"/>
              </w:rPr>
              <w:t>288 Grove Street, Suite 388</w:t>
            </w:r>
          </w:p>
        </w:tc>
        <w:tc>
          <w:tcPr>
            <w:tcW w:w="1760" w:type="dxa"/>
            <w:vAlign w:val="bottom"/>
          </w:tcPr>
          <w:p>
            <w:pPr>
              <w:spacing w:after="0"/>
              <w:rPr>
                <w:sz w:val="24"/>
                <w:szCs w:val="24"/>
                <w:color w:val="auto"/>
              </w:rPr>
            </w:pPr>
          </w:p>
        </w:tc>
      </w:tr>
      <w:tr>
        <w:trPr>
          <w:trHeight w:val="152"/>
        </w:trPr>
        <w:tc>
          <w:tcPr>
            <w:tcW w:w="2100" w:type="dxa"/>
            <w:vAlign w:val="bottom"/>
          </w:tcPr>
          <w:p>
            <w:pPr>
              <w:spacing w:after="0"/>
              <w:rPr>
                <w:sz w:val="13"/>
                <w:szCs w:val="13"/>
                <w:color w:val="auto"/>
              </w:rPr>
            </w:pPr>
          </w:p>
        </w:tc>
        <w:tc>
          <w:tcPr>
            <w:tcW w:w="5040" w:type="dxa"/>
            <w:vAlign w:val="bottom"/>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7"/>
              </w:rPr>
              <w:t>Braintree, MA 02184</w:t>
            </w:r>
          </w:p>
        </w:tc>
        <w:tc>
          <w:tcPr>
            <w:tcW w:w="1760" w:type="dxa"/>
            <w:vAlign w:val="bottom"/>
          </w:tcPr>
          <w:p>
            <w:pPr>
              <w:spacing w:after="0"/>
              <w:rPr>
                <w:sz w:val="13"/>
                <w:szCs w:val="13"/>
                <w:color w:val="auto"/>
              </w:rPr>
            </w:pPr>
          </w:p>
        </w:tc>
      </w:tr>
      <w:tr>
        <w:trPr>
          <w:trHeight w:val="167"/>
        </w:trPr>
        <w:tc>
          <w:tcPr>
            <w:tcW w:w="2100" w:type="dxa"/>
            <w:vAlign w:val="bottom"/>
          </w:tcPr>
          <w:p>
            <w:pPr>
              <w:spacing w:after="0"/>
              <w:rPr>
                <w:sz w:val="14"/>
                <w:szCs w:val="14"/>
                <w:color w:val="auto"/>
              </w:rPr>
            </w:pPr>
          </w:p>
        </w:tc>
        <w:tc>
          <w:tcPr>
            <w:tcW w:w="5040" w:type="dxa"/>
            <w:vAlign w:val="bottom"/>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7"/>
              </w:rPr>
              <w:t>(Address of Principal Executive Offices) (Zip Code)</w:t>
            </w:r>
          </w:p>
        </w:tc>
        <w:tc>
          <w:tcPr>
            <w:tcW w:w="1760" w:type="dxa"/>
            <w:vAlign w:val="bottom"/>
          </w:tcPr>
          <w:p>
            <w:pPr>
              <w:spacing w:after="0"/>
              <w:rPr>
                <w:sz w:val="14"/>
                <w:szCs w:val="14"/>
                <w:color w:val="auto"/>
              </w:rPr>
            </w:pPr>
          </w:p>
        </w:tc>
      </w:tr>
      <w:tr>
        <w:trPr>
          <w:trHeight w:val="303"/>
        </w:trPr>
        <w:tc>
          <w:tcPr>
            <w:tcW w:w="2100" w:type="dxa"/>
            <w:vAlign w:val="bottom"/>
          </w:tcPr>
          <w:p>
            <w:pPr>
              <w:spacing w:after="0"/>
              <w:rPr>
                <w:sz w:val="24"/>
                <w:szCs w:val="24"/>
                <w:color w:val="auto"/>
              </w:rPr>
            </w:pPr>
          </w:p>
        </w:tc>
        <w:tc>
          <w:tcPr>
            <w:tcW w:w="5040" w:type="dxa"/>
            <w:vAlign w:val="bottom"/>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6"/>
              </w:rPr>
              <w:t>Registrant’s telephone number, including area code: (781) 875-3605</w:t>
            </w:r>
          </w:p>
        </w:tc>
        <w:tc>
          <w:tcPr>
            <w:tcW w:w="1760" w:type="dxa"/>
            <w:vAlign w:val="bottom"/>
          </w:tcPr>
          <w:p>
            <w:pPr>
              <w:spacing w:after="0"/>
              <w:rPr>
                <w:sz w:val="24"/>
                <w:szCs w:val="24"/>
                <w:color w:val="auto"/>
              </w:rPr>
            </w:pPr>
          </w:p>
        </w:tc>
      </w:tr>
      <w:tr>
        <w:trPr>
          <w:trHeight w:val="303"/>
        </w:trPr>
        <w:tc>
          <w:tcPr>
            <w:tcW w:w="2100" w:type="dxa"/>
            <w:vAlign w:val="bottom"/>
          </w:tcPr>
          <w:p>
            <w:pPr>
              <w:spacing w:after="0"/>
              <w:rPr>
                <w:sz w:val="24"/>
                <w:szCs w:val="24"/>
                <w:color w:val="auto"/>
              </w:rPr>
            </w:pPr>
          </w:p>
        </w:tc>
        <w:tc>
          <w:tcPr>
            <w:tcW w:w="5040" w:type="dxa"/>
            <w:vAlign w:val="bottom"/>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6"/>
              </w:rPr>
              <w:t>(Former Name or Former Address, if Changed Since Last Report)</w:t>
            </w:r>
          </w:p>
        </w:tc>
        <w:tc>
          <w:tcPr>
            <w:tcW w:w="1760" w:type="dxa"/>
            <w:vAlign w:val="bottom"/>
          </w:tcPr>
          <w:p>
            <w:pPr>
              <w:spacing w:after="0"/>
              <w:rPr>
                <w:sz w:val="24"/>
                <w:szCs w:val="24"/>
                <w:color w:val="auto"/>
              </w:rPr>
            </w:pPr>
          </w:p>
        </w:tc>
      </w:tr>
    </w:tbl>
    <w:p>
      <w:pPr>
        <w:spacing w:after="0" w:line="13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3"/>
          <w:szCs w:val="13"/>
          <w:color w:val="auto"/>
        </w:rPr>
        <w:t>Check the appropriate box below if the Form 8-K filing is intended to simultaneously satisfy the filing obligation of the registrant under any of the following provisions:</w:t>
      </w:r>
    </w:p>
    <w:p>
      <w:pPr>
        <w:spacing w:after="0" w:line="154" w:lineRule="exact"/>
        <w:rPr>
          <w:sz w:val="24"/>
          <w:szCs w:val="24"/>
          <w:color w:val="auto"/>
        </w:rPr>
      </w:pPr>
    </w:p>
    <w:p>
      <w:pPr>
        <w:ind w:left="224" w:hanging="224"/>
        <w:spacing w:after="0"/>
        <w:tabs>
          <w:tab w:leader="none" w:pos="224"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Written communications pursuant to Rule 425 under the Securities Act (17 CFR 230.425)</w:t>
      </w:r>
    </w:p>
    <w:p>
      <w:pPr>
        <w:spacing w:after="0" w:line="153" w:lineRule="exact"/>
        <w:rPr>
          <w:rFonts w:ascii="MS PGothic" w:cs="MS PGothic" w:eastAsia="MS PGothic" w:hAnsi="MS PGothic"/>
          <w:sz w:val="13"/>
          <w:szCs w:val="13"/>
          <w:color w:val="auto"/>
        </w:rPr>
      </w:pPr>
    </w:p>
    <w:p>
      <w:pPr>
        <w:ind w:left="224" w:hanging="224"/>
        <w:spacing w:after="0"/>
        <w:tabs>
          <w:tab w:leader="none" w:pos="224"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Soliciting material pursuant to Rule 14a-12 under the Exchange Act (17 CFR 240.14a-12)</w:t>
      </w:r>
    </w:p>
    <w:p>
      <w:pPr>
        <w:spacing w:after="0" w:line="153" w:lineRule="exact"/>
        <w:rPr>
          <w:rFonts w:ascii="MS PGothic" w:cs="MS PGothic" w:eastAsia="MS PGothic" w:hAnsi="MS PGothic"/>
          <w:sz w:val="13"/>
          <w:szCs w:val="13"/>
          <w:color w:val="auto"/>
        </w:rPr>
      </w:pPr>
    </w:p>
    <w:p>
      <w:pPr>
        <w:ind w:left="224" w:hanging="224"/>
        <w:spacing w:after="0"/>
        <w:tabs>
          <w:tab w:leader="none" w:pos="224"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communications pursuant to Rule 14d-2(b) under the Exchange Act (17 CFR 240.14d-2(b))</w:t>
      </w:r>
    </w:p>
    <w:p>
      <w:pPr>
        <w:spacing w:after="0" w:line="153" w:lineRule="exact"/>
        <w:rPr>
          <w:rFonts w:ascii="MS PGothic" w:cs="MS PGothic" w:eastAsia="MS PGothic" w:hAnsi="MS PGothic"/>
          <w:sz w:val="13"/>
          <w:szCs w:val="13"/>
          <w:color w:val="auto"/>
        </w:rPr>
      </w:pPr>
    </w:p>
    <w:p>
      <w:pPr>
        <w:ind w:left="4" w:right="5440" w:hanging="4"/>
        <w:spacing w:after="0" w:line="485" w:lineRule="auto"/>
        <w:tabs>
          <w:tab w:leader="none" w:pos="232"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67"/>
        </w:trPr>
        <w:tc>
          <w:tcPr>
            <w:tcW w:w="46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8"/>
              </w:rPr>
              <w:t>Title of each class</w:t>
            </w:r>
          </w:p>
        </w:tc>
        <w:tc>
          <w:tcPr>
            <w:tcW w:w="23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5"/>
              </w:rPr>
              <w:t>Trading Symbol(s)</w:t>
            </w:r>
          </w:p>
        </w:tc>
        <w:tc>
          <w:tcPr>
            <w:tcW w:w="43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Name of each exchange on which registered</w:t>
            </w:r>
          </w:p>
        </w:tc>
      </w:tr>
      <w:tr>
        <w:trPr>
          <w:trHeight w:val="163"/>
        </w:trPr>
        <w:tc>
          <w:tcPr>
            <w:tcW w:w="4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Common Stock, $0.01 par value</w:t>
            </w:r>
          </w:p>
        </w:tc>
        <w:tc>
          <w:tcPr>
            <w:tcW w:w="100" w:type="dxa"/>
            <w:vAlign w:val="bottom"/>
          </w:tcPr>
          <w:p>
            <w:pPr>
              <w:spacing w:after="0"/>
              <w:rPr>
                <w:sz w:val="14"/>
                <w:szCs w:val="14"/>
                <w:color w:val="auto"/>
              </w:rPr>
            </w:pPr>
          </w:p>
        </w:tc>
        <w:tc>
          <w:tcPr>
            <w:tcW w:w="2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MBOT</w:t>
            </w:r>
          </w:p>
        </w:tc>
        <w:tc>
          <w:tcPr>
            <w:tcW w:w="100" w:type="dxa"/>
            <w:vAlign w:val="bottom"/>
          </w:tcPr>
          <w:p>
            <w:pPr>
              <w:spacing w:after="0"/>
              <w:rPr>
                <w:sz w:val="14"/>
                <w:szCs w:val="14"/>
                <w:color w:val="auto"/>
              </w:rPr>
            </w:pPr>
          </w:p>
        </w:tc>
        <w:tc>
          <w:tcPr>
            <w:tcW w:w="43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NASDAQ Capital Market</w:t>
            </w:r>
          </w:p>
        </w:tc>
      </w:tr>
    </w:tbl>
    <w:p>
      <w:pPr>
        <w:spacing w:after="0" w:line="126" w:lineRule="exact"/>
        <w:rPr>
          <w:sz w:val="24"/>
          <w:szCs w:val="24"/>
          <w:color w:val="auto"/>
        </w:rPr>
      </w:pPr>
    </w:p>
    <w:p>
      <w:pPr>
        <w:jc w:val="both"/>
        <w:ind w:left="4" w:right="20"/>
        <w:spacing w:after="0" w:line="267" w:lineRule="auto"/>
        <w:rPr>
          <w:sz w:val="20"/>
          <w:szCs w:val="20"/>
          <w:color w:val="auto"/>
        </w:rPr>
      </w:pPr>
      <w:r>
        <w:rPr>
          <w:rFonts w:ascii="Times New Roman" w:cs="Times New Roman" w:eastAsia="Times New Roman" w:hAnsi="Times New Roman"/>
          <w:sz w:val="13"/>
          <w:szCs w:val="13"/>
          <w:color w:val="auto"/>
        </w:rPr>
        <w:t>Indicate by check mark whether the registrant is an emerging growth company as defined in Rule 405 of the Securities Act of 1933 (17 CFR §230.405) or Rule 12b-2 of the Securities Exchange Act of 1934 (17 CFR §240.12b-2).</w:t>
      </w:r>
    </w:p>
    <w:p>
      <w:pPr>
        <w:spacing w:after="0" w:line="94" w:lineRule="exact"/>
        <w:rPr>
          <w:sz w:val="24"/>
          <w:szCs w:val="24"/>
          <w:color w:val="auto"/>
        </w:rPr>
      </w:pPr>
    </w:p>
    <w:p>
      <w:pPr>
        <w:ind w:left="4"/>
        <w:spacing w:after="0" w:line="150" w:lineRule="exact"/>
        <w:rPr>
          <w:sz w:val="20"/>
          <w:szCs w:val="20"/>
          <w:color w:val="auto"/>
        </w:rPr>
      </w:pPr>
      <w:r>
        <w:rPr>
          <w:rFonts w:ascii="Times New Roman" w:cs="Times New Roman" w:eastAsia="Times New Roman" w:hAnsi="Times New Roman"/>
          <w:sz w:val="13"/>
          <w:szCs w:val="13"/>
          <w:color w:val="auto"/>
        </w:rPr>
        <w:t xml:space="preserve">Emerging Growth Company </w:t>
      </w:r>
      <w:r>
        <w:rPr>
          <w:rFonts w:ascii="MS PGothic" w:cs="MS PGothic" w:eastAsia="MS PGothic" w:hAnsi="MS PGothic"/>
          <w:sz w:val="13"/>
          <w:szCs w:val="13"/>
          <w:color w:val="auto"/>
        </w:rPr>
        <w:t>☐</w:t>
      </w:r>
    </w:p>
    <w:p>
      <w:pPr>
        <w:spacing w:after="0" w:line="182" w:lineRule="exact"/>
        <w:rPr>
          <w:sz w:val="24"/>
          <w:szCs w:val="24"/>
          <w:color w:val="auto"/>
        </w:rPr>
      </w:pPr>
    </w:p>
    <w:p>
      <w:pPr>
        <w:jc w:val="both"/>
        <w:ind w:left="4" w:right="20"/>
        <w:spacing w:after="0" w:line="168"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84455</wp:posOffset>
            </wp:positionV>
            <wp:extent cx="717296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2960"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96520</wp:posOffset>
            </wp:positionV>
            <wp:extent cx="717296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2960" cy="298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325120</wp:posOffset>
            </wp:positionV>
            <wp:extent cx="717296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ectPr>
          <w:pgSz w:w="11900" w:h="16838" w:orient="portrait"/>
          <w:cols w:equalWidth="0" w:num="1">
            <w:col w:w="11304"/>
          </w:cols>
          <w:pgMar w:left="296" w:top="561" w:right="2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3"/>
          <w:szCs w:val="13"/>
          <w:b w:val="1"/>
          <w:bCs w:val="1"/>
          <w:color w:val="auto"/>
        </w:rPr>
        <w:t>Item 7.01 Regulation FD Disclosure.</w:t>
      </w:r>
    </w:p>
    <w:p>
      <w:pPr>
        <w:spacing w:after="0" w:line="1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On October 31, 2024, Microbot Medical Inc. (the “Company”) released updated presentation materials, which are expected to be posted on its website on or about October 31, 2024.</w:t>
      </w:r>
    </w:p>
    <w:p>
      <w:pPr>
        <w:spacing w:after="0" w:line="154" w:lineRule="exact"/>
        <w:rPr>
          <w:sz w:val="20"/>
          <w:szCs w:val="20"/>
          <w:color w:val="auto"/>
        </w:rPr>
      </w:pPr>
    </w:p>
    <w:p>
      <w:pPr>
        <w:jc w:val="both"/>
        <w:ind w:right="20" w:firstLine="455"/>
        <w:spacing w:after="0" w:line="267" w:lineRule="auto"/>
        <w:rPr>
          <w:sz w:val="20"/>
          <w:szCs w:val="20"/>
          <w:color w:val="auto"/>
        </w:rPr>
      </w:pPr>
      <w:r>
        <w:rPr>
          <w:rFonts w:ascii="Times New Roman" w:cs="Times New Roman" w:eastAsia="Times New Roman" w:hAnsi="Times New Roman"/>
          <w:sz w:val="13"/>
          <w:szCs w:val="13"/>
          <w:color w:val="auto"/>
        </w:rPr>
        <w:t>The presentation materials will be accessed via the ‘Investors’ section, under ‘IR Resources’ and then ‘Additional Resources,’ of the Company’s website at www.microbotmedical.com. The Company is not undertaking to update these presentation materials.</w:t>
      </w:r>
    </w:p>
    <w:p>
      <w:pPr>
        <w:spacing w:after="0" w:line="122" w:lineRule="exact"/>
        <w:rPr>
          <w:sz w:val="20"/>
          <w:szCs w:val="20"/>
          <w:color w:val="auto"/>
        </w:rPr>
      </w:pPr>
    </w:p>
    <w:p>
      <w:pPr>
        <w:jc w:val="both"/>
        <w:ind w:right="20" w:firstLine="455"/>
        <w:spacing w:after="0" w:line="255" w:lineRule="auto"/>
        <w:rPr>
          <w:sz w:val="20"/>
          <w:szCs w:val="20"/>
          <w:color w:val="auto"/>
        </w:rPr>
      </w:pPr>
      <w:r>
        <w:rPr>
          <w:rFonts w:ascii="Times New Roman" w:cs="Times New Roman" w:eastAsia="Times New Roman" w:hAnsi="Times New Roman"/>
          <w:sz w:val="13"/>
          <w:szCs w:val="13"/>
          <w:color w:val="auto"/>
        </w:rPr>
        <w:t>The presentation materials are also furnished as Exhibit 99.1 to this Current Report on Form 8-K and are incorporated herein by reference. The information in this report (including Exhibit 99.1) is being furnished pursuant to Item 7.01 and shall not be deemed to be “filed” for the purposes of Section 18 of the Securities Exchange Act of 1934, as amended, or otherwise subject to the liabilities of that section. This report will not be deemed an admission as to the materiality of any information herein (including Exhibit 99.1).</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9.01. Financial Statements and Exhibits.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i w:val="1"/>
                <w:iCs w:val="1"/>
                <w:color w:val="auto"/>
              </w:rPr>
              <w:t>(d) Exhibits</w:t>
            </w:r>
          </w:p>
        </w:tc>
        <w:tc>
          <w:tcPr>
            <w:tcW w:w="1140" w:type="dxa"/>
            <w:vAlign w:val="bottom"/>
          </w:tcPr>
          <w:p>
            <w:pPr>
              <w:spacing w:after="0"/>
              <w:rPr>
                <w:sz w:val="14"/>
                <w:szCs w:val="14"/>
                <w:color w:val="auto"/>
              </w:rPr>
            </w:pPr>
          </w:p>
        </w:tc>
        <w:tc>
          <w:tcPr>
            <w:tcW w:w="9400" w:type="dxa"/>
            <w:vAlign w:val="bottom"/>
          </w:tcPr>
          <w:p>
            <w:pPr>
              <w:spacing w:after="0"/>
              <w:rPr>
                <w:sz w:val="14"/>
                <w:szCs w:val="14"/>
                <w:color w:val="auto"/>
              </w:rPr>
            </w:pPr>
          </w:p>
        </w:tc>
      </w:tr>
      <w:tr>
        <w:trPr>
          <w:trHeight w:val="288"/>
        </w:trPr>
        <w:tc>
          <w:tcPr>
            <w:tcW w:w="7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Exhibit</w:t>
            </w:r>
          </w:p>
        </w:tc>
        <w:tc>
          <w:tcPr>
            <w:tcW w:w="1140" w:type="dxa"/>
            <w:vAlign w:val="bottom"/>
          </w:tcPr>
          <w:p>
            <w:pPr>
              <w:spacing w:after="0"/>
              <w:rPr>
                <w:sz w:val="24"/>
                <w:szCs w:val="24"/>
                <w:color w:val="auto"/>
              </w:rPr>
            </w:pPr>
          </w:p>
        </w:tc>
        <w:tc>
          <w:tcPr>
            <w:tcW w:w="9400" w:type="dxa"/>
            <w:vAlign w:val="bottom"/>
          </w:tcPr>
          <w:p>
            <w:pPr>
              <w:spacing w:after="0"/>
              <w:rPr>
                <w:sz w:val="24"/>
                <w:szCs w:val="24"/>
                <w:color w:val="auto"/>
              </w:rPr>
            </w:pPr>
          </w:p>
        </w:tc>
      </w:tr>
      <w:tr>
        <w:trPr>
          <w:trHeight w:val="166"/>
        </w:trPr>
        <w:tc>
          <w:tcPr>
            <w:tcW w:w="7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105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Description</w:t>
            </w:r>
          </w:p>
        </w:tc>
      </w:tr>
      <w:tr>
        <w:trPr>
          <w:trHeight w:val="264"/>
        </w:trPr>
        <w:tc>
          <w:tcPr>
            <w:tcW w:w="6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color w:val="auto"/>
              </w:rPr>
              <w:t>99.1</w:t>
            </w:r>
          </w:p>
        </w:tc>
        <w:tc>
          <w:tcPr>
            <w:tcW w:w="80" w:type="dxa"/>
            <w:vAlign w:val="bottom"/>
          </w:tcPr>
          <w:p>
            <w:pPr>
              <w:spacing w:after="0"/>
              <w:rPr>
                <w:sz w:val="22"/>
                <w:szCs w:val="22"/>
                <w:color w:val="auto"/>
              </w:rPr>
            </w:pPr>
          </w:p>
        </w:tc>
        <w:tc>
          <w:tcPr>
            <w:tcW w:w="1140" w:type="dxa"/>
            <w:vAlign w:val="bottom"/>
            <w:tcBorders>
              <w:top w:val="single" w:sz="8" w:color="auto"/>
              <w:bottom w:val="single" w:sz="8" w:color="0000EE"/>
            </w:tcBorders>
          </w:tcPr>
          <w:p>
            <w:pPr>
              <w:spacing w:after="0"/>
              <w:rPr>
                <w:sz w:val="20"/>
                <w:szCs w:val="20"/>
                <w:color w:val="auto"/>
              </w:rPr>
            </w:pPr>
            <w:r>
              <w:rPr>
                <w:rFonts w:ascii="Times New Roman" w:cs="Times New Roman" w:eastAsia="Times New Roman" w:hAnsi="Times New Roman"/>
                <w:sz w:val="13"/>
                <w:szCs w:val="13"/>
                <w:color w:val="0000EE"/>
                <w:w w:val="95"/>
              </w:rPr>
              <w:t>Presentation Materials</w:t>
            </w:r>
          </w:p>
        </w:tc>
        <w:tc>
          <w:tcPr>
            <w:tcW w:w="9400" w:type="dxa"/>
            <w:vAlign w:val="bottom"/>
            <w:tcBorders>
              <w:top w:val="single" w:sz="8" w:color="auto"/>
            </w:tcBorders>
          </w:tcPr>
          <w:p>
            <w:pPr>
              <w:spacing w:after="0"/>
              <w:rPr>
                <w:sz w:val="22"/>
                <w:szCs w:val="22"/>
                <w:color w:val="auto"/>
              </w:rPr>
            </w:pPr>
          </w:p>
        </w:tc>
      </w:tr>
      <w:tr>
        <w:trPr>
          <w:trHeight w:val="160"/>
        </w:trPr>
        <w:tc>
          <w:tcPr>
            <w:tcW w:w="680" w:type="dxa"/>
            <w:vAlign w:val="bottom"/>
          </w:tcPr>
          <w:p>
            <w:pPr>
              <w:spacing w:after="0"/>
              <w:rPr>
                <w:sz w:val="20"/>
                <w:szCs w:val="20"/>
                <w:color w:val="auto"/>
              </w:rPr>
            </w:pPr>
            <w:r>
              <w:rPr>
                <w:rFonts w:ascii="Times New Roman" w:cs="Times New Roman" w:eastAsia="Times New Roman" w:hAnsi="Times New Roman"/>
                <w:sz w:val="13"/>
                <w:szCs w:val="13"/>
                <w:color w:val="auto"/>
              </w:rPr>
              <w:t>104</w:t>
            </w:r>
          </w:p>
        </w:tc>
        <w:tc>
          <w:tcPr>
            <w:tcW w:w="80" w:type="dxa"/>
            <w:vAlign w:val="bottom"/>
          </w:tcPr>
          <w:p>
            <w:pPr>
              <w:spacing w:after="0"/>
              <w:rPr>
                <w:sz w:val="13"/>
                <w:szCs w:val="13"/>
                <w:color w:val="auto"/>
              </w:rPr>
            </w:pPr>
          </w:p>
        </w:tc>
        <w:tc>
          <w:tcPr>
            <w:tcW w:w="105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Cover Page Interactive Data File (embedded within the Inline XBRL document)</w:t>
            </w:r>
          </w:p>
        </w:tc>
      </w:tr>
      <w:tr>
        <w:trPr>
          <w:trHeight w:val="303"/>
        </w:trPr>
        <w:tc>
          <w:tcPr>
            <w:tcW w:w="6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940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504" w:right="2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3"/>
          <w:szCs w:val="13"/>
          <w:b w:val="1"/>
          <w:bCs w:val="1"/>
          <w:color w:val="auto"/>
        </w:rPr>
        <w:t>SIGNATURES</w:t>
      </w:r>
    </w:p>
    <w:p>
      <w:pPr>
        <w:spacing w:after="0" w:line="1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Pursuant to the requirements of the Securities Exchange Act of 1934, the Registrant has duly caused this report to be signed on its behalf by the undersigned thereunto duly authorized.</w:t>
      </w:r>
    </w:p>
    <w:p>
      <w:pPr>
        <w:spacing w:after="0" w:line="152"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3"/>
          <w:szCs w:val="13"/>
          <w:b w:val="1"/>
          <w:bCs w:val="1"/>
          <w:color w:val="auto"/>
        </w:rPr>
        <w:t>MICROBOT MEDICAL INC.</w:t>
      </w:r>
    </w:p>
    <w:p>
      <w:pPr>
        <w:spacing w:after="0" w:line="154" w:lineRule="exact"/>
        <w:rPr>
          <w:sz w:val="20"/>
          <w:szCs w:val="20"/>
          <w:color w:val="auto"/>
        </w:rPr>
      </w:pPr>
    </w:p>
    <w:tbl>
      <w:tblPr>
        <w:tblLayout w:type="fixed"/>
        <w:tblInd w:w="5660" w:type="dxa"/>
        <w:tblCellMar>
          <w:top w:w="0" w:type="dxa"/>
          <w:left w:w="0" w:type="dxa"/>
          <w:bottom w:w="0" w:type="dxa"/>
          <w:right w:w="0" w:type="dxa"/>
        </w:tblCellMar>
      </w:tblPr>
      <w:tr>
        <w:trPr>
          <w:trHeight w:val="166"/>
        </w:trPr>
        <w:tc>
          <w:tcPr>
            <w:tcW w:w="560" w:type="dxa"/>
            <w:vAlign w:val="bottom"/>
          </w:tcPr>
          <w:p>
            <w:pPr>
              <w:spacing w:after="0"/>
              <w:rPr>
                <w:sz w:val="20"/>
                <w:szCs w:val="20"/>
                <w:color w:val="auto"/>
              </w:rPr>
            </w:pPr>
            <w:r>
              <w:rPr>
                <w:rFonts w:ascii="Times New Roman" w:cs="Times New Roman" w:eastAsia="Times New Roman" w:hAnsi="Times New Roman"/>
                <w:sz w:val="13"/>
                <w:szCs w:val="13"/>
                <w:color w:val="auto"/>
              </w:rPr>
              <w:t>By:</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i w:val="1"/>
                <w:iCs w:val="1"/>
                <w:color w:val="auto"/>
              </w:rPr>
              <w:t>/s/ Harel Gadot</w:t>
            </w:r>
          </w:p>
        </w:tc>
      </w:tr>
      <w:tr>
        <w:trPr>
          <w:trHeight w:val="128"/>
        </w:trPr>
        <w:tc>
          <w:tcPr>
            <w:tcW w:w="560" w:type="dxa"/>
            <w:vAlign w:val="bottom"/>
          </w:tcPr>
          <w:p>
            <w:pPr>
              <w:spacing w:after="0" w:line="128" w:lineRule="exact"/>
              <w:rPr>
                <w:sz w:val="20"/>
                <w:szCs w:val="20"/>
                <w:color w:val="auto"/>
              </w:rPr>
            </w:pPr>
            <w:r>
              <w:rPr>
                <w:rFonts w:ascii="Times New Roman" w:cs="Times New Roman" w:eastAsia="Times New Roman" w:hAnsi="Times New Roman"/>
                <w:sz w:val="13"/>
                <w:szCs w:val="13"/>
                <w:color w:val="auto"/>
              </w:rPr>
              <w:t>Name:</w:t>
            </w:r>
          </w:p>
        </w:tc>
        <w:tc>
          <w:tcPr>
            <w:tcW w:w="5080" w:type="dxa"/>
            <w:vAlign w:val="bottom"/>
          </w:tcPr>
          <w:p>
            <w:pPr>
              <w:spacing w:after="0" w:line="128" w:lineRule="exact"/>
              <w:rPr>
                <w:sz w:val="20"/>
                <w:szCs w:val="20"/>
                <w:color w:val="auto"/>
              </w:rPr>
            </w:pPr>
            <w:r>
              <w:rPr>
                <w:rFonts w:ascii="Times New Roman" w:cs="Times New Roman" w:eastAsia="Times New Roman" w:hAnsi="Times New Roman"/>
                <w:sz w:val="13"/>
                <w:szCs w:val="13"/>
                <w:color w:val="auto"/>
              </w:rPr>
              <w:t>Harel Gadot</w:t>
            </w:r>
          </w:p>
        </w:tc>
      </w:tr>
      <w:tr>
        <w:trPr>
          <w:trHeight w:val="165"/>
        </w:trPr>
        <w:tc>
          <w:tcPr>
            <w:tcW w:w="560" w:type="dxa"/>
            <w:vAlign w:val="bottom"/>
          </w:tcPr>
          <w:p>
            <w:pPr>
              <w:spacing w:after="0"/>
              <w:rPr>
                <w:sz w:val="20"/>
                <w:szCs w:val="20"/>
                <w:color w:val="auto"/>
              </w:rPr>
            </w:pPr>
            <w:r>
              <w:rPr>
                <w:rFonts w:ascii="Times New Roman" w:cs="Times New Roman" w:eastAsia="Times New Roman" w:hAnsi="Times New Roman"/>
                <w:sz w:val="13"/>
                <w:szCs w:val="13"/>
                <w:color w:val="auto"/>
              </w:rPr>
              <w:t>Title:</w:t>
            </w:r>
          </w:p>
        </w:tc>
        <w:tc>
          <w:tcPr>
            <w:tcW w:w="5080" w:type="dxa"/>
            <w:vAlign w:val="bottom"/>
          </w:tcPr>
          <w:p>
            <w:pPr>
              <w:spacing w:after="0"/>
              <w:rPr>
                <w:sz w:val="20"/>
                <w:szCs w:val="20"/>
                <w:color w:val="auto"/>
              </w:rPr>
            </w:pPr>
            <w:r>
              <w:rPr>
                <w:rFonts w:ascii="Times New Roman" w:cs="Times New Roman" w:eastAsia="Times New Roman" w:hAnsi="Times New Roman"/>
                <w:sz w:val="13"/>
                <w:szCs w:val="13"/>
                <w:color w:val="auto"/>
              </w:rPr>
              <w:t>Chief Executive Officer, President and Chairman</w:t>
            </w:r>
          </w:p>
        </w:tc>
      </w:tr>
    </w:tbl>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Date: October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201930</wp:posOffset>
            </wp:positionV>
            <wp:extent cx="717296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ectPr>
          <w:pgSz w:w="11900" w:h="16838" w:orient="portrait"/>
          <w:cols w:equalWidth="0" w:num="1">
            <w:col w:w="11300"/>
          </w:cols>
          <w:pgMar w:left="300" w:top="504" w:right="299" w:bottom="1440" w:gutter="0" w:footer="0" w:header="0"/>
        </w:sectPr>
      </w:pPr>
    </w:p>
    <w:bookmarkStart w:id="3" w:name="page4"/>
    <w:bookmarkEnd w:id="3"/>
    <w:p>
      <w:pPr>
        <w:ind w:left="9500"/>
        <w:spacing w:after="0"/>
        <w:rPr>
          <w:sz w:val="20"/>
          <w:szCs w:val="20"/>
          <w:color w:val="auto"/>
        </w:rPr>
      </w:pPr>
      <w:r>
        <w:rPr>
          <w:rFonts w:ascii="Times New Roman" w:cs="Times New Roman" w:eastAsia="Times New Roman" w:hAnsi="Times New Roman"/>
          <w:sz w:val="12"/>
          <w:szCs w:val="1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wp:posOffset>
            </wp:positionH>
            <wp:positionV relativeFrom="paragraph">
              <wp:posOffset>114300</wp:posOffset>
            </wp:positionV>
            <wp:extent cx="7216140" cy="42608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16140" cy="4260850"/>
                    </a:xfrm>
                    <a:prstGeom prst="rect">
                      <a:avLst/>
                    </a:prstGeom>
                    <a:noFill/>
                  </pic:spPr>
                </pic:pic>
              </a:graphicData>
            </a:graphic>
          </wp:anchor>
        </w:drawing>
      </w:r>
    </w:p>
    <w:p>
      <w:pPr>
        <w:sectPr>
          <w:pgSz w:w="11900" w:h="16838" w:orient="portrait"/>
          <w:cols w:equalWidth="0" w:num="1">
            <w:col w:w="10160"/>
          </w:cols>
          <w:pgMar w:left="1440" w:top="276" w:right="299" w:bottom="1440"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329565</wp:posOffset>
            </wp:positionV>
            <wp:extent cx="7216140" cy="42608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16140" cy="426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329565</wp:posOffset>
            </wp:positionV>
            <wp:extent cx="7216140" cy="42608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16140" cy="426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329565</wp:posOffset>
            </wp:positionV>
            <wp:extent cx="7216140" cy="42608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6140" cy="426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329565</wp:posOffset>
            </wp:positionV>
            <wp:extent cx="7216140" cy="42608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6140" cy="426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329565</wp:posOffset>
            </wp:positionV>
            <wp:extent cx="7216140" cy="42608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6140" cy="426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329565</wp:posOffset>
            </wp:positionV>
            <wp:extent cx="7216140" cy="42608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6140" cy="426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329565</wp:posOffset>
            </wp:positionV>
            <wp:extent cx="7216140" cy="42608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6140" cy="426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329565</wp:posOffset>
            </wp:positionV>
            <wp:extent cx="7216140" cy="42608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6140" cy="426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329565</wp:posOffset>
            </wp:positionV>
            <wp:extent cx="7216140" cy="42608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6140" cy="426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329565</wp:posOffset>
            </wp:positionV>
            <wp:extent cx="7216140" cy="42608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6140" cy="426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329565</wp:posOffset>
            </wp:positionV>
            <wp:extent cx="7216140" cy="42608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6140" cy="426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329565</wp:posOffset>
            </wp:positionV>
            <wp:extent cx="7216140" cy="42608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6140" cy="426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329565</wp:posOffset>
            </wp:positionV>
            <wp:extent cx="7216140" cy="42608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6140" cy="426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329565</wp:posOffset>
            </wp:positionV>
            <wp:extent cx="7216140" cy="42608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6140" cy="426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329565</wp:posOffset>
            </wp:positionV>
            <wp:extent cx="7216140" cy="42608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6140" cy="426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329565</wp:posOffset>
            </wp:positionV>
            <wp:extent cx="7216140" cy="42608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6140" cy="426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426085</wp:posOffset>
            </wp:positionV>
            <wp:extent cx="7216140" cy="4356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6140" cy="43567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329565</wp:posOffset>
            </wp:positionV>
            <wp:extent cx="7216140" cy="42608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6140" cy="426085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2024-10-31T07:40:33Z</dcterms:created>
  <dcterms:modified xsi:type="dcterms:W3CDTF">2024-10-31T07:40:33Z</dcterms:modified>
</cp:coreProperties>
</file>