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4" w:lineRule="exact"/>
        <w:rPr>
          <w:sz w:val="24"/>
          <w:szCs w:val="24"/>
          <w:color w:val="auto"/>
        </w:rPr>
      </w:pPr>
    </w:p>
    <w:p>
      <w:pPr>
        <w:ind w:left="2990"/>
        <w:spacing w:after="0"/>
        <w:rPr>
          <w:sz w:val="20"/>
          <w:szCs w:val="20"/>
          <w:color w:val="auto"/>
        </w:rPr>
      </w:pPr>
      <w:r>
        <w:rPr>
          <w:rFonts w:ascii="Courier New" w:cs="Courier New" w:eastAsia="Courier New" w:hAnsi="Courier New"/>
          <w:sz w:val="15"/>
          <w:szCs w:val="15"/>
          <w:color w:val="auto"/>
        </w:rPr>
        <w:t>FORM 10-K/A</w:t>
      </w: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55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270"/>
        <w:spacing w:after="0"/>
        <w:tabs>
          <w:tab w:leader="none" w:pos="94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4"/>
          <w:szCs w:val="14"/>
          <w:color w:val="auto"/>
        </w:rPr>
        <w:t>ANNUAL REPORT PURSUANT TO SECTION 13 OR 15(d) OF THE</w:t>
      </w:r>
    </w:p>
    <w:p>
      <w:pPr>
        <w:ind w:left="97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308" w:lineRule="exact"/>
        <w:rPr>
          <w:sz w:val="24"/>
          <w:szCs w:val="24"/>
          <w:color w:val="auto"/>
        </w:rPr>
      </w:pPr>
    </w:p>
    <w:p>
      <w:pPr>
        <w:ind w:left="1590"/>
        <w:spacing w:after="0"/>
        <w:rPr>
          <w:sz w:val="20"/>
          <w:szCs w:val="20"/>
          <w:color w:val="auto"/>
        </w:rPr>
      </w:pPr>
      <w:r>
        <w:rPr>
          <w:rFonts w:ascii="Courier New" w:cs="Courier New" w:eastAsia="Courier New" w:hAnsi="Courier New"/>
          <w:sz w:val="15"/>
          <w:szCs w:val="15"/>
          <w:color w:val="auto"/>
        </w:rPr>
        <w:t>FOR THE FISCAL YEAR ENDED DECEMBER 31, 2000</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970" w:right="4319" w:hanging="705"/>
        <w:spacing w:after="0" w:line="235" w:lineRule="auto"/>
        <w:tabs>
          <w:tab w:leader="none" w:pos="44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200" w:lineRule="exact"/>
        <w:rPr>
          <w:sz w:val="24"/>
          <w:szCs w:val="24"/>
          <w:color w:val="auto"/>
        </w:rPr>
      </w:pPr>
    </w:p>
    <w:p>
      <w:pPr>
        <w:spacing w:after="0" w:line="30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COMMISSION FILE NUMBER 0-19871</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STEMCELLS, INC.</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401" w:right="1440"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141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450"/>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ind w:left="45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94-3078125</w:t>
      </w:r>
    </w:p>
    <w:p>
      <w:pPr>
        <w:spacing w:after="0" w:line="5"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4"/>
          <w:szCs w:val="14"/>
          <w:color w:val="auto"/>
        </w:rPr>
        <w:t>(I.R.S. Employer Identification No.)</w:t>
      </w:r>
    </w:p>
    <w:p>
      <w:pPr>
        <w:spacing w:after="0" w:line="375" w:lineRule="exact"/>
        <w:rPr>
          <w:sz w:val="24"/>
          <w:szCs w:val="24"/>
          <w:color w:val="auto"/>
        </w:rPr>
      </w:pPr>
    </w:p>
    <w:p>
      <w:pPr>
        <w:sectPr>
          <w:pgSz w:w="11900" w:h="16838" w:orient="portrait"/>
          <w:cols w:equalWidth="0" w:num="2">
            <w:col w:w="3250" w:space="720"/>
            <w:col w:w="6259"/>
          </w:cols>
          <w:pgMar w:left="230" w:top="401" w:right="1440" w:bottom="1440" w:gutter="0" w:footer="0" w:header="0"/>
          <w:type w:val="continuous"/>
        </w:sectPr>
      </w:pPr>
    </w:p>
    <w:p>
      <w:pPr>
        <w:spacing w:after="0" w:line="308" w:lineRule="exact"/>
        <w:rPr>
          <w:sz w:val="24"/>
          <w:szCs w:val="24"/>
          <w:color w:val="auto"/>
        </w:rPr>
      </w:pPr>
    </w:p>
    <w:p>
      <w:pPr>
        <w:jc w:val="center"/>
        <w:ind w:right="3270"/>
        <w:spacing w:after="0"/>
        <w:rPr>
          <w:sz w:val="20"/>
          <w:szCs w:val="20"/>
          <w:color w:val="auto"/>
        </w:rPr>
      </w:pPr>
      <w:r>
        <w:rPr>
          <w:rFonts w:ascii="Courier New" w:cs="Courier New" w:eastAsia="Courier New" w:hAnsi="Courier New"/>
          <w:sz w:val="15"/>
          <w:szCs w:val="15"/>
          <w:color w:val="auto"/>
        </w:rPr>
        <w:t>3155 PORTER DRIVE</w:t>
      </w:r>
    </w:p>
    <w:p>
      <w:pPr>
        <w:jc w:val="center"/>
        <w:ind w:right="3270"/>
        <w:spacing w:after="0"/>
        <w:rPr>
          <w:sz w:val="20"/>
          <w:szCs w:val="20"/>
          <w:color w:val="auto"/>
        </w:rPr>
      </w:pPr>
      <w:r>
        <w:rPr>
          <w:rFonts w:ascii="Courier New" w:cs="Courier New" w:eastAsia="Courier New" w:hAnsi="Courier New"/>
          <w:sz w:val="15"/>
          <w:szCs w:val="15"/>
          <w:color w:val="auto"/>
        </w:rPr>
        <w:t>PALO ALTO, CALIFORNIA 94304</w:t>
      </w:r>
    </w:p>
    <w:p>
      <w:pPr>
        <w:spacing w:after="0" w:line="5" w:lineRule="exact"/>
        <w:rPr>
          <w:sz w:val="24"/>
          <w:szCs w:val="24"/>
          <w:color w:val="auto"/>
        </w:rPr>
      </w:pPr>
    </w:p>
    <w:p>
      <w:pPr>
        <w:jc w:val="center"/>
        <w:ind w:right="3270"/>
        <w:spacing w:after="0"/>
        <w:rPr>
          <w:sz w:val="20"/>
          <w:szCs w:val="20"/>
          <w:color w:val="auto"/>
        </w:rPr>
      </w:pPr>
      <w:r>
        <w:rPr>
          <w:rFonts w:ascii="Courier New" w:cs="Courier New" w:eastAsia="Courier New" w:hAnsi="Courier New"/>
          <w:sz w:val="14"/>
          <w:szCs w:val="14"/>
          <w:color w:val="auto"/>
        </w:rPr>
        <w:t>(Address of principal offices) (zip code)</w:t>
      </w:r>
    </w:p>
    <w:p>
      <w:pPr>
        <w:sectPr>
          <w:pgSz w:w="11900" w:h="16838" w:orient="portrait"/>
          <w:cols w:equalWidth="0" w:num="1">
            <w:col w:w="10229"/>
          </w:cols>
          <w:pgMar w:left="230" w:top="401" w:right="1440" w:bottom="1440" w:gutter="0" w:footer="0" w:header="0"/>
          <w:type w:val="continuous"/>
        </w:sectPr>
      </w:pPr>
    </w:p>
    <w:p>
      <w:pPr>
        <w:spacing w:after="0" w:line="200" w:lineRule="exact"/>
        <w:rPr>
          <w:sz w:val="24"/>
          <w:szCs w:val="24"/>
          <w:color w:val="auto"/>
        </w:rPr>
      </w:pPr>
    </w:p>
    <w:p>
      <w:pPr>
        <w:spacing w:after="0" w:line="314" w:lineRule="exact"/>
        <w:rPr>
          <w:sz w:val="24"/>
          <w:szCs w:val="24"/>
          <w:color w:val="auto"/>
        </w:rPr>
      </w:pPr>
    </w:p>
    <w:p>
      <w:pPr>
        <w:ind w:left="530"/>
        <w:spacing w:after="0"/>
        <w:tabs>
          <w:tab w:leader="none" w:pos="5189"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(650) 475-3100</w:t>
      </w:r>
    </w:p>
    <w:p>
      <w:pPr>
        <w:spacing w:after="0" w:line="33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jc w:val="center"/>
        <w:ind w:right="317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jc w:val="center"/>
        <w:ind w:right="3170"/>
        <w:spacing w:after="0"/>
        <w:rPr>
          <w:sz w:val="20"/>
          <w:szCs w:val="20"/>
          <w:color w:val="auto"/>
        </w:rPr>
      </w:pPr>
      <w:r>
        <w:rPr>
          <w:rFonts w:ascii="Courier New" w:cs="Courier New" w:eastAsia="Courier New" w:hAnsi="Courier New"/>
          <w:sz w:val="15"/>
          <w:szCs w:val="15"/>
          <w:color w:val="auto"/>
        </w:rPr>
        <w:t>COMMON STOCK, $.01 PAR VALUE</w:t>
      </w:r>
    </w:p>
    <w:p>
      <w:pPr>
        <w:jc w:val="center"/>
        <w:ind w:right="3170"/>
        <w:spacing w:after="0"/>
        <w:rPr>
          <w:sz w:val="20"/>
          <w:szCs w:val="20"/>
          <w:color w:val="auto"/>
        </w:rPr>
      </w:pPr>
      <w:r>
        <w:rPr>
          <w:rFonts w:ascii="Courier New" w:cs="Courier New" w:eastAsia="Courier New" w:hAnsi="Courier New"/>
          <w:sz w:val="15"/>
          <w:szCs w:val="15"/>
          <w:color w:val="auto"/>
        </w:rPr>
        <w:t>JUNIOR PREFERRED STOCK PURCHASE RIGHTS</w:t>
      </w:r>
    </w:p>
    <w:p>
      <w:pPr>
        <w:jc w:val="center"/>
        <w:ind w:right="3170"/>
        <w:spacing w:after="0" w:line="238" w:lineRule="auto"/>
        <w:rPr>
          <w:sz w:val="20"/>
          <w:szCs w:val="20"/>
          <w:color w:val="auto"/>
        </w:rPr>
      </w:pPr>
      <w:r>
        <w:rPr>
          <w:rFonts w:ascii="Courier New" w:cs="Courier New" w:eastAsia="Courier New" w:hAnsi="Courier New"/>
          <w:sz w:val="15"/>
          <w:szCs w:val="15"/>
          <w:color w:val="auto"/>
        </w:rPr>
        <w:t>Title of class</w:t>
      </w:r>
    </w:p>
    <w:p>
      <w:pPr>
        <w:spacing w:after="0" w:line="175" w:lineRule="exact"/>
        <w:rPr>
          <w:sz w:val="24"/>
          <w:szCs w:val="24"/>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No /X/</w:t>
      </w:r>
    </w:p>
    <w:p>
      <w:pPr>
        <w:spacing w:after="0" w:line="178" w:lineRule="exact"/>
        <w:rPr>
          <w:sz w:val="24"/>
          <w:szCs w:val="24"/>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8" w:lineRule="exact"/>
        <w:rPr>
          <w:sz w:val="24"/>
          <w:szCs w:val="24"/>
          <w:color w:val="auto"/>
        </w:rPr>
      </w:pPr>
    </w:p>
    <w:p>
      <w:pPr>
        <w:ind w:left="10" w:right="3359" w:firstLine="353"/>
        <w:spacing w:after="0" w:line="258" w:lineRule="auto"/>
        <w:rPr>
          <w:sz w:val="20"/>
          <w:szCs w:val="20"/>
          <w:color w:val="auto"/>
        </w:rPr>
      </w:pPr>
      <w:r>
        <w:rPr>
          <w:rFonts w:ascii="Courier New" w:cs="Courier New" w:eastAsia="Courier New" w:hAnsi="Courier New"/>
          <w:sz w:val="14"/>
          <w:szCs w:val="14"/>
          <w:color w:val="auto"/>
        </w:rPr>
        <w:t>Aggregate market value of Common Stock held by non-affiliates at March 20, 2001: $42,643,084.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 Common stock outstanding at March 20, 2001: 20,994,035 shares.</w:t>
      </w:r>
    </w:p>
    <w:p>
      <w:pPr>
        <w:spacing w:after="0" w:line="164"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401" w:right="1440" w:bottom="1440" w:gutter="0" w:footer="0" w:header="0"/>
          <w:type w:val="continuous"/>
        </w:sectPr>
      </w:pPr>
    </w:p>
    <w:bookmarkStart w:id="1" w:name="page2"/>
    <w:bookmarkEnd w:id="1"/>
    <w:p>
      <w:pPr>
        <w:jc w:val="center"/>
        <w:ind w:right="3199"/>
        <w:spacing w:after="0"/>
        <w:rPr>
          <w:sz w:val="20"/>
          <w:szCs w:val="20"/>
          <w:color w:val="auto"/>
        </w:rPr>
      </w:pPr>
      <w:r>
        <w:rPr>
          <w:rFonts w:ascii="Courier New" w:cs="Courier New" w:eastAsia="Courier New" w:hAnsi="Courier New"/>
          <w:sz w:val="15"/>
          <w:szCs w:val="15"/>
          <w:color w:val="auto"/>
        </w:rPr>
        <w:t>FORWARD LOOKING STATEMENTS</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This report contains certain forward-looking statements regarding, among other things, the expected results of our operations, the progress of our product development and clinical programs and of our collaborations, the need for, and timing of, additional capital and capital expenditures, strategic partner collaboration prospects, costs of manufacture of products, the protection of and the need for additional intellectual property rights, regulatory matters, the need for additional facilities and potential market opportunities. Our actual results may vary materially from those contained in such forward-looking statements because of risks to which we are subject, such as risks of lack of available funding, failure to develop strategic partnerships, delays in research, adverse results from our research or development programs, obsolescence of our technology, competition from third parties, termination of our collaborations, intellectual property rights of third parties, unavailability of needed raw materials, our failure, or our collaborators' failure, to perform, litigation, regulatory restrictions, and other risks to which we are subject.</w:t>
      </w:r>
    </w:p>
    <w:p>
      <w:pPr>
        <w:spacing w:after="0" w:line="186" w:lineRule="exact"/>
        <w:rPr>
          <w:sz w:val="20"/>
          <w:szCs w:val="20"/>
          <w:color w:val="auto"/>
        </w:rPr>
      </w:pPr>
    </w:p>
    <w:p>
      <w:pPr>
        <w:ind w:right="3699" w:firstLine="353"/>
        <w:spacing w:after="0" w:line="235" w:lineRule="auto"/>
        <w:rPr>
          <w:sz w:val="20"/>
          <w:szCs w:val="20"/>
          <w:color w:val="auto"/>
        </w:rPr>
      </w:pPr>
      <w:r>
        <w:rPr>
          <w:rFonts w:ascii="Courier New" w:cs="Courier New" w:eastAsia="Courier New" w:hAnsi="Courier New"/>
          <w:sz w:val="15"/>
          <w:szCs w:val="15"/>
          <w:color w:val="auto"/>
        </w:rPr>
        <w:t>SEE "CAUTIONARY FACTORS RELEVANT TO FORWARD-LOOKING INFORMATION" FILED HEREWITH AS EXHIBIT 99 AND INCORPORATED HEREIN BY REFERENCE.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ITEM 1.</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80"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16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We were formerly known as CytoTherapeutics, Inc. Until mid-1990 we had programs in a different technology, encapsulated cell therapy, as well as stem cell programs. We now focus exclusively on the discovery, development and commercialization of our proprietary platform of stem cell technologies. Effective May 2000 we changed our name to StemCells, Inc.</w:t>
      </w:r>
    </w:p>
    <w:p>
      <w:pPr>
        <w:spacing w:after="0" w:line="17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CELL THERAPY BACKGROUND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Alzheimer's disease and amyotrophic lateral sclerosis. 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2" w:right="1440" w:bottom="1440" w:gutter="0" w:footer="0" w:header="0"/>
        </w:sectPr>
      </w:pPr>
    </w:p>
    <w:bookmarkStart w:id="3" w:name="page4"/>
    <w:bookmarkEnd w:id="3"/>
    <w:p>
      <w:pPr>
        <w:ind w:right="3179"/>
        <w:spacing w:after="0" w:line="238" w:lineRule="auto"/>
        <w:rPr>
          <w:sz w:val="20"/>
          <w:szCs w:val="20"/>
          <w:color w:val="auto"/>
        </w:rPr>
      </w:pPr>
      <w:r>
        <w:rPr>
          <w:rFonts w:ascii="Courier New" w:cs="Courier New" w:eastAsia="Courier New" w:hAnsi="Courier New"/>
          <w:sz w:val="15"/>
          <w:szCs w:val="15"/>
          <w:color w:val="auto"/>
        </w:rPr>
        <w:t>cure the degenerative condition. Cells, however, do this naturally. As a result, investigators have considered replacing failing cells that are no longer producing the needed substances or proteins by implanting stem or progenitor cells capable of regenerating the cell that the degenerative condition has damaged or destroyed. Where there has been irreversible tissue damage or organ failure, transplantation of stem cells offers the possibility of generating new and healthy tissue, thus potentially restoring the organ function and the patient's health.</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176"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159" w:lineRule="exact"/>
        <w:rPr>
          <w:sz w:val="20"/>
          <w:szCs w:val="20"/>
          <w:color w:val="auto"/>
        </w:rPr>
      </w:pPr>
    </w:p>
    <w:p>
      <w:pPr>
        <w:ind w:left="600" w:hanging="257"/>
        <w:spacing w:after="0"/>
        <w:tabs>
          <w:tab w:leader="none" w:pos="6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174" w:lineRule="exact"/>
        <w:rPr>
          <w:rFonts w:ascii="Courier New" w:cs="Courier New" w:eastAsia="Courier New" w:hAnsi="Courier New"/>
          <w:sz w:val="15"/>
          <w:szCs w:val="15"/>
          <w:color w:val="auto"/>
        </w:rPr>
      </w:pPr>
    </w:p>
    <w:p>
      <w:pPr>
        <w:ind w:left="340" w:right="3259" w:firstLine="3"/>
        <w:spacing w:after="0" w:line="235" w:lineRule="auto"/>
        <w:tabs>
          <w:tab w:leader="none" w:pos="60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techniques and processes that can be used to expand these rare cells in sufficient quantities for effective transplants; and</w:t>
      </w:r>
    </w:p>
    <w:p>
      <w:pPr>
        <w:spacing w:after="0" w:line="175" w:lineRule="exact"/>
        <w:rPr>
          <w:rFonts w:ascii="Courier New" w:cs="Courier New" w:eastAsia="Courier New" w:hAnsi="Courier New"/>
          <w:sz w:val="15"/>
          <w:szCs w:val="15"/>
          <w:color w:val="auto"/>
        </w:rPr>
      </w:pPr>
    </w:p>
    <w:p>
      <w:pPr>
        <w:ind w:left="340" w:right="3259" w:firstLine="3"/>
        <w:spacing w:after="0" w:line="237" w:lineRule="auto"/>
        <w:tabs>
          <w:tab w:leader="none" w:pos="60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can be used for transplantation into individuals whose own cells are not suitable because of disease or other reasons.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 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181"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171" w:lineRule="exact"/>
        <w:rPr>
          <w:sz w:val="20"/>
          <w:szCs w:val="20"/>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169" w:lineRule="exact"/>
        <w:rPr>
          <w:rFonts w:ascii="Courier New" w:cs="Courier New" w:eastAsia="Courier New" w:hAnsi="Courier New"/>
          <w:sz w:val="15"/>
          <w:szCs w:val="15"/>
          <w:color w:val="auto"/>
        </w:rPr>
      </w:pPr>
    </w:p>
    <w:p>
      <w:pPr>
        <w:ind w:left="520" w:hanging="177"/>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8" w:right="1440" w:bottom="1440" w:gutter="0" w:footer="0" w:header="0"/>
        </w:sectPr>
      </w:pPr>
    </w:p>
    <w:bookmarkStart w:id="4" w:name="page5"/>
    <w:bookmarkEnd w:id="4"/>
    <w:p>
      <w:pPr>
        <w:ind w:left="340"/>
        <w:spacing w:after="0"/>
        <w:rPr>
          <w:sz w:val="20"/>
          <w:szCs w:val="20"/>
          <w:color w:val="auto"/>
        </w:rPr>
      </w:pPr>
      <w:r>
        <w:rPr>
          <w:rFonts w:ascii="Courier New" w:cs="Courier New" w:eastAsia="Courier New" w:hAnsi="Courier New"/>
          <w:sz w:val="15"/>
          <w:szCs w:val="15"/>
          <w:color w:val="auto"/>
        </w:rPr>
        <w:t>- diagnostics.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will be pursuing key alliances in these areas.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175" w:lineRule="exact"/>
        <w:rPr>
          <w:sz w:val="20"/>
          <w:szCs w:val="20"/>
          <w:color w:val="auto"/>
        </w:rPr>
      </w:pPr>
    </w:p>
    <w:p>
      <w:pPr>
        <w:ind w:left="520" w:right="3699" w:hanging="177"/>
        <w:spacing w:after="0" w:line="235" w:lineRule="auto"/>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175" w:lineRule="exact"/>
        <w:rPr>
          <w:rFonts w:ascii="Courier New" w:cs="Courier New" w:eastAsia="Courier New" w:hAnsi="Courier New"/>
          <w:sz w:val="15"/>
          <w:szCs w:val="15"/>
          <w:color w:val="auto"/>
        </w:rPr>
      </w:pPr>
    </w:p>
    <w:p>
      <w:pPr>
        <w:ind w:left="520" w:right="3359" w:hanging="177"/>
        <w:spacing w:after="0" w:line="237" w:lineRule="auto"/>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Stem cells are known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More recently, we announced the results of a new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183"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Neurological disorders such as Parkinson's disease, epilepsy, Alzheimer's disease, and the side effects of stroke,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these diseases.</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We continue to advance our research programs to discover the islet stem cell in the human pancreas and the liver stem cell. Islet cells are the cells that produce insulin, so islet stem cells may be useful in the treatment of Type 1 diabetes and those cases of Type 2 diabetes where insulin secretion is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2" w:right="1440" w:bottom="1440" w:gutter="0" w:footer="0" w:header="0"/>
        </w:sectPr>
      </w:pPr>
    </w:p>
    <w:bookmarkStart w:id="5" w:name="page6"/>
    <w:bookmarkEnd w:id="5"/>
    <w:p>
      <w:pPr>
        <w:ind w:right="3359"/>
        <w:spacing w:after="0" w:line="235" w:lineRule="auto"/>
        <w:rPr>
          <w:sz w:val="20"/>
          <w:szCs w:val="20"/>
          <w:color w:val="auto"/>
        </w:rPr>
      </w:pPr>
      <w:r>
        <w:rPr>
          <w:rFonts w:ascii="Courier New" w:cs="Courier New" w:eastAsia="Courier New" w:hAnsi="Courier New"/>
          <w:sz w:val="15"/>
          <w:szCs w:val="15"/>
          <w:color w:val="auto"/>
        </w:rPr>
        <w:t>defective. Liver stem cells may be useful in the treatment of diseases such as hepatitis, cirrhosis of the liver and liver cancer.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OTHER TREATMENT</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prospectus.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 programs are at relatively early stages of development and will require substantial resources to commercialize.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8" w:right="1440" w:bottom="1440" w:gutter="0" w:footer="0" w:header="0"/>
        </w:sectPr>
      </w:pPr>
    </w:p>
    <w:bookmarkStart w:id="6" w:name="page7"/>
    <w:bookmarkEnd w:id="6"/>
    <w:p>
      <w:pPr>
        <w:ind w:left="1670"/>
        <w:spacing w:after="0"/>
        <w:rPr>
          <w:sz w:val="20"/>
          <w:szCs w:val="20"/>
          <w:color w:val="auto"/>
        </w:rPr>
      </w:pPr>
      <w:r>
        <w:rPr>
          <w:rFonts w:ascii="Courier New" w:cs="Courier New" w:eastAsia="Courier New" w:hAnsi="Courier New"/>
          <w:sz w:val="15"/>
          <w:szCs w:val="15"/>
          <w:color w:val="auto"/>
        </w:rPr>
        <w:t>RESEARCH AND PRODUCT DEVELOPMENT PROGRAMS</w:t>
      </w:r>
    </w:p>
    <w:p>
      <w:pPr>
        <w:spacing w:after="0" w:line="200" w:lineRule="exact"/>
        <w:rPr>
          <w:sz w:val="20"/>
          <w:szCs w:val="20"/>
          <w:color w:val="auto"/>
        </w:rPr>
      </w:pPr>
    </w:p>
    <w:p>
      <w:pPr>
        <w:spacing w:after="0" w:line="308" w:lineRule="exact"/>
        <w:rPr>
          <w:sz w:val="20"/>
          <w:szCs w:val="20"/>
          <w:color w:val="auto"/>
        </w:rPr>
      </w:pPr>
    </w:p>
    <w:p>
      <w:pPr>
        <w:ind w:left="450"/>
        <w:spacing w:after="0"/>
        <w:tabs>
          <w:tab w:leader="none" w:pos="5709" w:val="left"/>
        </w:tabs>
        <w:rPr>
          <w:sz w:val="20"/>
          <w:szCs w:val="20"/>
          <w:color w:val="auto"/>
        </w:rPr>
      </w:pPr>
      <w:r>
        <w:rPr>
          <w:rFonts w:ascii="Courier New" w:cs="Courier New" w:eastAsia="Courier New" w:hAnsi="Courier New"/>
          <w:sz w:val="15"/>
          <w:szCs w:val="15"/>
          <w:color w:val="auto"/>
        </w:rPr>
        <w:t>PROGRAM DESCRIPTION AND OBJECTIVE</w:t>
      </w:r>
      <w:r>
        <w:rPr>
          <w:sz w:val="20"/>
          <w:szCs w:val="20"/>
          <w:color w:val="auto"/>
        </w:rPr>
        <w:tab/>
      </w:r>
      <w:r>
        <w:rPr>
          <w:rFonts w:ascii="Courier New" w:cs="Courier New" w:eastAsia="Courier New" w:hAnsi="Courier New"/>
          <w:sz w:val="14"/>
          <w:szCs w:val="14"/>
          <w:color w:val="auto"/>
        </w:rPr>
        <w:t>STAGE/STATUS(1)</w:t>
      </w:r>
    </w:p>
    <w:p>
      <w:pPr>
        <w:ind w:left="10"/>
        <w:spacing w:after="0"/>
        <w:tabs>
          <w:tab w:leader="none" w:pos="41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ind w:left="890"/>
        <w:spacing w:after="0"/>
        <w:tabs>
          <w:tab w:leader="none" w:pos="6409" w:val="left"/>
        </w:tabs>
        <w:rPr>
          <w:sz w:val="20"/>
          <w:szCs w:val="20"/>
          <w:color w:val="auto"/>
        </w:rPr>
      </w:pPr>
      <w:r>
        <w:rPr>
          <w:rFonts w:ascii="Courier New" w:cs="Courier New" w:eastAsia="Courier New" w:hAnsi="Courier New"/>
          <w:sz w:val="15"/>
          <w:szCs w:val="15"/>
          <w:color w:val="auto"/>
        </w:rPr>
        <w:t>HUMAN NEURAL STEM CELL</w:t>
      </w:r>
      <w:r>
        <w:rPr>
          <w:sz w:val="20"/>
          <w:szCs w:val="20"/>
          <w:color w:val="auto"/>
        </w:rPr>
        <w:tab/>
      </w:r>
      <w:r>
        <w:rPr>
          <w:rFonts w:ascii="Courier New" w:cs="Courier New" w:eastAsia="Courier New" w:hAnsi="Courier New"/>
          <w:sz w:val="14"/>
          <w:szCs w:val="14"/>
          <w:color w:val="auto"/>
        </w:rPr>
        <w:t>PRECLINICAL</w:t>
      </w:r>
    </w:p>
    <w:p>
      <w:pPr>
        <w:sectPr>
          <w:pgSz w:w="11900" w:h="16838" w:orient="portrait"/>
          <w:cols w:equalWidth="0" w:num="1">
            <w:col w:w="10229"/>
          </w:cols>
          <w:pgMar w:left="230" w:top="452" w:right="1440" w:bottom="1440" w:gutter="0" w:footer="0" w:header="0"/>
        </w:sectPr>
      </w:pPr>
    </w:p>
    <w:p>
      <w:pPr>
        <w:spacing w:after="0" w:line="175" w:lineRule="exact"/>
        <w:rPr>
          <w:sz w:val="20"/>
          <w:szCs w:val="20"/>
          <w:color w:val="auto"/>
        </w:rPr>
      </w:pPr>
    </w:p>
    <w:p>
      <w:pPr>
        <w:ind w:left="10" w:right="242"/>
        <w:spacing w:after="0" w:line="237" w:lineRule="auto"/>
        <w:rPr>
          <w:sz w:val="20"/>
          <w:szCs w:val="20"/>
          <w:color w:val="auto"/>
        </w:rPr>
      </w:pPr>
      <w:r>
        <w:rPr>
          <w:rFonts w:ascii="Courier New" w:cs="Courier New" w:eastAsia="Courier New" w:hAnsi="Courier New"/>
          <w:sz w:val="15"/>
          <w:szCs w:val="15"/>
          <w:color w:val="auto"/>
        </w:rPr>
        <w:t>Repair or replace damaged central nervous system tissue (including spinal cord, degenerated retinas and tissue affected by certain genetic disorders)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58" w:right="1499" w:hanging="358"/>
        <w:spacing w:after="0" w:line="237" w:lineRule="auto"/>
        <w:tabs>
          <w:tab w:leader="none" w:pos="35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VITRO the ability to initiate and expand stem cell-containing human neural cultures and specialization into three types of central nervous system cells</w:t>
      </w:r>
    </w:p>
    <w:p>
      <w:pPr>
        <w:spacing w:after="0" w:line="8" w:lineRule="exact"/>
        <w:rPr>
          <w:rFonts w:ascii="Courier New" w:cs="Courier New" w:eastAsia="Courier New" w:hAnsi="Courier New"/>
          <w:sz w:val="15"/>
          <w:szCs w:val="15"/>
          <w:color w:val="auto"/>
        </w:rPr>
      </w:pPr>
    </w:p>
    <w:p>
      <w:pPr>
        <w:ind w:left="358" w:right="1679" w:hanging="358"/>
        <w:spacing w:after="0" w:line="256" w:lineRule="auto"/>
        <w:tabs>
          <w:tab w:leader="none" w:pos="35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Demonstrated the ability of neurosphere-initiating stem cells from human brain</w:t>
      </w:r>
    </w:p>
    <w:p>
      <w:pPr>
        <w:ind w:left="358" w:right="1419" w:hanging="358"/>
        <w:spacing w:after="0" w:line="237" w:lineRule="auto"/>
        <w:tabs>
          <w:tab w:leader="none" w:pos="35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rodent studies that transplanted human brain-derived stem cells are accepted and properly specialized into the three major cell types of the central nervous system</w:t>
      </w:r>
    </w:p>
    <w:p>
      <w:pPr>
        <w:spacing w:after="0" w:line="173" w:lineRule="exact"/>
        <w:rPr>
          <w:sz w:val="20"/>
          <w:szCs w:val="20"/>
          <w:color w:val="auto"/>
        </w:rPr>
      </w:pPr>
    </w:p>
    <w:p>
      <w:pPr>
        <w:sectPr>
          <w:pgSz w:w="11900" w:h="16838" w:orient="portrait"/>
          <w:cols w:equalWidth="0" w:num="2">
            <w:col w:w="3952" w:space="720"/>
            <w:col w:w="5557"/>
          </w:cols>
          <w:pgMar w:left="230" w:top="452" w:right="1440" w:bottom="1440" w:gutter="0" w:footer="0" w:header="0"/>
          <w:type w:val="continuous"/>
        </w:sectPr>
      </w:pPr>
    </w:p>
    <w:p>
      <w:pPr>
        <w:ind w:left="790"/>
        <w:spacing w:after="0"/>
        <w:tabs>
          <w:tab w:leader="none" w:pos="6509" w:val="left"/>
        </w:tabs>
        <w:rPr>
          <w:sz w:val="20"/>
          <w:szCs w:val="20"/>
          <w:color w:val="auto"/>
        </w:rPr>
      </w:pPr>
      <w:r>
        <w:rPr>
          <w:rFonts w:ascii="Courier New" w:cs="Courier New" w:eastAsia="Courier New" w:hAnsi="Courier New"/>
          <w:sz w:val="15"/>
          <w:szCs w:val="15"/>
          <w:color w:val="auto"/>
        </w:rPr>
        <w:t>PANCREAS ISLET STEM CELL</w:t>
      </w:r>
      <w:r>
        <w:rPr>
          <w:sz w:val="20"/>
          <w:szCs w:val="20"/>
          <w:color w:val="auto"/>
        </w:rPr>
        <w:tab/>
      </w:r>
      <w:r>
        <w:rPr>
          <w:rFonts w:ascii="Courier New" w:cs="Courier New" w:eastAsia="Courier New" w:hAnsi="Courier New"/>
          <w:sz w:val="14"/>
          <w:szCs w:val="14"/>
          <w:color w:val="auto"/>
        </w:rPr>
        <w:t>RESEARCH</w:t>
      </w:r>
    </w:p>
    <w:p>
      <w:pPr>
        <w:sectPr>
          <w:pgSz w:w="11900" w:h="16838" w:orient="portrait"/>
          <w:cols w:equalWidth="0" w:num="1">
            <w:col w:w="10229"/>
          </w:cols>
          <w:pgMar w:left="230" w:top="452" w:right="1440" w:bottom="1440" w:gutter="0" w:footer="0" w:header="0"/>
          <w:type w:val="continuous"/>
        </w:sectPr>
      </w:pPr>
    </w:p>
    <w:p>
      <w:pPr>
        <w:spacing w:after="0" w:line="175" w:lineRule="exact"/>
        <w:rPr>
          <w:sz w:val="20"/>
          <w:szCs w:val="20"/>
          <w:color w:val="auto"/>
        </w:rPr>
      </w:pPr>
    </w:p>
    <w:p>
      <w:pPr>
        <w:ind w:left="10" w:right="422"/>
        <w:spacing w:after="0" w:line="235" w:lineRule="auto"/>
        <w:rPr>
          <w:sz w:val="20"/>
          <w:szCs w:val="20"/>
          <w:color w:val="auto"/>
        </w:rPr>
      </w:pPr>
      <w:r>
        <w:rPr>
          <w:rFonts w:ascii="Courier New" w:cs="Courier New" w:eastAsia="Courier New" w:hAnsi="Courier New"/>
          <w:sz w:val="15"/>
          <w:szCs w:val="15"/>
          <w:color w:val="auto"/>
        </w:rPr>
        <w:t>Repair or replace damaged pancreas islet tissue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58" w:right="1419" w:hanging="358"/>
        <w:spacing w:after="0" w:line="237" w:lineRule="auto"/>
        <w:tabs>
          <w:tab w:leader="none" w:pos="3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markers on the surface of cells to identify, isolate and culture islet stem cells of the pancreas</w:t>
      </w:r>
    </w:p>
    <w:p>
      <w:pPr>
        <w:ind w:left="358" w:hanging="358"/>
        <w:spacing w:after="0"/>
        <w:tabs>
          <w:tab w:leader="none" w:pos="3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small animal testing</w:t>
      </w:r>
    </w:p>
    <w:p>
      <w:pPr>
        <w:spacing w:after="0" w:line="169" w:lineRule="exact"/>
        <w:rPr>
          <w:sz w:val="20"/>
          <w:szCs w:val="20"/>
          <w:color w:val="auto"/>
        </w:rPr>
      </w:pPr>
    </w:p>
    <w:p>
      <w:pPr>
        <w:sectPr>
          <w:pgSz w:w="11900" w:h="16838" w:orient="portrait"/>
          <w:cols w:equalWidth="0" w:num="2">
            <w:col w:w="3952" w:space="720"/>
            <w:col w:w="5557"/>
          </w:cols>
          <w:pgMar w:left="230" w:top="452" w:right="1440" w:bottom="1440" w:gutter="0" w:footer="0" w:header="0"/>
          <w:type w:val="continuous"/>
        </w:sectPr>
      </w:pPr>
    </w:p>
    <w:p>
      <w:pPr>
        <w:ind w:left="1230"/>
        <w:spacing w:after="0"/>
        <w:rPr>
          <w:sz w:val="20"/>
          <w:szCs w:val="20"/>
          <w:color w:val="auto"/>
        </w:rPr>
      </w:pPr>
      <w:r>
        <w:rPr>
          <w:rFonts w:ascii="Courier New" w:cs="Courier New" w:eastAsia="Courier New" w:hAnsi="Courier New"/>
          <w:sz w:val="15"/>
          <w:szCs w:val="15"/>
          <w:color w:val="auto"/>
        </w:rPr>
        <w:t>LIVER STEM CELL</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Repair or replace damaged liver tissue</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including tissue resulting from certain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metabolic genetic diseases</w:t>
      </w:r>
    </w:p>
    <w:p>
      <w:pPr>
        <w:spacing w:after="0" w:line="20" w:lineRule="exact"/>
        <w:rPr>
          <w:sz w:val="20"/>
          <w:szCs w:val="20"/>
          <w:color w:val="auto"/>
        </w:rPr>
      </w:pPr>
      <w:r>
        <w:rPr>
          <w:sz w:val="20"/>
          <w:szCs w:val="20"/>
          <w:color w:val="auto"/>
        </w:rPr>
        <w:br w:type="column"/>
      </w:r>
    </w:p>
    <w:p>
      <w:pPr>
        <w:jc w:val="center"/>
        <w:ind w:right="1141"/>
        <w:spacing w:after="0"/>
        <w:rPr>
          <w:sz w:val="20"/>
          <w:szCs w:val="20"/>
          <w:color w:val="auto"/>
        </w:rPr>
      </w:pPr>
      <w:r>
        <w:rPr>
          <w:rFonts w:ascii="Courier New" w:cs="Courier New" w:eastAsia="Courier New" w:hAnsi="Courier New"/>
          <w:sz w:val="15"/>
          <w:szCs w:val="15"/>
          <w:color w:val="auto"/>
        </w:rPr>
        <w:t>RESEARCH</w:t>
      </w:r>
    </w:p>
    <w:p>
      <w:pPr>
        <w:spacing w:after="0" w:line="5" w:lineRule="exact"/>
        <w:rPr>
          <w:sz w:val="20"/>
          <w:szCs w:val="20"/>
          <w:color w:val="auto"/>
        </w:rPr>
      </w:pPr>
    </w:p>
    <w:p>
      <w:pPr>
        <w:ind w:left="358" w:right="1499" w:hanging="358"/>
        <w:spacing w:after="0" w:line="237" w:lineRule="auto"/>
        <w:tabs>
          <w:tab w:leader="none" w:pos="35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production of hepatocytes from purified mouse hematopoietic stem cells</w:t>
      </w:r>
    </w:p>
    <w:p>
      <w:pPr>
        <w:spacing w:after="0" w:line="5" w:lineRule="exact"/>
        <w:rPr>
          <w:rFonts w:ascii="Courier New" w:cs="Courier New" w:eastAsia="Courier New" w:hAnsi="Courier New"/>
          <w:sz w:val="15"/>
          <w:szCs w:val="15"/>
          <w:color w:val="auto"/>
        </w:rPr>
      </w:pPr>
    </w:p>
    <w:p>
      <w:pPr>
        <w:ind w:left="358" w:right="1599" w:hanging="358"/>
        <w:spacing w:after="0" w:line="237" w:lineRule="auto"/>
        <w:tabs>
          <w:tab w:leader="none" w:pos="35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IN VITRO culture assay for growth of human bipotent liver progenitor cells that can produce both bile duct and hepatocytes</w:t>
      </w:r>
    </w:p>
    <w:p>
      <w:pPr>
        <w:spacing w:after="0" w:line="6" w:lineRule="exact"/>
        <w:rPr>
          <w:rFonts w:ascii="Courier New" w:cs="Courier New" w:eastAsia="Courier New" w:hAnsi="Courier New"/>
          <w:sz w:val="15"/>
          <w:szCs w:val="15"/>
          <w:color w:val="auto"/>
        </w:rPr>
      </w:pPr>
    </w:p>
    <w:p>
      <w:pPr>
        <w:ind w:left="358" w:right="1599" w:hanging="358"/>
        <w:spacing w:after="0" w:line="237" w:lineRule="auto"/>
        <w:tabs>
          <w:tab w:leader="none" w:pos="35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Showed that the in vitro culture of human bipotent liver cells can also grow human hepatitis virus</w:t>
      </w:r>
    </w:p>
    <w:p>
      <w:pPr>
        <w:spacing w:after="0" w:line="200" w:lineRule="exact"/>
        <w:rPr>
          <w:sz w:val="20"/>
          <w:szCs w:val="20"/>
          <w:color w:val="auto"/>
        </w:rPr>
      </w:pPr>
    </w:p>
    <w:p>
      <w:pPr>
        <w:sectPr>
          <w:pgSz w:w="11900" w:h="16838" w:orient="portrait"/>
          <w:cols w:equalWidth="0" w:num="2">
            <w:col w:w="3952" w:space="720"/>
            <w:col w:w="5557"/>
          </w:cols>
          <w:pgMar w:left="230" w:top="452" w:right="1440" w:bottom="1440"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59" w:lineRule="auto"/>
        <w:tabs>
          <w:tab w:leader="none" w:pos="3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175" w:lineRule="exact"/>
        <w:rPr>
          <w:sz w:val="20"/>
          <w:szCs w:val="20"/>
          <w:color w:val="auto"/>
        </w:rPr>
      </w:pPr>
    </w:p>
    <w:p>
      <w:pPr>
        <w:jc w:val="both"/>
        <w:ind w:left="10" w:right="3619" w:firstLine="353"/>
        <w:spacing w:after="0" w:line="237" w:lineRule="auto"/>
        <w:rPr>
          <w:sz w:val="20"/>
          <w:szCs w:val="20"/>
          <w:color w:val="auto"/>
        </w:rPr>
      </w:pPr>
      <w:r>
        <w:rPr>
          <w:rFonts w:ascii="Courier New" w:cs="Courier New" w:eastAsia="Courier New" w:hAnsi="Courier New"/>
          <w:sz w:val="15"/>
          <w:szCs w:val="15"/>
          <w:color w:val="auto"/>
        </w:rPr>
        <w:t>We began our work with central nervous system stem and progenitor cell cultures in collaboration with NeuroSpheres, Ltd., in 1992. We believe that NeuroSpheres was the first to invent these cultures.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452" w:right="1440" w:bottom="1440" w:gutter="0" w:footer="0" w:header="0"/>
          <w:type w:val="continuous"/>
        </w:sectPr>
      </w:pPr>
    </w:p>
    <w:bookmarkStart w:id="7" w:name="page8"/>
    <w:bookmarkEnd w:id="7"/>
    <w:p>
      <w:pPr>
        <w:ind w:right="3439"/>
        <w:spacing w:after="0" w:line="259" w:lineRule="auto"/>
        <w:rPr>
          <w:sz w:val="20"/>
          <w:szCs w:val="20"/>
          <w:color w:val="auto"/>
        </w:rPr>
      </w:pPr>
      <w:r>
        <w:rPr>
          <w:rFonts w:ascii="Courier New" w:cs="Courier New" w:eastAsia="Courier New" w:hAnsi="Courier New"/>
          <w:sz w:val="14"/>
          <w:szCs w:val="14"/>
          <w:color w:val="auto"/>
        </w:rPr>
        <w:t>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16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1997, our scientists invented a reproducible method for growing human CNS, stem and progenitor cells in cultures. In preclinical IN VITRO and early IN VIVO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18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A U.S. patent on those methods has since been allowed. We are expanding our preclinical efforts toward the goal of selecting the proper indications to pursue.</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177" w:lineRule="exact"/>
        <w:rPr>
          <w:sz w:val="20"/>
          <w:szCs w:val="20"/>
          <w:color w:val="auto"/>
        </w:rPr>
      </w:pPr>
    </w:p>
    <w:p>
      <w:pPr>
        <w:ind w:right="3439" w:firstLine="353"/>
        <w:spacing w:after="0" w:line="259" w:lineRule="auto"/>
        <w:rPr>
          <w:sz w:val="20"/>
          <w:szCs w:val="20"/>
          <w:color w:val="auto"/>
        </w:rPr>
      </w:pPr>
      <w:r>
        <w:rPr>
          <w:rFonts w:ascii="Courier New" w:cs="Courier New" w:eastAsia="Courier New" w:hAnsi="Courier New"/>
          <w:sz w:val="14"/>
          <w:szCs w:val="14"/>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16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180"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w:t>
      </w:r>
    </w:p>
    <w:p>
      <w:pPr>
        <w:spacing w:after="0" w:line="177"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In January 2000, we reported what we regard as an even more important result: In long term animal studies, our researchers were able to take these purified and expanded stem cells and transplant them into the normal brains of immunodeficient mouse hosts, where they take hold and grow into neurons and glial cells.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8" w:right="1440" w:bottom="1440" w:gutter="0" w:footer="0" w:header="0"/>
        </w:sectPr>
      </w:pPr>
    </w:p>
    <w:bookmarkStart w:id="8" w:name="page9"/>
    <w:bookmarkEnd w:id="8"/>
    <w:p>
      <w:pPr>
        <w:ind w:right="3179" w:firstLine="353"/>
        <w:spacing w:after="0" w:line="238" w:lineRule="auto"/>
        <w:rPr>
          <w:sz w:val="20"/>
          <w:szCs w:val="20"/>
          <w:color w:val="auto"/>
        </w:rPr>
      </w:pPr>
      <w:r>
        <w:rPr>
          <w:rFonts w:ascii="Courier New" w:cs="Courier New" w:eastAsia="Courier New" w:hAnsi="Courier New"/>
          <w:sz w:val="15"/>
          <w:szCs w:val="15"/>
          <w:color w:val="auto"/>
        </w:rPr>
        <w:t>During the course of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178" w:lineRule="exact"/>
        <w:rPr>
          <w:sz w:val="20"/>
          <w:szCs w:val="20"/>
          <w:color w:val="auto"/>
        </w:rPr>
      </w:pPr>
    </w:p>
    <w:p>
      <w:pPr>
        <w:ind w:right="3259" w:firstLine="353"/>
        <w:spacing w:after="0" w:line="256" w:lineRule="auto"/>
        <w:rPr>
          <w:sz w:val="20"/>
          <w:szCs w:val="20"/>
          <w:color w:val="auto"/>
        </w:rPr>
      </w:pPr>
      <w:r>
        <w:rPr>
          <w:rFonts w:ascii="Courier New" w:cs="Courier New" w:eastAsia="Courier New" w:hAnsi="Courier New"/>
          <w:sz w:val="14"/>
          <w:szCs w:val="14"/>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5 million people in the United States and there are no effective long-term therapies currently available. We believe the ability to purify human brain stem cells directly from fresh tissue is important because:</w:t>
      </w:r>
    </w:p>
    <w:p>
      <w:pPr>
        <w:spacing w:after="0" w:line="175" w:lineRule="exact"/>
        <w:rPr>
          <w:sz w:val="20"/>
          <w:szCs w:val="20"/>
          <w:color w:val="auto"/>
        </w:rPr>
      </w:pPr>
    </w:p>
    <w:p>
      <w:pPr>
        <w:ind w:left="520" w:right="3359" w:hanging="177"/>
        <w:spacing w:after="0" w:line="237" w:lineRule="auto"/>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174" w:lineRule="exact"/>
        <w:rPr>
          <w:rFonts w:ascii="Courier New" w:cs="Courier New" w:eastAsia="Courier New" w:hAnsi="Courier New"/>
          <w:sz w:val="15"/>
          <w:szCs w:val="15"/>
          <w:color w:val="auto"/>
        </w:rPr>
      </w:pPr>
    </w:p>
    <w:p>
      <w:pPr>
        <w:ind w:left="520" w:right="3179" w:hanging="177"/>
        <w:spacing w:after="0" w:line="238" w:lineRule="auto"/>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 cultures might be genetically modified to produce those proteins. The modified brain stem cells could be transplanted into patients with these genetic diseases;</w:t>
      </w:r>
    </w:p>
    <w:p>
      <w:pPr>
        <w:spacing w:after="0" w:line="176" w:lineRule="exact"/>
        <w:rPr>
          <w:rFonts w:ascii="Courier New" w:cs="Courier New" w:eastAsia="Courier New" w:hAnsi="Courier New"/>
          <w:sz w:val="15"/>
          <w:szCs w:val="15"/>
          <w:color w:val="auto"/>
        </w:rPr>
      </w:pPr>
    </w:p>
    <w:p>
      <w:pPr>
        <w:ind w:left="520" w:right="3259" w:hanging="177"/>
        <w:spacing w:after="0" w:line="238" w:lineRule="auto"/>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discovery program directed to the identification, isolation and culturing of the pancreas stem and progenitor cells has, to the present, been conducted by Nora Sarvetnick, Ph.D., of The Scripps Research Institute, in collaboration with some of our senior researchers. It is our intention to bring the research on stem and progenitor cells of the pancreas in house We expect that Dr. Sarvetnick will continue to consult with us.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8" w:right="1440" w:bottom="1440" w:gutter="0" w:footer="0" w:header="0"/>
        </w:sectPr>
      </w:pPr>
    </w:p>
    <w:bookmarkStart w:id="9" w:name="page10"/>
    <w:bookmarkEnd w:id="9"/>
    <w:p>
      <w:pPr>
        <w:ind w:right="3179" w:firstLine="353"/>
        <w:spacing w:after="0" w:line="257" w:lineRule="auto"/>
        <w:rPr>
          <w:sz w:val="20"/>
          <w:szCs w:val="20"/>
          <w:color w:val="auto"/>
        </w:rPr>
      </w:pPr>
      <w:r>
        <w:rPr>
          <w:rFonts w:ascii="Courier New" w:cs="Courier New" w:eastAsia="Courier New" w:hAnsi="Courier New"/>
          <w:sz w:val="14"/>
          <w:szCs w:val="14"/>
          <w:color w:val="auto"/>
        </w:rPr>
        <w:t>In 1999, advances in the research sponsored by us resulted in our obtaining additional exclusive, worldwide licenses from The Scripps Research Institute to novel markers on the cell surface identified by Dr. Sarvetnick and her research team as being unique to the pancreas islet stem cell for which we have now filed a US patent application. In collaboration with Dr. Sarvetnick, we continue to advance the discovery program directed at the identification, isolation and culturing of pancreas stem and progenitor cells utilizing this technology.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a worldwide exclusive license to a novel mouse model of liver failure for evaluating cell transplantation developed by Dr. Grompe.</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 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1999, our researchers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w:t>
      </w:r>
    </w:p>
    <w:p>
      <w:pPr>
        <w:spacing w:after="0" w:line="177"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Sunnyvale, California. We are actively seeking to sublease, assign or sell our interest in our former corporate headquarters building and our pilot manufacturing and cell processing facility in Rhode Island.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8" w:right="1440" w:bottom="1440" w:gutter="0" w:footer="0" w:header="0"/>
        </w:sectPr>
      </w:pPr>
    </w:p>
    <w:bookmarkStart w:id="10" w:name="page11"/>
    <w:bookmarkEnd w:id="10"/>
    <w:p>
      <w:pPr>
        <w:ind w:right="3179" w:firstLine="353"/>
        <w:spacing w:after="0" w:line="238" w:lineRule="auto"/>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retained certain non-exclusive rights to use the ECT in combination with our proprietary stem cell technology, and in the field of vaccines for prevention and treatment of infectious diseases.</w:t>
      </w:r>
    </w:p>
    <w:p>
      <w:pPr>
        <w:spacing w:after="0" w:line="177"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In a related development, by mutual consent we and the Advanced Technology Program of the National Institute of Standards and Technology terminated two grants previously awarded to us for our encapsulated cell therapy and stem cell-related research. The encapsulated cell therapy grant was obviated by the sale of the technology to Neurotech. The funding agency has invited us to resubmit a proposal consistent with the new directions we are taking in our research and development of our platform of stem cell technologies.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CALIFORNIA, INC.</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On September 26, 1997, we acquired by merger StemCells, Inc. (now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COLLABORATIONS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July 1996, we, together with certain founding scientists, established Modex Therapeutics SA, a Swiss biotherapeutics company, to pursue extensions of our former technology of ECT for certain applications outside the central nervous system. Modex, headquartered in Lausanne, Switzerland, was formed to integrate technologies developed by us and by several other institutions to develop products to treat diseases such as diabetes, obesity and anemia. After our disposition of the encapsulated cell technology in December 1999, we no longer had common research or development interests with Modex, but we held approximate 17% of its stock. Modex completed an initial public offering on June 23, 2000, in the course of which we realized a gain of approximately $1.4 million from the sale of certain shares. After Modex's IPO, we owned 126,193 shares, or approximately 9%, of Modex's equity, subject to a lockup until December 23, 2000. The closing market price of Modex stock on the Swiss Neue Market exchange on January 2, 2001 was 210.00 Swiss francs, or approximately $130.39, per share. On January 9, 2001, we sold 22,616 Modex shares for a net price of 182.00 Swiss francs per share, which converts to</w:t>
      </w:r>
    </w:p>
    <w:p>
      <w:pPr>
        <w:spacing w:after="0" w:line="1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$112.76 per share, for total proceeds of approximately $2,550,000. In connection with this sale, we agreed not to resell any more of our remaining 103,577 Modex shares until April 12, 2001. The market value of our Modex holdings at March 27, 2001 was $8,732,797 based on the closing market price of Modex stock on the Swiss Neue Market exchange at that date of 145.00 Swiss francs per share, or approximately $84.31, per share.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SPONSORED RESEARCH AGREEMENTS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8" w:right="1440" w:bottom="1440" w:gutter="0" w:footer="0" w:header="0"/>
        </w:sectPr>
      </w:pPr>
    </w:p>
    <w:bookmarkStart w:id="11" w:name="page12"/>
    <w:bookmarkEnd w:id="11"/>
    <w:p>
      <w:pPr>
        <w:ind w:right="3439"/>
        <w:spacing w:after="0" w:line="260" w:lineRule="auto"/>
        <w:rPr>
          <w:sz w:val="20"/>
          <w:szCs w:val="20"/>
          <w:color w:val="auto"/>
        </w:rPr>
      </w:pPr>
      <w:r>
        <w:rPr>
          <w:rFonts w:ascii="Courier New" w:cs="Courier New" w:eastAsia="Courier New" w:hAnsi="Courier New"/>
          <w:sz w:val="14"/>
          <w:szCs w:val="14"/>
          <w:color w:val="auto"/>
        </w:rPr>
        <w:t>California Institute of Technology. All of these agreements relate largely to stem or progenitor cells and or to processes and methods for the isolation, identification, expansion or culturing of stem or progenitor cells.</w:t>
      </w:r>
    </w:p>
    <w:p>
      <w:pPr>
        <w:spacing w:after="0" w:line="163"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Our research agreement with Scripps expired on November 14, 2000. It is our intention to bring the research on stem and progenitor cells of the pancreas in house. Dr. Nora Sarvetnick, who led the research at Scripps, will continue to consult with us. Our license agreements with Scripps are not affected by the expiration of the research agreement. They will terminate upon expiration, revocation or invalidation of the patents licensed to us, unless governmental regulations require a shorter term. These license agreements also will terminate earlier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 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issued 12,800 shares of common stock amounting to $10,000 to the California Institute of Technology upon execution of the license agreements, and we must pay an additional $10,000 upon the issuance of the patent licensed to us under the relevant agreement. We 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SIGNAL PHARMACEUTICALS, INC.</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8"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NEUROSPHERES, LTD.</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so that together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we reimbursed Neurospheres for patent costs amounting to $341,000. Milestone payments would total $500,000 for each product that is approved for market.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by appropriate testing and banking representative vials of large-scale cultures. Commercial production is expected to involve expansion of banked cells and packaging them in appropriate containers after formulating the cells in an effective carrier. The carrier may also be used to improve the stability and acceptance of the stem cells or their progeny. Because of the early stage of our stem and progenitor cell programs, all of the issues that will affect manufacture of stem and progenitor cell products are not yet clear.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It is our intent to have the marketing of our products undertaken by such partners, although we may seek to retain limited marketing rights in specific narrow markets where the product may be addressed by a specialty or niche sales force.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believe that proprietary protection of our inventions will be of major importance to our future business. We have an aggressive program of vigorously seeking and protecting our intellectual property which we believe might be useful in connection with our products.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77"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2" w:right="1440" w:bottom="1440" w:gutter="0" w:footer="0" w:header="0"/>
        </w:sectPr>
      </w:pPr>
    </w:p>
    <w:bookmarkStart w:id="13" w:name="page14"/>
    <w:bookmarkEnd w:id="13"/>
    <w:p>
      <w:pPr>
        <w:ind w:right="3259"/>
        <w:spacing w:after="0" w:line="237" w:lineRule="auto"/>
        <w:rPr>
          <w:sz w:val="20"/>
          <w:szCs w:val="20"/>
          <w:color w:val="auto"/>
        </w:rPr>
      </w:pPr>
      <w:r>
        <w:rPr>
          <w:rFonts w:ascii="Courier New" w:cs="Courier New" w:eastAsia="Courier New" w:hAnsi="Courier New"/>
          <w:sz w:val="15"/>
          <w:szCs w:val="15"/>
          <w:color w:val="auto"/>
        </w:rPr>
        <w:t>therapy area includes twenty-two issued U.S. patents, seven of which issued in 2000. An additional twenty-seven patent applications are pending, five of which have been allowed.</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own, or have filed, the following United States Patents and patent applications: U.S. Patent Number 5,968,829 (Human CNS neural stem cells); U.S. Patent Number 6,103,530 (Human CNS neural stem cells--culture media); Application Number WO 99/11758 (Cultures of human CNS neural stem cells); and Application Number WO 00/36091 (An animal model for identifying a common stem/ progenitor to liver cells and pancreatic cells); Application Number WO98/50526 (Generation, characterization, and isolation of neuroepithelial stem cells and lineage restricted intermediate precursor); Application Number WO 00/50572 (Use of collagenase in the preparation of neural stem cell cultures); and Application Number WO 00/47762 (Enriched neural stem cell populations and methods of identifying, isolating, and enriching neural stem cells).</w:t>
      </w:r>
    </w:p>
    <w:p>
      <w:pPr>
        <w:spacing w:after="0" w:line="181"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We have licensed the following United States Patents or pending patent applications from Neurospheres Holdings Ltd.: U.S. Patent Number 5,851,832 (IN VITRO proliferation); U.S. Patent Number 5,750,376 (IN VITRO genetic modification); U.S. Patent Number 5,981,165 (IN VITRO production of dopaminergic cells from mammalian central nervous system multipotent stem cell compositions); U.S. Patent Number 6,093,531 (Generation of hematopoietic cells from multipotent neural stem cells); U.S. Patent Number 5,980,885 (Methods for inducing IN VIVO proliferation of precursor cells); U.S. Patent Number 6,071,889 (Methods for IN VIVO transfer of a nucleic acid sequence to proliferating neural cells); U.S. Patent Number 6,165,783 (Methods of inducing differentiation of multipotent neural stem cells); Application Number WO 93/01275 (Mammalian central nervous system multipotent stem cell compositions); Application Number WO 94/09119 (Remyelination using mammalian central nervous system multipotent stem cell compositions); Application Number WO 94/10292 (Biological factors useful in differentiating mammalian central nervous system multipotent stem cell compositions); Application Number WO 94/16718 (Genetically engineered mammalian central nervous system multipotent stem cell compositions); Application Number WO 96/15224 (Differentiation of mammalian central nervous system multipotent stem cell compositions); Application Number WO 99/2196 (Erythropoietin-mediated neurogenesis); Application Number WO 99/16863 (Generation of hematopoietic cells); Application Number WO 98/22127 (Pretreatment with growth factors to protect against CNS damage); Application Number WO 97/3560 (IN SITU manipulation of cells of the hippocampus); Application Number WO 96/09543 (IN VITRO models of CNS functions and dysfunctions); Application Number WO 95/13364 (IN SITU modification and manipulation of stem cells of the CNS); Application Number WO 96/15226 (IN VITRO production of dopaminergic cells from mammalian central nervous system multipotent stem cell composition); and Application Number WO 96/15266 (Regulation of neural stem cell proliferation).</w:t>
      </w:r>
    </w:p>
    <w:p>
      <w:pPr>
        <w:spacing w:after="0" w:line="348"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We have licensed the following United States Patents or pending patent applications from the University of California, San Diego: U.S. Patent Number 5,776,948 (Method of production of neuroblasts); U.S. Patent Number 6,013,521 (Method of production of neuroblasts); U.S. Patent Number 6,020,197 (Method of production of neuroblasts); and Application Number WO 94/16059 (Method of production of neuroblasts).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licensed the following United States Patents or pending patent applications from the California Institute of Technology: U.S. Patent Number 5,629,159 (Immortalization and disimmortalization of cells); Application Number WO 96/40877 (Immortalization and disimmortalization of cells); U.S. Patent Number 5,935,811 (Neuron restrictive silencer factor proteins); Application Number WO 96/27665 (Neuron restrictive silencer factor proteins); U.S. Patent Number 5,589,376 (Mammalian neural crest stem cells); U.S. Patent Number 5,824,489 (Methods for isolating mammalian multipotent neural crest stem cells); Application Number WO 94/02593 (Mammalian neural crest stem cells); U.S. Patent Number 5,654,183 (Genetically engineered mammalian neural crest stem cells); U.S. Patent Number 5,928,947 (Mammalian multipotent neural crest stem cells); U.S. Patent Number 5,693,482 (IN VITRO neural crest stem cell assay); U.S. Patent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8" w:right="1440" w:bottom="1440" w:gutter="0" w:footer="0" w:header="0"/>
        </w:sectPr>
      </w:pPr>
    </w:p>
    <w:bookmarkStart w:id="14" w:name="page15"/>
    <w:bookmarkEnd w:id="14"/>
    <w:p>
      <w:pPr>
        <w:ind w:right="3179"/>
        <w:spacing w:after="0" w:line="257" w:lineRule="auto"/>
        <w:rPr>
          <w:sz w:val="20"/>
          <w:szCs w:val="20"/>
          <w:color w:val="auto"/>
        </w:rPr>
      </w:pPr>
      <w:r>
        <w:rPr>
          <w:rFonts w:ascii="Courier New" w:cs="Courier New" w:eastAsia="Courier New" w:hAnsi="Courier New"/>
          <w:sz w:val="14"/>
          <w:szCs w:val="14"/>
          <w:color w:val="auto"/>
        </w:rPr>
        <w:t>Number 6,001,654 (Methods for differentiating neural stem cells to neurons or smooth muscle cells (TGFb)); Application Number WO 98/48001 (Methods for differentiating neural stem cells to neurons or smooth muscle cells (TGFb)); U.S. Patent Number 5,672,499 (Methods for immortalizing multipotent neural crest stem cells); U.S. Patent Number 5,849,553 (Immortalizing and disimmortalizing multipotent neural crest stem cells); and U.S. Patent Number 6,033,906 (Differentiating mammalian neural stem cells to glial cells using neuregulins).</w:t>
      </w:r>
    </w:p>
    <w:p>
      <w:pPr>
        <w:spacing w:after="0" w:line="167"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We also rely upon trade-secret protection for our confidential and proprietary information and take active measures to control access to that information.</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and pancreas stem cells.</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patent positions of pharmaceutical and biotechnology companies, including those of the Company, are uncertain and involve complex and evolving legal and factual questions. The coverage sought in a patent application can be denied or significantly reduced before or after the patent is issued. Consequently, the Company does not know whether any of its pending applications will result in the issuance of patents, or if any existing or future patents will provide significant protection or commercial advantage or will be circumvented by others. Since patent applications are secret until patents are issued in the United States or until the applications are published in foreign countries, and since publication of discoveries in the scientific or patent literature often lags behind actual discoveries, the Company cannot be certain that it was the first to make the inventions covered by each of its pending patent applications or that it was the first to file patent applications for such inventions. There can be no assurance that patents will issue from the Company's pending or future patent applications or, if issued, that such patents will be of commercial benefit to the Company, afford the Company adequate protection from competing products or not be challenged or declared invalid.</w:t>
      </w:r>
    </w:p>
    <w:p>
      <w:pPr>
        <w:spacing w:after="0" w:line="164"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the event that a third party has also filed a patent application relating to inventions claimed in Company patent applications, the Company may have to participate in interference proceedings declared by the United States Patent and Trademark Office to determine priority of invention, which could result in substantial uncertainties and cost for the Company, even if the eventual outcome is favorable to the Company. There can be no assurance that the Company's patents, if issued, would be held valid by a court of competent jurisdiction.</w:t>
      </w:r>
    </w:p>
    <w:p>
      <w:pPr>
        <w:spacing w:after="0" w:line="16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the Company's expected products. The Company cannot predict which, if any, of such applications will issue as patents or the claims that might be allowed. The Company is aware that a number of companies have filed applications relating to stem cells. The Company is also aware of a number of patent applications and patents claiming use</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8" w:right="1440" w:bottom="1440" w:gutter="0" w:footer="0" w:header="0"/>
        </w:sectPr>
      </w:pPr>
    </w:p>
    <w:bookmarkStart w:id="15" w:name="page16"/>
    <w:bookmarkEnd w:id="15"/>
    <w:p>
      <w:pPr>
        <w:ind w:right="3259"/>
        <w:spacing w:after="0" w:line="259" w:lineRule="auto"/>
        <w:rPr>
          <w:sz w:val="20"/>
          <w:szCs w:val="20"/>
          <w:color w:val="auto"/>
        </w:rPr>
      </w:pPr>
      <w:r>
        <w:rPr>
          <w:rFonts w:ascii="Courier New" w:cs="Courier New" w:eastAsia="Courier New" w:hAnsi="Courier New"/>
          <w:sz w:val="14"/>
          <w:szCs w:val="14"/>
          <w:color w:val="auto"/>
        </w:rPr>
        <w:t>of genetically modified cells to treat disease, disorder or injury. The Company is aware of two patents issued to a competitor claiming certain methods for treating defective, diseased or damaged cells in the mammalian CNS by grafting genetically modified donor cells from the same mammalian species.</w:t>
      </w:r>
    </w:p>
    <w:p>
      <w:pPr>
        <w:spacing w:after="0" w:line="163"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If third party patents or patent applications contain claims infringed by the Company's technology and such claims or claims in issued patents are ultimately determined to be valid, there can be no assurance that the Company would be able to obtain licenses to these patents at a reasonable cost, if at all, or be able to develop or obtain alternative technology. If the Company is unable to obtain such licenses at a reasonable cost, it may be adversely affected. There can be no assurance that the Company will not be obliged to defend itself in court against allegations of infringement of third party patents. Patent litigation is very expensive and could consume substantial resources and create significant uncertainties. An adverse outcome in such a suit could subject the Company to significant liabilities to third parties, require disputed rights to be licensed from third parties, or require the Company to cease using such technology.</w:t>
      </w:r>
    </w:p>
    <w:p>
      <w:pPr>
        <w:spacing w:after="0" w:line="18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obtained rights from universities and research institutions to technologies, processes and compounds that it believes may be important to the development of its products. These agreements typically require the Company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neural and pancreatic stem cells. The Company's licenses may be canceled or converted to non-exclusive licenses if the Company fails to use the relevant technology or the Company breaches its agreements. Loss of such licenses could expose the Company to the risks of third party patents and/or technology. There can be no assurance that any of these licenses will provide effective protection against the Company's competitors.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8" w:right="1440" w:bottom="1440" w:gutter="0" w:footer="0" w:header="0"/>
        </w:sectPr>
      </w:pPr>
    </w:p>
    <w:bookmarkStart w:id="16" w:name="page17"/>
    <w:bookmarkEnd w:id="16"/>
    <w:p>
      <w:pPr>
        <w:ind w:left="10" w:right="3179" w:firstLine="353"/>
        <w:spacing w:after="0" w:line="237" w:lineRule="auto"/>
        <w:rPr>
          <w:sz w:val="20"/>
          <w:szCs w:val="20"/>
          <w:color w:val="auto"/>
        </w:rPr>
      </w:pPr>
      <w:r>
        <w:rPr>
          <w:rFonts w:ascii="Courier New" w:cs="Courier New" w:eastAsia="Courier New" w:hAnsi="Courier New"/>
          <w:sz w:val="15"/>
          <w:szCs w:val="15"/>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79"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GOVERNMENT REGULATION</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FDA APPROVAL</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steps required before our potential products may be marketed in the</w:t>
      </w:r>
    </w:p>
    <w:p>
      <w:pPr>
        <w:ind w:left="10"/>
        <w:spacing w:after="0"/>
        <w:rPr>
          <w:sz w:val="20"/>
          <w:szCs w:val="20"/>
          <w:color w:val="auto"/>
        </w:rPr>
      </w:pPr>
      <w:r>
        <w:rPr>
          <w:rFonts w:ascii="Courier New" w:cs="Courier New" w:eastAsia="Courier New" w:hAnsi="Courier New"/>
          <w:sz w:val="15"/>
          <w:szCs w:val="15"/>
          <w:color w:val="auto"/>
        </w:rPr>
        <w:t>United States include:</w:t>
      </w:r>
    </w:p>
    <w:p>
      <w:pPr>
        <w:spacing w:after="0" w:line="200" w:lineRule="exact"/>
        <w:rPr>
          <w:sz w:val="20"/>
          <w:szCs w:val="20"/>
          <w:color w:val="auto"/>
        </w:rPr>
      </w:pPr>
    </w:p>
    <w:p>
      <w:pPr>
        <w:spacing w:after="0" w:line="308" w:lineRule="exact"/>
        <w:rPr>
          <w:sz w:val="20"/>
          <w:szCs w:val="20"/>
          <w:color w:val="auto"/>
        </w:rPr>
      </w:pPr>
    </w:p>
    <w:p>
      <w:pPr>
        <w:ind w:left="1590"/>
        <w:spacing w:after="0"/>
        <w:tabs>
          <w:tab w:leader="none" w:pos="534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ind w:left="10"/>
        <w:spacing w:after="0"/>
        <w:tabs>
          <w:tab w:leader="none" w:pos="39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9"/>
          </w:cols>
          <w:pgMar w:left="230" w:top="458" w:right="1440" w:bottom="1440" w:gutter="0" w:footer="0" w:header="0"/>
        </w:sectPr>
      </w:pPr>
    </w:p>
    <w:p>
      <w:pPr>
        <w:spacing w:after="0" w:line="174" w:lineRule="exact"/>
        <w:rPr>
          <w:sz w:val="20"/>
          <w:szCs w:val="20"/>
          <w:color w:val="auto"/>
        </w:rPr>
      </w:pPr>
    </w:p>
    <w:p>
      <w:pPr>
        <w:ind w:left="10" w:hanging="10"/>
        <w:spacing w:after="0" w:line="235" w:lineRule="auto"/>
        <w:tabs>
          <w:tab w:leader="none" w:pos="27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Preclinical laboratory and animal tests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039"/>
        <w:spacing w:after="0" w:line="238" w:lineRule="auto"/>
        <w:rPr>
          <w:sz w:val="20"/>
          <w:szCs w:val="20"/>
          <w:color w:val="auto"/>
        </w:rPr>
      </w:pPr>
      <w:r>
        <w:rPr>
          <w:rFonts w:ascii="Courier New" w:cs="Courier New" w:eastAsia="Courier New" w:hAnsi="Courier New"/>
          <w:sz w:val="15"/>
          <w:szCs w:val="15"/>
          <w:color w:val="auto"/>
        </w:rPr>
        <w:t>Preclinical tests include laboratory evaluation of the product and animal studies in specific disease models to assess the potential safety and efficacy of the product and our formulation as well as the quality and consistency of the manufacturing process.</w:t>
      </w:r>
    </w:p>
    <w:p>
      <w:pPr>
        <w:spacing w:after="0" w:line="176" w:lineRule="exact"/>
        <w:rPr>
          <w:sz w:val="20"/>
          <w:szCs w:val="20"/>
          <w:color w:val="auto"/>
        </w:rPr>
      </w:pPr>
    </w:p>
    <w:p>
      <w:pPr>
        <w:sectPr>
          <w:pgSz w:w="11900" w:h="16838" w:orient="portrait"/>
          <w:cols w:equalWidth="0" w:num="2">
            <w:col w:w="3170" w:space="620"/>
            <w:col w:w="6439"/>
          </w:cols>
          <w:pgMar w:left="230" w:top="458" w:right="1440" w:bottom="1440" w:gutter="0" w:footer="0" w:header="0"/>
          <w:type w:val="continuous"/>
        </w:sectPr>
      </w:pPr>
    </w:p>
    <w:p>
      <w:pPr>
        <w:ind w:left="10" w:hanging="10"/>
        <w:spacing w:after="0" w:line="237" w:lineRule="auto"/>
        <w:tabs>
          <w:tab w:leader="none" w:pos="27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an application for an Investigational New Drug Exemption, or IND, which must become effective before U.S. human clinical trials may commence</w:t>
      </w:r>
    </w:p>
    <w:p>
      <w:pPr>
        <w:spacing w:after="0" w:line="20" w:lineRule="exact"/>
        <w:rPr>
          <w:sz w:val="20"/>
          <w:szCs w:val="20"/>
          <w:color w:val="auto"/>
        </w:rPr>
      </w:pPr>
      <w:r>
        <w:rPr>
          <w:sz w:val="20"/>
          <w:szCs w:val="20"/>
          <w:color w:val="auto"/>
        </w:rPr>
        <w:br w:type="column"/>
      </w:r>
    </w:p>
    <w:p>
      <w:pPr>
        <w:ind w:right="2039"/>
        <w:spacing w:after="0" w:line="258" w:lineRule="auto"/>
        <w:rPr>
          <w:sz w:val="20"/>
          <w:szCs w:val="20"/>
          <w:color w:val="auto"/>
        </w:rPr>
      </w:pPr>
      <w:r>
        <w:rPr>
          <w:rFonts w:ascii="Courier New" w:cs="Courier New" w:eastAsia="Courier New" w:hAnsi="Courier New"/>
          <w:sz w:val="14"/>
          <w:szCs w:val="14"/>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200" w:lineRule="exact"/>
        <w:rPr>
          <w:sz w:val="20"/>
          <w:szCs w:val="20"/>
          <w:color w:val="auto"/>
        </w:rPr>
      </w:pPr>
    </w:p>
    <w:p>
      <w:pPr>
        <w:sectPr>
          <w:pgSz w:w="11900" w:h="16838" w:orient="portrait"/>
          <w:cols w:equalWidth="0" w:num="2">
            <w:col w:w="3610" w:space="180"/>
            <w:col w:w="6439"/>
          </w:cols>
          <w:pgMar w:left="230" w:top="458" w:right="1440" w:bottom="1440" w:gutter="0" w:footer="0" w:header="0"/>
          <w:type w:val="continuous"/>
        </w:sectPr>
      </w:pPr>
    </w:p>
    <w:p>
      <w:pPr>
        <w:spacing w:after="0" w:line="12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458" w:right="1440" w:bottom="1440" w:gutter="0" w:footer="0" w:header="0"/>
          <w:type w:val="continuous"/>
        </w:sectPr>
      </w:pPr>
    </w:p>
    <w:bookmarkStart w:id="17" w:name="page18"/>
    <w:bookmarkEnd w:id="17"/>
    <w:p>
      <w:pPr>
        <w:ind w:left="1590"/>
        <w:spacing w:after="0"/>
        <w:tabs>
          <w:tab w:leader="none" w:pos="534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ind w:left="10"/>
        <w:spacing w:after="0"/>
        <w:tabs>
          <w:tab w:leader="none" w:pos="39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9"/>
          </w:cols>
          <w:pgMar w:left="230" w:top="9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hanging="10"/>
        <w:spacing w:after="0" w:line="237" w:lineRule="auto"/>
        <w:tabs>
          <w:tab w:leader="none" w:pos="27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039"/>
        <w:spacing w:after="0" w:line="256" w:lineRule="auto"/>
        <w:rPr>
          <w:sz w:val="20"/>
          <w:szCs w:val="20"/>
          <w:color w:val="auto"/>
        </w:rPr>
      </w:pPr>
      <w:r>
        <w:rPr>
          <w:rFonts w:ascii="Courier New" w:cs="Courier New" w:eastAsia="Courier New" w:hAnsi="Courier New"/>
          <w:sz w:val="14"/>
          <w:szCs w:val="14"/>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346" w:lineRule="exact"/>
        <w:rPr>
          <w:sz w:val="20"/>
          <w:szCs w:val="20"/>
          <w:color w:val="auto"/>
        </w:rPr>
      </w:pPr>
    </w:p>
    <w:p>
      <w:pPr>
        <w:ind w:right="2039"/>
        <w:spacing w:after="0" w:line="235" w:lineRule="auto"/>
        <w:rPr>
          <w:sz w:val="20"/>
          <w:szCs w:val="20"/>
          <w:color w:val="auto"/>
        </w:rPr>
      </w:pPr>
      <w:r>
        <w:rPr>
          <w:rFonts w:ascii="Courier New" w:cs="Courier New" w:eastAsia="Courier New" w:hAnsi="Courier New"/>
          <w:sz w:val="15"/>
          <w:szCs w:val="15"/>
          <w:color w:val="auto"/>
        </w:rPr>
        <w:t>Clinical development is traditionally conducted in three sequential phases, which may overlap:</w:t>
      </w:r>
    </w:p>
    <w:p>
      <w:pPr>
        <w:spacing w:after="0" w:line="176" w:lineRule="exact"/>
        <w:rPr>
          <w:sz w:val="20"/>
          <w:szCs w:val="20"/>
          <w:color w:val="auto"/>
        </w:rPr>
      </w:pPr>
    </w:p>
    <w:p>
      <w:pPr>
        <w:ind w:left="800" w:right="2039" w:hanging="271"/>
        <w:spacing w:after="0" w:line="258" w:lineRule="auto"/>
        <w:tabs>
          <w:tab w:leader="none" w:pos="8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healthy human subjects or into selected patient populations to test for adverse reactions, dosage tolerance, absorption and distribution, metabolism, excretion and clinical pharmacology.</w:t>
      </w:r>
    </w:p>
    <w:p>
      <w:pPr>
        <w:spacing w:after="0" w:line="163" w:lineRule="exact"/>
        <w:rPr>
          <w:rFonts w:ascii="Courier New" w:cs="Courier New" w:eastAsia="Courier New" w:hAnsi="Courier New"/>
          <w:sz w:val="14"/>
          <w:szCs w:val="14"/>
          <w:color w:val="auto"/>
        </w:rPr>
      </w:pPr>
    </w:p>
    <w:p>
      <w:pPr>
        <w:ind w:left="800" w:right="2199" w:hanging="271"/>
        <w:spacing w:after="0" w:line="256" w:lineRule="auto"/>
        <w:tabs>
          <w:tab w:leader="none" w:pos="8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involves studies in a limited patient population to (i) determine the efficacy of the product for specific targeted indications and populations,</w:t>
      </w:r>
    </w:p>
    <w:p>
      <w:pPr>
        <w:spacing w:after="0" w:line="1" w:lineRule="exact"/>
        <w:rPr>
          <w:rFonts w:ascii="Courier New" w:cs="Courier New" w:eastAsia="Courier New" w:hAnsi="Courier New"/>
          <w:sz w:val="14"/>
          <w:szCs w:val="14"/>
          <w:color w:val="auto"/>
        </w:rPr>
      </w:pPr>
    </w:p>
    <w:p>
      <w:pPr>
        <w:ind w:left="800" w:right="2039" w:hanging="6"/>
        <w:spacing w:after="0" w:line="257" w:lineRule="auto"/>
        <w:tabs>
          <w:tab w:leader="none" w:pos="1241"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67" w:lineRule="exact"/>
        <w:rPr>
          <w:rFonts w:ascii="Courier New" w:cs="Courier New" w:eastAsia="Courier New" w:hAnsi="Courier New"/>
          <w:sz w:val="14"/>
          <w:szCs w:val="14"/>
          <w:color w:val="auto"/>
        </w:rPr>
      </w:pPr>
    </w:p>
    <w:p>
      <w:pPr>
        <w:ind w:left="800" w:right="2199" w:hanging="271"/>
        <w:spacing w:after="0" w:line="258" w:lineRule="auto"/>
        <w:tabs>
          <w:tab w:leader="none" w:pos="8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III trials are undertaken to conclusively demonstrate clinical efficacy and to test further for safety within an expanded patient population, generally at multiple study sites.</w:t>
      </w:r>
    </w:p>
    <w:p>
      <w:pPr>
        <w:spacing w:after="0" w:line="16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may require discontinuance of the trials at any time if significant safety issues arise.</w:t>
      </w:r>
    </w:p>
    <w:p>
      <w:pPr>
        <w:spacing w:after="0" w:line="200" w:lineRule="exact"/>
        <w:rPr>
          <w:sz w:val="20"/>
          <w:szCs w:val="20"/>
          <w:color w:val="auto"/>
        </w:rPr>
      </w:pPr>
    </w:p>
    <w:p>
      <w:pPr>
        <w:sectPr>
          <w:pgSz w:w="11900" w:h="16838" w:orient="portrait"/>
          <w:cols w:equalWidth="0" w:num="2">
            <w:col w:w="3430" w:space="360"/>
            <w:col w:w="6439"/>
          </w:cols>
          <w:pgMar w:left="230" w:top="961" w:right="1440" w:bottom="1440" w:gutter="0" w:footer="0" w:header="0"/>
          <w:type w:val="continuous"/>
        </w:sectPr>
      </w:pPr>
    </w:p>
    <w:p>
      <w:pPr>
        <w:spacing w:after="0" w:line="1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961" w:right="1440" w:bottom="1440" w:gutter="0" w:footer="0" w:header="0"/>
          <w:type w:val="continuous"/>
        </w:sectPr>
      </w:pPr>
    </w:p>
    <w:bookmarkStart w:id="18" w:name="page19"/>
    <w:bookmarkEnd w:id="18"/>
    <w:p>
      <w:pPr>
        <w:ind w:left="1590"/>
        <w:spacing w:after="0"/>
        <w:tabs>
          <w:tab w:leader="none" w:pos="534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ind w:left="10"/>
        <w:spacing w:after="0"/>
        <w:tabs>
          <w:tab w:leader="none" w:pos="39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9"/>
          </w:cols>
          <w:pgMar w:left="230" w:top="961" w:right="1440" w:bottom="1440" w:gutter="0" w:footer="0" w:header="0"/>
        </w:sectPr>
      </w:pPr>
    </w:p>
    <w:p>
      <w:pPr>
        <w:spacing w:after="0" w:line="174" w:lineRule="exact"/>
        <w:rPr>
          <w:sz w:val="20"/>
          <w:szCs w:val="20"/>
          <w:color w:val="auto"/>
        </w:rPr>
      </w:pPr>
    </w:p>
    <w:p>
      <w:pPr>
        <w:ind w:left="10" w:right="260" w:hanging="10"/>
        <w:spacing w:after="0" w:line="235" w:lineRule="auto"/>
        <w:tabs>
          <w:tab w:leader="none" w:pos="27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approval of the application(s)</w:t>
      </w:r>
    </w:p>
    <w:p>
      <w:pPr>
        <w:spacing w:after="0" w:line="5" w:lineRule="exact"/>
        <w:rPr>
          <w:rFonts w:ascii="Courier New" w:cs="Courier New" w:eastAsia="Courier New" w:hAnsi="Courier New"/>
          <w:sz w:val="15"/>
          <w:szCs w:val="15"/>
          <w:color w:val="auto"/>
        </w:rPr>
      </w:pPr>
    </w:p>
    <w:p>
      <w:pPr>
        <w:ind w:left="1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5"/>
          <w:szCs w:val="15"/>
          <w:color w:val="auto"/>
        </w:rPr>
        <w:t>The results of the preclinical studies and clinical studies are submitted to the FDA in the form of marketing approval authorization applications.</w:t>
      </w:r>
    </w:p>
    <w:p>
      <w:pPr>
        <w:spacing w:after="0" w:line="176"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4"/>
          <w:szCs w:val="14"/>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3530" w:space="260"/>
            <w:col w:w="6439"/>
          </w:cols>
          <w:pgMar w:left="230" w:top="961" w:right="1440" w:bottom="1440" w:gutter="0" w:footer="0" w:header="0"/>
          <w:type w:val="continuous"/>
        </w:sectPr>
      </w:pPr>
    </w:p>
    <w:p>
      <w:pPr>
        <w:spacing w:after="0" w:line="13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After FDA approval for the initial indications and requisite approval of the manufacturing facility,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FDA MANUFACTURING REQUIREMENTS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ORPHAN DRUG ACT</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17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PROPOSED FDA REGULATIONS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961" w:right="1440" w:bottom="1440" w:gutter="0" w:footer="0" w:header="0"/>
          <w:type w:val="continuous"/>
        </w:sectPr>
      </w:pPr>
    </w:p>
    <w:bookmarkStart w:id="19" w:name="page20"/>
    <w:bookmarkEnd w:id="19"/>
    <w:p>
      <w:pPr>
        <w:ind w:right="3259"/>
        <w:spacing w:after="0" w:line="237" w:lineRule="auto"/>
        <w:rPr>
          <w:sz w:val="20"/>
          <w:szCs w:val="20"/>
          <w:color w:val="auto"/>
        </w:rPr>
      </w:pPr>
      <w:r>
        <w:rPr>
          <w:rFonts w:ascii="Courier New" w:cs="Courier New" w:eastAsia="Courier New" w:hAnsi="Courier New"/>
          <w:sz w:val="15"/>
          <w:szCs w:val="15"/>
          <w:color w:val="auto"/>
        </w:rPr>
        <w:t>contain such research. Certain of our collaborators have stock options or other equity interests in us that could subject such collaborators and us to the proposed regulations.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might be taken from it. Restrictions exist on the testing or use of cells, whether human or non-human.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REGULATIONS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Outside the United States, we will be subject to regulations which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78"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As of December 31, 2000, we had twenty-six full-time employees, of whom six have Ph.D. degrees, as well as two half-time employees. The equivalent of fifteen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8" w:right="1440" w:bottom="1440" w:gutter="0" w:footer="0" w:header="0"/>
        </w:sectPr>
      </w:pPr>
    </w:p>
    <w:bookmarkStart w:id="20" w:name="page21"/>
    <w:bookmarkEnd w:id="20"/>
    <w:p>
      <w:pPr>
        <w:ind w:right="3179"/>
        <w:spacing w:after="0" w:line="257" w:lineRule="auto"/>
        <w:rPr>
          <w:sz w:val="20"/>
          <w:szCs w:val="20"/>
          <w:color w:val="auto"/>
        </w:rPr>
      </w:pPr>
      <w:r>
        <w:rPr>
          <w:rFonts w:ascii="Courier New" w:cs="Courier New" w:eastAsia="Courier New" w:hAnsi="Courier New"/>
          <w:sz w:val="14"/>
          <w:szCs w:val="14"/>
          <w:color w:val="auto"/>
        </w:rPr>
        <w:t>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65" w:lineRule="exact"/>
        <w:rPr>
          <w:sz w:val="20"/>
          <w:szCs w:val="20"/>
          <w:color w:val="auto"/>
        </w:rPr>
      </w:pPr>
    </w:p>
    <w:p>
      <w:pPr>
        <w:ind w:left="520" w:right="3359" w:hanging="177"/>
        <w:spacing w:after="0" w:line="238"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Chairman of the Scientific Advisory Board of StemCells.</w:t>
      </w:r>
    </w:p>
    <w:p>
      <w:pPr>
        <w:spacing w:after="0" w:line="176" w:lineRule="exact"/>
        <w:rPr>
          <w:rFonts w:ascii="Courier New" w:cs="Courier New" w:eastAsia="Courier New" w:hAnsi="Courier New"/>
          <w:sz w:val="15"/>
          <w:szCs w:val="15"/>
          <w:color w:val="auto"/>
        </w:rPr>
      </w:pPr>
    </w:p>
    <w:p>
      <w:pPr>
        <w:ind w:left="520" w:right="3179" w:hanging="177"/>
        <w:spacing w:after="0" w:line="237"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74" w:lineRule="exact"/>
        <w:rPr>
          <w:rFonts w:ascii="Courier New" w:cs="Courier New" w:eastAsia="Courier New" w:hAnsi="Courier New"/>
          <w:sz w:val="15"/>
          <w:szCs w:val="15"/>
          <w:color w:val="auto"/>
        </w:rPr>
      </w:pPr>
    </w:p>
    <w:p>
      <w:pPr>
        <w:ind w:left="520" w:right="3619" w:hanging="177"/>
        <w:spacing w:after="0" w:line="237" w:lineRule="auto"/>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Our current research laboratories and administrative offices are located in a leased 7,950 square-foot multipurpose building housing wet labs, specialty research areas and administrative offices located in Sunnyvale, California. The facilities are leased pursuant to lease agreements expiring August 31, 2001. These facilities were sufficient to accommodate our needs through the end of 2000, but our expanding endeavors require more space for both research and development in the future.</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therefore entered a 5-year lease, as of February 1, 2001, for a 40,000 square foot facility, located in the Stanford Research Park in Palo Alto, California, which includes vivarium space as well as laboratories, offices, and a GMP (Good Manufacturing Practices) suite, signifying that the facility can be used to manufacture materials for clinical trials. The new facility will better enable us to achieve our goal of utilizing genetically unmodified human stem cells for the treatment of disorders of the nervous system, liver, and pancreas. We expect to vacate our current premises and be moved into the new facility by May, 2001.</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We continue to lease the following facilities in Lincoln, Rhode Island obtained in connection with our former encapsulated cell technology: our former research laboratory and corporate headquarters building which contains 65,000 square feet of wet labs, specialty research areas and administrative offices held on a fifteen-year lease agreement, as well as a 21,000 square-foot pilot manufacturing facility and a 3,000 square-foot cell processing facility financed by bonds issued by the Rhode Island Industrial Facilities Corporation. In February, 2001, we subleased the 3,000 square foot facility and approximately one-third of the 65,000 square foot facility. We are actively seeking to sublease, assign or sell our remaining interests in these properties.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8" w:right="1440" w:bottom="1440" w:gutter="0" w:footer="0" w:header="0"/>
        </w:sectPr>
      </w:pPr>
    </w:p>
    <w:bookmarkStart w:id="21" w:name="page22"/>
    <w:bookmarkEnd w:id="21"/>
    <w:p>
      <w:pPr>
        <w:jc w:val="center"/>
        <w:ind w:right="325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5. MARKET FOR REGISTRANT'S COMMON EQUITY AND RELATED STOCKHOLDERS MATTERS</w:t>
      </w:r>
    </w:p>
    <w:p>
      <w:pPr>
        <w:spacing w:after="0" w:line="175"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The common stock of StemCells is traded on the National Market System of NASDAQ under the Symbol STEM (Previously traded under the Symbol CTII until May 2000). The quarterly ranges of high and low sales prices for the last two fiscal years are shown below:</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LOW</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First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c>
          <w:tcPr>
            <w:tcW w:w="10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3/8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Second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2</w:t>
            </w:r>
          </w:p>
        </w:tc>
        <w:tc>
          <w:tcPr>
            <w:tcW w:w="106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Third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41/61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11/16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Fourth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2</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1/4</w:t>
            </w:r>
          </w:p>
        </w:tc>
      </w:tr>
      <w:tr>
        <w:trPr>
          <w:trHeight w:val="848"/>
        </w:trPr>
        <w:tc>
          <w:tcPr>
            <w:tcW w:w="53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LOW</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First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25/32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5/32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Second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17/32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Third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11/16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Fourth Quarter..............................................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c>
          <w:tcPr>
            <w:tcW w:w="1060" w:type="dxa"/>
            <w:vAlign w:val="bottom"/>
          </w:tcPr>
          <w:p>
            <w:pPr>
              <w:spacing w:after="0"/>
              <w:rPr>
                <w:sz w:val="14"/>
                <w:szCs w:val="14"/>
                <w:color w:val="auto"/>
              </w:rPr>
            </w:pPr>
          </w:p>
        </w:tc>
      </w:tr>
    </w:tbl>
    <w:p>
      <w:pPr>
        <w:spacing w:after="0" w:line="344" w:lineRule="exact"/>
        <w:rPr>
          <w:sz w:val="20"/>
          <w:szCs w:val="20"/>
          <w:color w:val="auto"/>
        </w:rPr>
      </w:pPr>
    </w:p>
    <w:p>
      <w:pPr>
        <w:ind w:left="10" w:right="3359" w:firstLine="353"/>
        <w:spacing w:after="0" w:line="235" w:lineRule="auto"/>
        <w:rPr>
          <w:sz w:val="20"/>
          <w:szCs w:val="20"/>
          <w:color w:val="auto"/>
        </w:rPr>
      </w:pPr>
      <w:r>
        <w:rPr>
          <w:rFonts w:ascii="Courier New" w:cs="Courier New" w:eastAsia="Courier New" w:hAnsi="Courier New"/>
          <w:sz w:val="15"/>
          <w:szCs w:val="15"/>
          <w:color w:val="auto"/>
        </w:rPr>
        <w:t>No cash dividends have been declared on the Company common stock since the Company's inception.</w:t>
      </w:r>
    </w:p>
    <w:p>
      <w:pPr>
        <w:spacing w:after="0" w:line="176" w:lineRule="exact"/>
        <w:rPr>
          <w:sz w:val="20"/>
          <w:szCs w:val="20"/>
          <w:color w:val="auto"/>
        </w:rPr>
      </w:pPr>
    </w:p>
    <w:p>
      <w:pPr>
        <w:ind w:left="10" w:right="3439" w:firstLine="353"/>
        <w:spacing w:after="0" w:line="235" w:lineRule="auto"/>
        <w:rPr>
          <w:sz w:val="20"/>
          <w:szCs w:val="20"/>
          <w:color w:val="auto"/>
        </w:rPr>
      </w:pPr>
      <w:r>
        <w:rPr>
          <w:rFonts w:ascii="Courier New" w:cs="Courier New" w:eastAsia="Courier New" w:hAnsi="Courier New"/>
          <w:sz w:val="15"/>
          <w:szCs w:val="15"/>
          <w:color w:val="auto"/>
        </w:rPr>
        <w:t>As of March 20th, 2001, there were approximately 278 holders of record of the common stock.</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6. SELECTED FINANCIAL DATA</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476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2000</w:t>
            </w:r>
          </w:p>
        </w:tc>
        <w:tc>
          <w:tcPr>
            <w:tcW w:w="22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1996</w:t>
            </w:r>
          </w:p>
        </w:tc>
      </w:tr>
      <w:tr>
        <w:trPr>
          <w:trHeight w:val="170"/>
        </w:trPr>
        <w:tc>
          <w:tcPr>
            <w:tcW w:w="386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c>
          <w:tcPr>
            <w:tcW w:w="600" w:type="dxa"/>
            <w:vAlign w:val="bottom"/>
          </w:tcPr>
          <w:p>
            <w:pPr>
              <w:spacing w:after="0"/>
              <w:rPr>
                <w:sz w:val="14"/>
                <w:szCs w:val="14"/>
                <w:color w:val="auto"/>
              </w:rPr>
            </w:pP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 from collaborative &amp; licensing</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agreements(1)............................</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8,803</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$ 10,617</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7,104</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 expenses..........</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5,979</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9,984</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17,659</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18,604</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17,130</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Acquired research and development..........</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8,344</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ECT wind-down and corporate relocation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expenses.................................</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3,327</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6,048</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$(11,125)</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$(15,709)</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$(12,628)</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$(18,114)</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$(13,759)</w:t>
            </w:r>
          </w:p>
        </w:tc>
      </w:tr>
      <w:tr>
        <w:trPr>
          <w:trHeight w:val="170"/>
        </w:trPr>
        <w:tc>
          <w:tcPr>
            <w:tcW w:w="386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available to common shareholders before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an accounting</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change...................................</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(0.89)</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Cumulative effect of a change in accounting</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principle(2).............................</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loss per share applicable to common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shareholders.............................</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(0.89)</w:t>
            </w:r>
          </w:p>
        </w:tc>
      </w:tr>
      <w:tr>
        <w:trPr>
          <w:trHeight w:val="170"/>
        </w:trPr>
        <w:tc>
          <w:tcPr>
            <w:tcW w:w="386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loss per share.......................</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20,067</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18,706</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18,291</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16,704</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15,430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430" w:right="5019" w:hanging="3430"/>
        <w:spacing w:after="0" w:line="471" w:lineRule="auto"/>
        <w:tabs>
          <w:tab w:leader="none" w:pos="34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footnote 3 in the consolidated financial statements 22</w:t>
      </w:r>
    </w:p>
    <w:p>
      <w:pPr>
        <w:sectPr>
          <w:pgSz w:w="11900" w:h="16838" w:orient="portrait"/>
          <w:cols w:equalWidth="0" w:num="1">
            <w:col w:w="10229"/>
          </w:cols>
          <w:pgMar w:left="230" w:top="45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(2) See footnote 2 in the consolidated financial statements</w:t>
      </w:r>
    </w:p>
    <w:p>
      <w:pPr>
        <w:sectPr>
          <w:pgSz w:w="11900" w:h="16838" w:orient="portrait"/>
          <w:cols w:equalWidth="0" w:num="1">
            <w:col w:w="10219"/>
          </w:cols>
          <w:pgMar w:left="240" w:top="458" w:right="1440" w:bottom="1440" w:gutter="0" w:footer="0" w:header="0"/>
        </w:sectPr>
      </w:pP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8" w:right="1440"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4680" w:type="dxa"/>
            <w:vAlign w:val="bottom"/>
            <w:gridSpan w:val="5"/>
          </w:tcPr>
          <w:p>
            <w:pPr>
              <w:jc w:val="center"/>
              <w:ind w:lef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6"/>
              </w:rPr>
              <w:t>(IN THOUSANDS)</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securities...................................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$ 6,069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$ 4,760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$17,386</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$29,050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$42,607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Restricted investments.........................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16,356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29,795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15,781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32,866</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44,301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58,397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Long-term debt, including capitalized leases...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2,605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2,937</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3,762</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8,223</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Redeemable common stock........................</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5,249</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5,249</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5,583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8,159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22,982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3,506</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17,897</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28,900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34,747</w:t>
            </w:r>
          </w:p>
        </w:tc>
      </w:tr>
    </w:tbl>
    <w:p>
      <w:pPr>
        <w:spacing w:after="0" w:line="344" w:lineRule="exact"/>
        <w:rPr>
          <w:sz w:val="20"/>
          <w:szCs w:val="20"/>
          <w:color w:val="auto"/>
        </w:rPr>
      </w:pPr>
    </w:p>
    <w:p>
      <w:pPr>
        <w:ind w:left="700" w:right="3259" w:hanging="704"/>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right="3879" w:firstLine="353"/>
        <w:spacing w:after="0" w:line="237"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should be read in conjunction with the accompanying financial statements and the related footnotes thereto.</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statements contained in this report, other than statements of historical fact, constitute forward-looking statements. Such statements include, without limitation, all statements as to expectation or belief and statements as to our future results of operations, the progress of our research and product development programs, the need for, and timing of, additional capital and capital expenditures, partnering prospects,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such as failure to obtain a corporate partner or partners to support the development of our stem cell programs, our ability to sell, assign or sublease our interest in our facilities related to our encapsulated cell technology program, risks of delays in research, development and clinical testing programs, obsolescence of our technology, lack of available funding, competition from third parties, intellectual property rights of third parties, failure of our collaborators to perform, regulatory constraints, litigation and other risks to which we are subject. See "Cautionary Factors Relevant to Forward-Looking-Information" filed herewith as Exhibit 99 and incorporated herein by reference.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181"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961" w:right="1440" w:bottom="1440" w:gutter="0" w:footer="0" w:header="0"/>
        </w:sectPr>
      </w:pPr>
    </w:p>
    <w:bookmarkStart w:id="24" w:name="page25"/>
    <w:bookmarkEnd w:id="24"/>
    <w:p>
      <w:pPr>
        <w:ind w:right="3179"/>
        <w:spacing w:after="0" w:line="237" w:lineRule="auto"/>
        <w:rPr>
          <w:sz w:val="20"/>
          <w:szCs w:val="20"/>
          <w:color w:val="auto"/>
        </w:rPr>
      </w:pPr>
      <w:r>
        <w:rPr>
          <w:rFonts w:ascii="Courier New" w:cs="Courier New" w:eastAsia="Courier New" w:hAnsi="Courier New"/>
          <w:sz w:val="15"/>
          <w:szCs w:val="15"/>
          <w:color w:val="auto"/>
        </w:rPr>
        <w:t>There are no such collaborative research arrangements at this time and there can be no assurance that such financing or partnering revenues will be available when needed or on terms acceptable to us.</w:t>
      </w:r>
    </w:p>
    <w:p>
      <w:pPr>
        <w:spacing w:after="0" w:line="175" w:lineRule="exact"/>
        <w:rPr>
          <w:sz w:val="20"/>
          <w:szCs w:val="20"/>
          <w:color w:val="auto"/>
        </w:rPr>
      </w:pPr>
    </w:p>
    <w:p>
      <w:pPr>
        <w:ind w:right="3439" w:firstLine="353"/>
        <w:spacing w:after="0" w:line="258" w:lineRule="auto"/>
        <w:rPr>
          <w:sz w:val="20"/>
          <w:szCs w:val="20"/>
          <w:color w:val="auto"/>
        </w:rPr>
      </w:pPr>
      <w:r>
        <w:rPr>
          <w:rFonts w:ascii="Courier New" w:cs="Courier New" w:eastAsia="Courier New" w:hAnsi="Courier New"/>
          <w:sz w:val="14"/>
          <w:szCs w:val="14"/>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2000, 1999 AND 1998</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Revenues totaled $74,000, $5,022,000 and $8,803,000 for the years ending December 31, 2000, 1999 and 1998, respectively. Revenues for 2000 are from Neurotech, S.A. in return for the assignment of our intellectual property assets relating to Encapsulated Cell Technology. Revenues for 1999 and 1998 were from collaborative agreements, earned primarily from a Development, Marketing and License Agreement with AstraZeneca Group plc, which was signed in March 1995 (the "Astra Agreement"). The decrease in revenues from 1998 to 1999 to 2000 resulted primarily from the June 1999 termination of the Astra Agreement.</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Research and development expenses totaled $5,979,000 in 2000, as compared to $9,984,000 in 1999 and $17,659,000 in 1998. The decrease of $4,005,000, or 40%, from 1999 to 2000 and the decrease of $7,675,000 or 43%, from 1998 to 1999, was primarily attributable to the wind-down of research activities relating to our encapsulated cell technology, precipitated by termination of the Astra Agreement.</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General and administrative expenses were $3,361,000 in 2000, compared with $4,927,000 in 1999 and $4,603,000 in 1998. The decrease of $1,566,000 or 32%, from 1999 to 2000 was primarily attributable to the relocation of our headquarters to a smaller facility as well as a reduction of personnel. Due to the wind-down of our encapsulated cell technology and relocation of our headquarters in October, the 1999 expenses are less than they would have been had these events not occurred.</w:t>
      </w:r>
    </w:p>
    <w:p>
      <w:pPr>
        <w:spacing w:after="0" w:line="17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Wind-down expenses related to our ECT research, our Rhode Island operations and the transfer of our headquarters to Sunnyvale, California totaled $3,327,000 and $6,048,000 for 2000 and 1999, respectively. No such expenses were incurred in 1998. 1999 expenses included accruals of approximately $1.6 million for employee severance costs, $1.9 million in losses and reserves for the write-down of related patents and fixed assets, $1.2 million for our costs of settlement of a 1989 funding agreement with RIPSAT, $700,000 of estimated additional carrying costs through June 30, 2000, and other related expenses totaling $760,000.</w:t>
      </w:r>
    </w:p>
    <w:p>
      <w:pPr>
        <w:spacing w:after="0" w:line="16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During 2000, we incurred approximately $290,000 of costs in excess of the amounts accrued as of December 31, 1999 for the carrying costs, including lease payments, property taxes and utilities, through the expected June 30, 2000 disposition of the Rhode Island facilities. During the third and fourth quarters of 2000 we incurred additional $1.3 million in carrying costs for the Rhode Island facilities, as we were unable to dispose of them, as expected. We have created a reserve of $1,780,000 related to the carrying costs for the Rhode Island facilities through 2001. On February 2001, we subleased portions of the facilities and are actively seeking to sublease, assign or sell our remaining interests in the properties. However, there can be no assurance that we will be able to dispose of these facilities in a reasonable time, if at all.</w:t>
      </w:r>
    </w:p>
    <w:p>
      <w:pPr>
        <w:spacing w:after="0" w:line="166" w:lineRule="exact"/>
        <w:rPr>
          <w:sz w:val="20"/>
          <w:szCs w:val="20"/>
          <w:color w:val="auto"/>
        </w:rPr>
      </w:pPr>
    </w:p>
    <w:p>
      <w:pPr>
        <w:jc w:val="both"/>
        <w:ind w:right="3179" w:firstLine="353"/>
        <w:spacing w:after="0" w:line="237" w:lineRule="auto"/>
        <w:rPr>
          <w:sz w:val="20"/>
          <w:szCs w:val="20"/>
          <w:color w:val="auto"/>
        </w:rPr>
      </w:pPr>
      <w:r>
        <w:rPr>
          <w:rFonts w:ascii="Courier New" w:cs="Courier New" w:eastAsia="Courier New" w:hAnsi="Courier New"/>
          <w:sz w:val="15"/>
          <w:szCs w:val="15"/>
          <w:color w:val="auto"/>
        </w:rPr>
        <w:t>Interest income for the years ended December 31, 2000, 1999 and 1998 totaled $303,000, $564,000 and $1,254,000, respectively. The average cash and investment balances were $5,668,000, $10,663,000</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8" w:right="1440" w:bottom="1440" w:gutter="0" w:footer="0" w:header="0"/>
        </w:sectPr>
      </w:pPr>
    </w:p>
    <w:bookmarkStart w:id="25" w:name="page26"/>
    <w:bookmarkEnd w:id="25"/>
    <w:p>
      <w:pPr>
        <w:ind w:right="3359"/>
        <w:spacing w:after="0" w:line="265" w:lineRule="auto"/>
        <w:rPr>
          <w:sz w:val="20"/>
          <w:szCs w:val="20"/>
          <w:color w:val="auto"/>
        </w:rPr>
      </w:pPr>
      <w:r>
        <w:rPr>
          <w:rFonts w:ascii="Courier New" w:cs="Courier New" w:eastAsia="Courier New" w:hAnsi="Courier New"/>
          <w:sz w:val="14"/>
          <w:szCs w:val="14"/>
          <w:color w:val="auto"/>
        </w:rPr>
        <w:t>and $21,795,000 in 2000, 1999 and 1998, respectively. The decrease in interest income from 1998 to 1999 to 2000 was attributable to lower average balances.</w:t>
      </w:r>
    </w:p>
    <w:p>
      <w:pPr>
        <w:spacing w:after="0" w:line="158" w:lineRule="exact"/>
        <w:rPr>
          <w:sz w:val="20"/>
          <w:szCs w:val="20"/>
          <w:color w:val="auto"/>
        </w:rPr>
      </w:pPr>
    </w:p>
    <w:p>
      <w:pPr>
        <w:jc w:val="both"/>
        <w:ind w:right="3539" w:firstLine="353"/>
        <w:spacing w:after="0" w:line="237" w:lineRule="auto"/>
        <w:rPr>
          <w:sz w:val="20"/>
          <w:szCs w:val="20"/>
          <w:color w:val="auto"/>
        </w:rPr>
      </w:pPr>
      <w:r>
        <w:rPr>
          <w:rFonts w:ascii="Courier New" w:cs="Courier New" w:eastAsia="Courier New" w:hAnsi="Courier New"/>
          <w:sz w:val="15"/>
          <w:szCs w:val="15"/>
          <w:color w:val="auto"/>
        </w:rPr>
        <w:t>In 2000, interest expense was $273,000, compared to $335,000 in 1999 and $472,000 in 1998. The decrease from 1998 to 1999 to 2000 was attributable to lower outstanding debt and capital lease balances.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During the second quarter 2000 we realized a $1,427,000 gain in connection with the sale of a portion of our investment in Modex. Modex Therapeutics Ltd ("Modex"), a Swiss biotechnology company that completed an initial public offering on June 23, 2000, and is publicly traded on the Swiss Neue Market exchange.</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net loss in 2000, 1999 and 1998 was $11,125,000, $15,709,000,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$12,628,000, respectively. The loss per share was $0.58, $.84 and $.69 in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and 1998, respectively. The decrease from 1999 to 2000 is primarily</w:t>
      </w:r>
    </w:p>
    <w:p>
      <w:pPr>
        <w:spacing w:after="0"/>
        <w:rPr>
          <w:sz w:val="20"/>
          <w:szCs w:val="20"/>
          <w:color w:val="auto"/>
        </w:rPr>
      </w:pPr>
      <w:r>
        <w:rPr>
          <w:rFonts w:ascii="Courier New" w:cs="Courier New" w:eastAsia="Courier New" w:hAnsi="Courier New"/>
          <w:sz w:val="15"/>
          <w:szCs w:val="15"/>
          <w:color w:val="auto"/>
        </w:rPr>
        <w:t>attributable to the wind-down of our encapsulated cell technology research and</w:t>
      </w:r>
    </w:p>
    <w:p>
      <w:pPr>
        <w:spacing w:after="0"/>
        <w:rPr>
          <w:sz w:val="20"/>
          <w:szCs w:val="20"/>
          <w:color w:val="auto"/>
        </w:rPr>
      </w:pPr>
      <w:r>
        <w:rPr>
          <w:rFonts w:ascii="Courier New" w:cs="Courier New" w:eastAsia="Courier New" w:hAnsi="Courier New"/>
          <w:sz w:val="15"/>
          <w:szCs w:val="15"/>
          <w:color w:val="auto"/>
        </w:rPr>
        <w:t>our Rhode Island operations and offset by the elimination of revenue from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Astra Agreement. The increase from 1998 to 1999 is primarily attributable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elimination of revenue from the Astra Agreement, which was terminated in</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June 1999, as well as expenses related to the wind-down of our encapsulated cell technology research and our other Rhode Island operations, the transfer of our corporate headquarters to Sunnyvale, California and an accrual for the our estimate of the costs of settlement of a funding agreement with RIPSAT.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76"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We had cash and cash equivalents totaling $6,069,000 at December 31, 2000. Cash equivalents are invested in money market funds. We also hold shares of Modex Therapeutics Ltd ("Modex"), a Swiss biotechnology company that completed an initial public offering on June 23, 2000, and is publicly traded on the Swiss Neue Market exchange. During the second quarter 2000 we realized a $1,427,000 gain in connection with the sale of a portion of our investment in Modex. Our Modex stock has a fair market value of $16,356,000 on December 31, 2000. The fair market value of our Modex stock has varied significantly since the Modex public offering and may continue to vary significantly based on increases and decreases in the reported per share price, in Swiss francs, of the Modex stock and on foreign currency exchange rates. We had been prohibited under a lock-up agreement entered into at the time of Modex's secondary offering from selling any of our Modex holdings until December 23, 2000. On January 9, 2001, we sold 22,616 Modex shares for a net price of 182.00 Swiss francs per share, which converts to $112.76 per share, for total proceeds of $2,550,000. In connection with this sale, we agreed not to resell any more of our remaining 103,577 Modex shares until April 12, 2001. There is a limited trading market for Modex stock, and if we were to attempt to sell any significant portion of our remaining Modex holdings, we would likely be able to do so only at a significant discount to the then market price, if at all. If we sell some but not all of our Modex shares, it is likely that we would have to agree, in connection with the sale, to refrain from selling additional shares for several months. Our Modex stock has a fair value of $8,732,797 on March 27, 2001.</w:t>
      </w:r>
    </w:p>
    <w:p>
      <w:pPr>
        <w:spacing w:after="0" w:line="34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In the third quarter of 1999, we announced restructuring plans for the wind-down of operations relating to our ECT and to focus our resources on the research and development of our platform of proprietary stem cell technologies. We terminated approximately 68 full time employees and, in October 1999, relocated our corporate headquarters to Sunnyvale, California.</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8" w:right="1440" w:bottom="1440" w:gutter="0" w:footer="0" w:header="0"/>
        </w:sectPr>
      </w:pPr>
    </w:p>
    <w:bookmarkStart w:id="26" w:name="page27"/>
    <w:bookmarkEnd w:id="26"/>
    <w:p>
      <w:pPr>
        <w:ind w:right="3259" w:firstLine="353"/>
        <w:spacing w:after="0" w:line="237" w:lineRule="auto"/>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were used to fund our continuing operations</w:t>
      </w:r>
    </w:p>
    <w:p>
      <w:pPr>
        <w:spacing w:after="0" w:line="178" w:lineRule="exact"/>
        <w:rPr>
          <w:sz w:val="20"/>
          <w:szCs w:val="20"/>
          <w:color w:val="auto"/>
        </w:rPr>
      </w:pPr>
    </w:p>
    <w:p>
      <w:pPr>
        <w:jc w:val="both"/>
        <w:ind w:right="3259" w:firstLine="353"/>
        <w:spacing w:after="0" w:line="256" w:lineRule="auto"/>
        <w:rPr>
          <w:sz w:val="20"/>
          <w:szCs w:val="20"/>
          <w:color w:val="auto"/>
        </w:rPr>
      </w:pPr>
      <w:r>
        <w:rPr>
          <w:rFonts w:ascii="Courier New" w:cs="Courier New" w:eastAsia="Courier New" w:hAnsi="Courier New"/>
          <w:sz w:val="14"/>
          <w:szCs w:val="14"/>
          <w:color w:val="auto"/>
        </w:rPr>
        <w:t>On December 30, 1999 we sold our ECT and assigned our intellectual property assets in it to Neurotech S.A. for a payment of $3,000,000, royalties on future product sales, and a portion of certain Neurotech revenues from third parties.</w:t>
      </w:r>
    </w:p>
    <w:p>
      <w:pPr>
        <w:spacing w:after="0" w:line="1"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 addition, we retained certain non-exclusive rights to use ECT in combination with our proprietary stem cell technologies and in the field of vaccines for prevention and treatment of infectious diseases. We received $2,800,000 of the initial payment on January 3, 2000 with a remaining balance of $200,000 placed in escrow, to be released to us upon demonstration satisfactory to Neurotech that certain intellectual property is not subject to other claims. We received the remaining balance of $200,000 on December 04, 2000.</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1999, as a result of our decision to close our Rhode Island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the Rhode Island Partnership for Science and Technology, or RIPSAT,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alleged that we were in default under a June, 1989 Funding Agreement,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demanded payment of approximately $2.6 million. While we believe we were not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238" w:lineRule="auto"/>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them under the Funding Agreement. At the same time, IRBA agreed to return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238" w:lineRule="auto"/>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174"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We continue to have outstanding obligations in regard to our former facilities in Lincoln, Rhode Island, including lease payments and operating costs of approximately $1,200,000 per year associated with our former research laboratory and corporate headquarters building, and debt service payments and operating costs of approximately $1,000,000 per year with respect to our pilot manufacturing and cell processing facility.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6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8" w:right="1440" w:bottom="1440" w:gutter="0" w:footer="0" w:header="0"/>
        </w:sectPr>
      </w:pPr>
    </w:p>
    <w:bookmarkStart w:id="27" w:name="page28"/>
    <w:bookmarkEnd w:id="27"/>
    <w:p>
      <w:pPr>
        <w:ind w:right="3179"/>
        <w:spacing w:after="0" w:line="257" w:lineRule="auto"/>
        <w:rPr>
          <w:sz w:val="20"/>
          <w:szCs w:val="20"/>
          <w:color w:val="auto"/>
        </w:rPr>
      </w:pPr>
      <w:r>
        <w:rPr>
          <w:rFonts w:ascii="Courier New" w:cs="Courier New" w:eastAsia="Courier New" w:hAnsi="Courier New"/>
          <w:sz w:val="14"/>
          <w:szCs w:val="14"/>
          <w:color w:val="auto"/>
        </w:rPr>
        <w:t>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 6 months, the investors have the right to acquire up to a total of 1,126 additional shares of convertible preferred stock, the face value of which is convertible at the option of the holders into common stock at $6.33 per share. Any unconverted preferred stock is converted, at the applicable conversion price, on April 13, 2002 in the case of the original stock and two years after the first acquisition of any of the additional 1,126 shares, if any are acquired. The warrants expire on April 13, 2005.</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received the remaining $1 million upon effectiveness of a registration statement covering the shares purchased by the Fund. The Fund purchased our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187" w:lineRule="exact"/>
        <w:rPr>
          <w:sz w:val="20"/>
          <w:szCs w:val="20"/>
          <w:color w:val="auto"/>
        </w:rPr>
      </w:pPr>
    </w:p>
    <w:p>
      <w:pPr>
        <w:ind w:right="3539" w:firstLine="353"/>
        <w:spacing w:after="0" w:line="256" w:lineRule="auto"/>
        <w:rPr>
          <w:sz w:val="20"/>
          <w:szCs w:val="20"/>
          <w:color w:val="auto"/>
        </w:rPr>
      </w:pPr>
      <w:r>
        <w:rPr>
          <w:rFonts w:ascii="Courier New" w:cs="Courier New" w:eastAsia="Courier New" w:hAnsi="Courier New"/>
          <w:sz w:val="14"/>
          <w:szCs w:val="14"/>
          <w:color w:val="auto"/>
        </w:rPr>
        <w:t>In addition, the Fund has the option for twelve months to purchase up to $3 million of additional common stock. On August 23, 2000 the Fund exercised</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$1,000,000 of its option to purchase additional common stock at $5.53 per share. The Fund paid $750,000 of the purchase price in connection with the closing on August 30, 2000, and paid the remaining $250,000 upon effectiveness of a registration statement covering the shares owned by the Fund. At the closing on August 30, 2000, we issued to the Fund an adjustable warrant similar to the one issued on August 3, 2000. This adjustable warrant was canceled by agreement between us and the Fund on November 1, 2000. The Fund also received a warrant to purchase up to 19,900 shares of common stock at $6.03 per share. This warrant is callable by us at $10.05 per underlying share.</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18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58" w:right="1440" w:bottom="1440" w:gutter="0" w:footer="0" w:header="0"/>
        </w:sectPr>
      </w:pPr>
    </w:p>
    <w:bookmarkStart w:id="28" w:name="page29"/>
    <w:bookmarkEnd w:id="28"/>
    <w:p>
      <w:pPr>
        <w:ind w:left="10" w:right="3179"/>
        <w:spacing w:after="0" w:line="257" w:lineRule="auto"/>
        <w:rPr>
          <w:sz w:val="20"/>
          <w:szCs w:val="20"/>
          <w:color w:val="auto"/>
        </w:rPr>
      </w:pPr>
      <w:r>
        <w:rPr>
          <w:rFonts w:ascii="Courier New" w:cs="Courier New" w:eastAsia="Courier New" w:hAnsi="Courier New"/>
          <w:sz w:val="14"/>
          <w:szCs w:val="14"/>
          <w:color w:val="auto"/>
        </w:rPr>
        <w:t>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 While our cash requirements may vary, as noted above, we currently expect that our existing capital resources, including income earned on invested capital, will be sufficient to fund our operations through December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16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RECENT ACCOUNTING PRONOUNCEMENT</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(SFAS 133), which establishes accounting and reporting standards for derivative instruments, including certain derivative instruments embedded in other contracts, and for hedging activities. In June 1999, the FASB issued SFAS No. 137, "Accounting for Derivative Instruments and Hedging Activities--Deferral of the Effective Date of FASB Statement No. 133." We are required to adopt SFAS 133 effective January 1, 2001. Because we do not hold any derivative instruments and do not engage in hedging activities, management does not believe the adoption of SFAS 133 will have an impact on our financial position or results of operations.</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7A. QUANTITIVE AND QUALITATIVE DISCLOSURES ABOUT MARKET RISK</w:t>
      </w:r>
    </w:p>
    <w:p>
      <w:pPr>
        <w:spacing w:after="0" w:line="175" w:lineRule="exact"/>
        <w:rPr>
          <w:sz w:val="20"/>
          <w:szCs w:val="20"/>
          <w:color w:val="auto"/>
        </w:rPr>
      </w:pPr>
    </w:p>
    <w:p>
      <w:pPr>
        <w:ind w:left="10" w:right="3179" w:firstLine="353"/>
        <w:spacing w:after="0" w:line="239" w:lineRule="auto"/>
        <w:rPr>
          <w:sz w:val="20"/>
          <w:szCs w:val="20"/>
          <w:color w:val="auto"/>
        </w:rPr>
      </w:pPr>
      <w:r>
        <w:rPr>
          <w:rFonts w:ascii="Courier New" w:cs="Courier New" w:eastAsia="Courier New" w:hAnsi="Courier New"/>
          <w:sz w:val="15"/>
          <w:szCs w:val="15"/>
          <w:color w:val="auto"/>
        </w:rPr>
        <w:t>On December 31, 2000, we have an investment in common stock of Modex Therapeutics Ltd. (Modex), a Swiss Biotherapeutics company. Our value in this investment is subject to both equity price risk and foreign currency exchange risk. Modex shares were offered in an initial public offering ("IPO") on the Swiss Neue Market on June 23, 2000 at a price of 168.00 Swiss francs. From the date of the IPO to March 9, 2001, the Modex closing share price has fluctuated from a high of 390.00 Swiss francs on October 6, 2000 to a low of 121.00 Swiss francs on March 01, 2001. On January 9, 2001, we sold 22,616 Modex shares for a net price of 182.00 Swiss francs per share, which converts to $112.76 per share, for total proceeds of $2,550,230. In connection with this sale, we agreed not to resell any more of our Modex shares until April 12, 2001. On March 27, 2001 the market price of Modex stock was 145.00 Swiss francs which converts to $84.31 using exchange rates on that date, which represents an estimated fair market value of $8,732,797. If we were to seek to liquidate all or part of our remaining 103,577 Modex shares, our proceeds would depend on the share price and foreign currency exchange rates at the time of conversion. Additionally, if we sell a sizable portion of our holdings, we may have to sell these shares at a discount to market price.</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company's sole market risk sensitive instrument is:</w:t>
      </w:r>
    </w:p>
    <w:p>
      <w:pPr>
        <w:sectPr>
          <w:pgSz w:w="11900" w:h="16838" w:orient="portrait"/>
          <w:cols w:equalWidth="0" w:num="1">
            <w:col w:w="10229"/>
          </w:cols>
          <w:pgMar w:left="230" w:top="4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NO. OF SHARES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88"/>
        <w:spacing w:after="0" w:line="235" w:lineRule="auto"/>
        <w:rPr>
          <w:sz w:val="20"/>
          <w:szCs w:val="20"/>
          <w:color w:val="auto"/>
        </w:rPr>
      </w:pPr>
      <w:r>
        <w:rPr>
          <w:rFonts w:ascii="Courier New" w:cs="Courier New" w:eastAsia="Courier New" w:hAnsi="Courier New"/>
          <w:sz w:val="15"/>
          <w:szCs w:val="15"/>
          <w:color w:val="auto"/>
        </w:rPr>
        <w:t>DESCRIPTION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ASSOCIATED RISKS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MARKET VALUE AT</w:t>
      </w:r>
    </w:p>
    <w:p>
      <w:pPr>
        <w:spacing w:after="0"/>
        <w:rPr>
          <w:sz w:val="20"/>
          <w:szCs w:val="20"/>
          <w:color w:val="auto"/>
        </w:rPr>
      </w:pPr>
      <w:r>
        <w:rPr>
          <w:rFonts w:ascii="Courier New" w:cs="Courier New" w:eastAsia="Courier New" w:hAnsi="Courier New"/>
          <w:sz w:val="15"/>
          <w:szCs w:val="15"/>
          <w:color w:val="auto"/>
        </w:rPr>
        <w:t>DECEMBER 31, 2000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FUTURE</w:t>
      </w:r>
    </w:p>
    <w:p>
      <w:pPr>
        <w:ind w:left="180"/>
        <w:spacing w:after="0"/>
        <w:rPr>
          <w:sz w:val="20"/>
          <w:szCs w:val="20"/>
          <w:color w:val="auto"/>
        </w:rPr>
      </w:pPr>
      <w:r>
        <w:rPr>
          <w:rFonts w:ascii="Courier New" w:cs="Courier New" w:eastAsia="Courier New" w:hAnsi="Courier New"/>
          <w:sz w:val="15"/>
          <w:szCs w:val="15"/>
          <w:color w:val="auto"/>
        </w:rPr>
        <w:t>CASH FLOWS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5">
            <w:col w:w="2030" w:space="260"/>
            <w:col w:w="1580" w:space="280"/>
            <w:col w:w="1760" w:space="80"/>
            <w:col w:w="1760" w:space="100"/>
            <w:col w:w="2379"/>
          </w:cols>
          <w:pgMar w:left="230" w:top="458" w:right="1440" w:bottom="1440" w:gutter="0" w:footer="0" w:header="0"/>
          <w:type w:val="continuous"/>
        </w:sectPr>
      </w:pPr>
    </w:p>
    <w:p>
      <w:pPr>
        <w:ind w:left="610"/>
        <w:spacing w:after="0"/>
        <w:rPr>
          <w:sz w:val="20"/>
          <w:szCs w:val="20"/>
          <w:color w:val="auto"/>
        </w:rPr>
      </w:pPr>
      <w:r>
        <w:rPr>
          <w:rFonts w:ascii="Courier New" w:cs="Courier New" w:eastAsia="Courier New" w:hAnsi="Courier New"/>
          <w:sz w:val="14"/>
          <w:szCs w:val="14"/>
          <w:color w:val="auto"/>
        </w:rPr>
        <w:t>126,193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Modex Therapeutics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Equity/Foreign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$16,356,334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w:t>
      </w:r>
    </w:p>
    <w:p>
      <w:pPr>
        <w:spacing w:after="0" w:line="11" w:lineRule="exact"/>
        <w:rPr>
          <w:sz w:val="20"/>
          <w:szCs w:val="20"/>
          <w:color w:val="auto"/>
        </w:rPr>
      </w:pPr>
    </w:p>
    <w:p>
      <w:pPr>
        <w:sectPr>
          <w:pgSz w:w="11900" w:h="16838" w:orient="portrait"/>
          <w:cols w:equalWidth="0" w:num="5">
            <w:col w:w="1390" w:space="720"/>
            <w:col w:w="1600" w:space="260"/>
            <w:col w:w="1560" w:space="720"/>
            <w:col w:w="1840" w:space="720"/>
            <w:col w:w="1419"/>
          </w:cols>
          <w:pgMar w:left="230" w:top="458" w:right="1440" w:bottom="1440" w:gutter="0" w:footer="0" w:header="0"/>
          <w:type w:val="continuous"/>
        </w:sectPr>
      </w:pPr>
    </w:p>
    <w:p>
      <w:pPr>
        <w:ind w:left="3970"/>
        <w:spacing w:after="0"/>
        <w:rPr>
          <w:sz w:val="20"/>
          <w:szCs w:val="20"/>
          <w:color w:val="auto"/>
        </w:rPr>
      </w:pPr>
      <w:r>
        <w:rPr>
          <w:rFonts w:ascii="Courier New" w:cs="Courier New" w:eastAsia="Courier New" w:hAnsi="Courier New"/>
          <w:sz w:val="14"/>
          <w:szCs w:val="14"/>
          <w:color w:val="auto"/>
        </w:rPr>
        <w:t>Currency Translation</w:t>
      </w:r>
    </w:p>
    <w:p>
      <w:pPr>
        <w:sectPr>
          <w:pgSz w:w="11900" w:h="16838" w:orient="portrait"/>
          <w:cols w:equalWidth="0" w:num="1">
            <w:col w:w="10229"/>
          </w:cols>
          <w:pgMar w:left="230" w:top="458" w:right="1440" w:bottom="1440" w:gutter="0" w:footer="0" w:header="0"/>
          <w:type w:val="continuous"/>
        </w:sectPr>
      </w:pP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359" w:hanging="350"/>
        <w:spacing w:after="0" w:line="257" w:lineRule="auto"/>
        <w:tabs>
          <w:tab w:leader="none" w:pos="3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we have not formally adopted a liquidation plan for this investment, liquidation may be necessary to meet operating cash flow requirements. Under the agreement with Modex, we had been restricted from selling our holding through December 23, 2000 and, as noted above, we sold 22,616 shares on January 9, 2001 and agreed not to sell any more shares until April 12, 2001. If we sell some but not all of our remaining 103,577 shares, we likely would have to agree, in connection with the sale, to refrain from selling additional shares for several months.</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458" w:right="1440" w:bottom="1440" w:gutter="0" w:footer="0" w:header="0"/>
          <w:type w:val="continuous"/>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STEMCELLS, INC.</w:t>
      </w:r>
    </w:p>
    <w:tbl>
      <w:tblPr>
        <w:tblLayout w:type="fixed"/>
        <w:tblInd w:w="0" w:type="dxa"/>
        <w:tblCellMar>
          <w:top w:w="0" w:type="dxa"/>
          <w:left w:w="0" w:type="dxa"/>
          <w:bottom w:w="0" w:type="dxa"/>
          <w:right w:w="0" w:type="dxa"/>
        </w:tblCellMar>
      </w:tblPr>
      <w:tr>
        <w:trPr>
          <w:trHeight w:val="170"/>
        </w:trPr>
        <w:tc>
          <w:tcPr>
            <w:tcW w:w="5420" w:type="dxa"/>
            <w:vAlign w:val="bottom"/>
            <w:gridSpan w:val="2"/>
          </w:tcPr>
          <w:p>
            <w:pPr>
              <w:ind w:left="1660"/>
              <w:spacing w:after="0"/>
              <w:rPr>
                <w:sz w:val="20"/>
                <w:szCs w:val="20"/>
                <w:color w:val="auto"/>
              </w:rPr>
            </w:pPr>
            <w:r>
              <w:rPr>
                <w:rFonts w:ascii="Courier New" w:cs="Courier New" w:eastAsia="Courier New" w:hAnsi="Courier New"/>
                <w:sz w:val="15"/>
                <w:szCs w:val="15"/>
                <w:color w:val="auto"/>
                <w:w w:val="98"/>
              </w:rPr>
              <w:t>INDEX TO CONSOLIDATED FINANCIAL STATEMENTS</w:t>
            </w:r>
          </w:p>
        </w:tc>
        <w:tc>
          <w:tcPr>
            <w:tcW w:w="740" w:type="dxa"/>
            <w:vAlign w:val="bottom"/>
          </w:tcPr>
          <w:p>
            <w:pPr>
              <w:spacing w:after="0"/>
              <w:rPr>
                <w:sz w:val="14"/>
                <w:szCs w:val="14"/>
                <w:color w:val="auto"/>
              </w:rPr>
            </w:pPr>
          </w:p>
        </w:tc>
      </w:tr>
      <w:tr>
        <w:trPr>
          <w:trHeight w:val="678"/>
        </w:trPr>
        <w:tc>
          <w:tcPr>
            <w:tcW w:w="20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20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Report of Ernst &amp; Young</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LLP, Independent Auditors...........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30</w:t>
            </w:r>
          </w:p>
        </w:tc>
      </w:tr>
      <w:tr>
        <w:trPr>
          <w:trHeight w:val="170"/>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Consolidated Balance Sheets.................................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31</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of Operations.......................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32</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of Stockholders' Equity.............</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33</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of Cash Flows.......................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36</w:t>
            </w:r>
          </w:p>
        </w:tc>
      </w:tr>
      <w:tr>
        <w:trPr>
          <w:trHeight w:val="170"/>
        </w:trPr>
        <w:tc>
          <w:tcPr>
            <w:tcW w:w="542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37</w:t>
            </w:r>
          </w:p>
        </w:tc>
      </w:tr>
      <w:tr>
        <w:trPr>
          <w:trHeight w:val="509"/>
        </w:trPr>
        <w:tc>
          <w:tcPr>
            <w:tcW w:w="2060" w:type="dxa"/>
            <w:vAlign w:val="bottom"/>
          </w:tcPr>
          <w:p>
            <w:pPr>
              <w:spacing w:after="0"/>
              <w:rPr>
                <w:sz w:val="24"/>
                <w:szCs w:val="24"/>
                <w:color w:val="auto"/>
              </w:rPr>
            </w:pPr>
          </w:p>
        </w:tc>
        <w:tc>
          <w:tcPr>
            <w:tcW w:w="3360" w:type="dxa"/>
            <w:vAlign w:val="bottom"/>
          </w:tcPr>
          <w:p>
            <w:pPr>
              <w:ind w:left="1360"/>
              <w:spacing w:after="0"/>
              <w:rPr>
                <w:sz w:val="20"/>
                <w:szCs w:val="20"/>
                <w:color w:val="auto"/>
              </w:rPr>
            </w:pPr>
            <w:r>
              <w:rPr>
                <w:rFonts w:ascii="Courier New" w:cs="Courier New" w:eastAsia="Courier New" w:hAnsi="Courier New"/>
                <w:sz w:val="15"/>
                <w:szCs w:val="15"/>
                <w:color w:val="auto"/>
              </w:rPr>
              <w:t>30</w:t>
            </w:r>
          </w:p>
        </w:tc>
        <w:tc>
          <w:tcPr>
            <w:tcW w:w="74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30" w:name="page31"/>
    <w:bookmarkEnd w:id="30"/>
    <w:p>
      <w:pPr>
        <w:ind w:left="132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StemCells, Inc. (formerly CytoTherapeutics, Inc.) as of December 31, 2000 and 1999, and the related consolidated statements of operations, changes in redeemable common stock and stockholders' equity,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StemCells, Inc. at December 31, 2000 and 1999, and the consolidated results of its operations and its cash flows for each of the three years in the period ended December 31, 2000, in conformity with accounting principles generally accepted in the United States.</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changed its method of accounting for the beneficial conversion of preferred shares.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 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rPr>
          <w:sz w:val="20"/>
          <w:szCs w:val="20"/>
          <w:color w:val="auto"/>
        </w:rPr>
      </w:pPr>
      <w:r>
        <w:rPr>
          <w:rFonts w:ascii="Courier New" w:cs="Courier New" w:eastAsia="Courier New" w:hAnsi="Courier New"/>
          <w:sz w:val="15"/>
          <w:szCs w:val="15"/>
          <w:color w:val="auto"/>
        </w:rPr>
        <w:t>February 23, 2001</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52" w:right="1440" w:bottom="1440" w:gutter="0" w:footer="0" w:header="0"/>
        </w:sectPr>
      </w:pPr>
    </w:p>
    <w:bookmarkStart w:id="31" w:name="page32"/>
    <w:bookmarkEnd w:id="31"/>
    <w:p>
      <w:pPr>
        <w:jc w:val="center"/>
        <w:ind w:right="3259"/>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360" w:type="dxa"/>
            <w:vAlign w:val="bottom"/>
          </w:tcPr>
          <w:p>
            <w:pPr>
              <w:spacing w:after="0"/>
              <w:rPr>
                <w:sz w:val="14"/>
                <w:szCs w:val="14"/>
                <w:color w:val="auto"/>
              </w:rPr>
            </w:pPr>
          </w:p>
        </w:tc>
        <w:tc>
          <w:tcPr>
            <w:tcW w:w="27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6,068,947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4,760,064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Short-term restricted investments.........................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16,356,334</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interest receivable...............................</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16,725</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42,212</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Technology sale receivable................................</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3,000,000</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Debt service fund.........................................</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609,905</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Other current assets......................................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524,509</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558,674</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22,966,515</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8,970,855</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Property held for sale......................................</w:t>
            </w:r>
          </w:p>
        </w:tc>
        <w:tc>
          <w:tcPr>
            <w:tcW w:w="180" w:type="dxa"/>
            <w:vAlign w:val="bottom"/>
          </w:tcPr>
          <w:p>
            <w:pPr>
              <w:spacing w:after="0"/>
              <w:rPr>
                <w:sz w:val="24"/>
                <w:szCs w:val="2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3,203,491</w:t>
            </w:r>
          </w:p>
        </w:tc>
        <w:tc>
          <w:tcPr>
            <w:tcW w:w="18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3,203,491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1,451,061</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1,747,885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Other assets, net...........................................</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2,173,912</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1,858,768</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29,794,979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15,780,999</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526,191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631,315</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expenses..........................................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837,358</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970,546</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wind-down costs...................................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1,780,579</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1,634,522</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 maturities of capital lease obligations...........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332,083</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324,167</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3,476,211</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3,560,550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Capital lease obligations, less current maturities..........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2,605,000</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2,937,083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26,000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705,746</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502,353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issued and outstanding at December 31, 1999, none at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December 31, 2000.........................................</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5,248,610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shares authorized, 2,626 designated as 6% Cumulative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Convertible Preferred Stock 1,500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2000, none at December 31,</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1999....................................................</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1,500,000</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authorized; 20,956,887 and 18,635,565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2000 and 1999,</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respectively............................................</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209,569</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186,355</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Additional paid-in capital................................</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138,150,067</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123,917,758</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deficit.......................................</w:t>
            </w:r>
          </w:p>
        </w:tc>
        <w:tc>
          <w:tcPr>
            <w:tcW w:w="18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(130,498,187)</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(119,372,710)</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other comprehensive income....................</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16,356,334</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compensation.....................................</w:t>
            </w:r>
          </w:p>
        </w:tc>
        <w:tc>
          <w:tcPr>
            <w:tcW w:w="18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(2,735,761)</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(1,225,000)</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22,982,022</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3,506,403</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29,794,979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15,780,999</w:t>
            </w:r>
          </w:p>
        </w:tc>
      </w:tr>
      <w:tr>
        <w:trPr>
          <w:trHeight w:val="170"/>
        </w:trPr>
        <w:tc>
          <w:tcPr>
            <w:tcW w:w="536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52" w:right="1440" w:bottom="1440" w:gutter="0" w:footer="0" w:header="0"/>
        </w:sectPr>
      </w:pPr>
    </w:p>
    <w:bookmarkStart w:id="32" w:name="page33"/>
    <w:bookmarkEnd w:id="32"/>
    <w:p>
      <w:pPr>
        <w:jc w:val="center"/>
        <w:ind w:right="3259"/>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00" w:type="dxa"/>
            <w:vAlign w:val="bottom"/>
            <w:gridSpan w:val="5"/>
          </w:tcPr>
          <w:p>
            <w:pPr>
              <w:jc w:val="right"/>
              <w:ind w:right="8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660" w:type="dxa"/>
            <w:vAlign w:val="bottom"/>
          </w:tcPr>
          <w:p>
            <w:pPr>
              <w:spacing w:after="0"/>
              <w:rPr>
                <w:sz w:val="14"/>
                <w:szCs w:val="14"/>
                <w:color w:val="auto"/>
              </w:rPr>
            </w:pPr>
          </w:p>
        </w:tc>
        <w:tc>
          <w:tcPr>
            <w:tcW w:w="388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Revenue from collaborative and licensing</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74,300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8,803,163</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5,979,007</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17,658,530</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3,361,231</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4,602,758</w:t>
            </w:r>
          </w:p>
        </w:tc>
      </w:tr>
      <w:tr>
        <w:trPr>
          <w:trHeight w:val="170"/>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Encapsulated Cell Therapy wind-down and corporate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3,327,360</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12,667,598</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20,959,136</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22,261,288</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(12,593,298)</w:t>
            </w:r>
          </w:p>
        </w:tc>
        <w:tc>
          <w:tcPr>
            <w:tcW w:w="18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(15,937,429)</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(13,458,125)</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303,746</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1,253,781</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(272,513)</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(472,400)</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Gain on sale of Investment........................</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1,427,686</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8,902</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48,914</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1,467,821</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228,803</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830,295</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loss............................................</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$(11,125,477)</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Deemed dividend to preferred shareholders...........</w:t>
            </w:r>
          </w:p>
        </w:tc>
        <w:tc>
          <w:tcPr>
            <w:tcW w:w="18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(265,000)</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loss applicable to common shareholders before a</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principle.........................................</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$(11,390,477)</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principle due to deemed dividend..................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loss applicable to common shareholders..........</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$(11,606,477)</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$ 12,627,830)</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 applicable to</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shareholders before cumulative effect......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principle.........................................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 applicable to</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shareholders...............................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20,067,760</w:t>
            </w:r>
          </w:p>
        </w:tc>
        <w:tc>
          <w:tcPr>
            <w:tcW w:w="1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18,290,548</w:t>
            </w:r>
          </w:p>
        </w:tc>
      </w:tr>
      <w:tr>
        <w:trPr>
          <w:trHeight w:val="170"/>
        </w:trPr>
        <w:tc>
          <w:tcPr>
            <w:tcW w:w="46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52" w:right="1440" w:bottom="1440" w:gutter="0" w:footer="0" w:header="0"/>
        </w:sectPr>
      </w:pPr>
    </w:p>
    <w:bookmarkStart w:id="33" w:name="page34"/>
    <w:bookmarkEnd w:id="33"/>
    <w:p>
      <w:pPr>
        <w:jc w:val="center"/>
        <w:ind w:right="4400"/>
        <w:spacing w:after="0"/>
        <w:rPr>
          <w:sz w:val="20"/>
          <w:szCs w:val="20"/>
          <w:color w:val="auto"/>
        </w:rPr>
      </w:pPr>
      <w:r>
        <w:rPr>
          <w:rFonts w:ascii="Courier New" w:cs="Courier New" w:eastAsia="Courier New" w:hAnsi="Courier New"/>
          <w:sz w:val="15"/>
          <w:szCs w:val="15"/>
          <w:color w:val="auto"/>
        </w:rPr>
        <w:t>STEMCELLS, INC.</w:t>
      </w:r>
    </w:p>
    <w:p>
      <w:pPr>
        <w:spacing w:after="0" w:line="5"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EQUITY</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REDEEMABLE</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ACCUMULATED</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540" w:type="dxa"/>
            <w:vAlign w:val="bottom"/>
          </w:tcPr>
          <w:p>
            <w:pPr>
              <w:spacing w:after="0"/>
              <w:rPr>
                <w:sz w:val="14"/>
                <w:szCs w:val="14"/>
                <w:color w:val="auto"/>
              </w:rPr>
            </w:pPr>
          </w:p>
        </w:tc>
        <w:tc>
          <w:tcPr>
            <w:tcW w:w="21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ADDITIONAL</w:t>
            </w:r>
          </w:p>
        </w:tc>
        <w:tc>
          <w:tcPr>
            <w:tcW w:w="1440" w:type="dxa"/>
            <w:vAlign w:val="bottom"/>
          </w:tcPr>
          <w:p>
            <w:pPr>
              <w:spacing w:after="0"/>
              <w:rPr>
                <w:sz w:val="14"/>
                <w:szCs w:val="14"/>
                <w:color w:val="auto"/>
              </w:rPr>
            </w:pP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OTHER</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2"/>
              </w:rPr>
              <w:t>---------------------</w:t>
            </w:r>
          </w:p>
        </w:tc>
        <w:tc>
          <w:tcPr>
            <w:tcW w:w="540" w:type="dxa"/>
            <w:vAlign w:val="bottom"/>
          </w:tcPr>
          <w:p>
            <w:pPr>
              <w:spacing w:after="0"/>
              <w:rPr>
                <w:sz w:val="14"/>
                <w:szCs w:val="14"/>
                <w:color w:val="auto"/>
              </w:rPr>
            </w:pPr>
          </w:p>
        </w:tc>
        <w:tc>
          <w:tcPr>
            <w:tcW w:w="2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PAID-IN</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ACCUMULATED</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COMPREHENSIVE</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SHARES</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CAPITAL</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DEFICIT</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INCOME (LOSS)</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1997........</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557,754</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$5,583,110</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17,526,220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$175,262</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$121,472,844</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(91,036,254)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$(8,877)</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43,542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436</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83,622</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84,812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848</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143,025</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101,320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1,013</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505,587</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Redeemable common stock lapses.....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(33,417)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(334,500)</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33,417</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334</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334,166</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Exercise of stock options..........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11,012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1,254</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321,108</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3,679</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Comprehensive loss.................</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1998........</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524,337</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5,248,610</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17,800,323</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178,003</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122,861,606</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(103,664,084)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(5,198)</w:t>
            </w:r>
          </w:p>
        </w:tc>
      </w:tr>
      <w:tr>
        <w:trPr>
          <w:trHeight w:val="678"/>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w w:val="97"/>
              </w:rPr>
              <w:t>DEFERRED</w:t>
            </w:r>
          </w:p>
        </w:tc>
        <w:tc>
          <w:tcPr>
            <w:tcW w:w="520" w:type="dxa"/>
            <w:vAlign w:val="bottom"/>
          </w:tcPr>
          <w:p>
            <w:pPr>
              <w:spacing w:after="0"/>
              <w:rPr>
                <w:sz w:val="14"/>
                <w:szCs w:val="14"/>
                <w:color w:val="auto"/>
              </w:rPr>
            </w:pP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5"/>
              </w:rPr>
              <w:t>STOCKHOLDERS'</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COMPENSATION</w:t>
            </w:r>
          </w:p>
        </w:tc>
        <w:tc>
          <w:tcPr>
            <w:tcW w:w="17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EQUITY</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9"/>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1997........</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$(1,702,820)</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6"/>
              </w:rPr>
              <w:t>$ 28,900,155</w:t>
            </w: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2"/>
              </w:rPr>
              <w:t>84,058</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143,873</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506,600</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Redeemable common stock lapses.....</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334,500</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Exercise of stock options..........</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54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1,364</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229,901</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551,009</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54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3,679</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(12,627,830)</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Comprehensive loss.................</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(12,624,151)</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1998........</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(1,472,919)</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17,897,408</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34</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360"/>
          </w:cols>
          <w:pgMar w:left="240" w:top="452" w:right="299" w:bottom="1440" w:gutter="0" w:footer="0" w:header="0"/>
        </w:sectPr>
      </w:pPr>
    </w:p>
    <w:bookmarkStart w:id="34" w:name="page35"/>
    <w:bookmarkEnd w:id="34"/>
    <w:p>
      <w:pPr>
        <w:jc w:val="center"/>
        <w:ind w:right="4400"/>
        <w:spacing w:after="0"/>
        <w:rPr>
          <w:sz w:val="20"/>
          <w:szCs w:val="20"/>
          <w:color w:val="auto"/>
        </w:rPr>
      </w:pPr>
      <w:r>
        <w:rPr>
          <w:rFonts w:ascii="Courier New" w:cs="Courier New" w:eastAsia="Courier New" w:hAnsi="Courier New"/>
          <w:sz w:val="15"/>
          <w:szCs w:val="15"/>
          <w:color w:val="auto"/>
        </w:rPr>
        <w:t>STEMCELLS, INC.</w:t>
      </w:r>
    </w:p>
    <w:p>
      <w:pPr>
        <w:spacing w:after="0" w:line="5"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6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EQUITY (CONTINUED)</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REDEEMABLE</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ACCUMULATED</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226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ADDITIONAL</w:t>
            </w:r>
          </w:p>
        </w:tc>
        <w:tc>
          <w:tcPr>
            <w:tcW w:w="1440" w:type="dxa"/>
            <w:vAlign w:val="bottom"/>
          </w:tcPr>
          <w:p>
            <w:pPr>
              <w:spacing w:after="0"/>
              <w:rPr>
                <w:sz w:val="14"/>
                <w:szCs w:val="14"/>
                <w:color w:val="auto"/>
              </w:rPr>
            </w:pP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OTHER</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2"/>
              </w:rPr>
              <w:t>---------------------</w:t>
            </w:r>
          </w:p>
        </w:tc>
        <w:tc>
          <w:tcPr>
            <w:tcW w:w="440" w:type="dxa"/>
            <w:vAlign w:val="bottom"/>
          </w:tcPr>
          <w:p>
            <w:pPr>
              <w:spacing w:after="0"/>
              <w:rPr>
                <w:sz w:val="14"/>
                <w:szCs w:val="14"/>
                <w:color w:val="auto"/>
              </w:rPr>
            </w:pPr>
          </w:p>
        </w:tc>
        <w:tc>
          <w:tcPr>
            <w:tcW w:w="226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PAID-IN</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ACCUMULATED</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COMPREHENSIVE</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SHARES</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AMOUNT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CAPITAL</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DEFICIT</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INCOME (LOSS)</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1998........</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524,337</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$5,248,610</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17,800,323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178,003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122,861,606</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$(103,664,084)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$(5,198)</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Issuance of common stock...........</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196,213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318,221</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57,398</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574</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41,619</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90,798</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908</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102,502</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Exercise of stock options..........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490,833</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4,908</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513,534</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80,276</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5,198</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Comprehensive loss.................</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1999........</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524,337</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5,248,610</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18,635,565</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186,355</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123,917,758</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(119,372,710)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678"/>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w w:val="97"/>
              </w:rPr>
              <w:t>DEFERRED</w:t>
            </w:r>
          </w:p>
        </w:tc>
        <w:tc>
          <w:tcPr>
            <w:tcW w:w="520" w:type="dxa"/>
            <w:vAlign w:val="bottom"/>
          </w:tcPr>
          <w:p>
            <w:pPr>
              <w:spacing w:after="0"/>
              <w:rPr>
                <w:sz w:val="14"/>
                <w:szCs w:val="14"/>
                <w:color w:val="auto"/>
              </w:rPr>
            </w:pP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5"/>
              </w:rPr>
              <w:t>STOCKHOLDERS'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COMPENSATION</w:t>
            </w:r>
          </w:p>
        </w:tc>
        <w:tc>
          <w:tcPr>
            <w:tcW w:w="17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EQUITY</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9"/>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1998........</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$(1,472,919)</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6"/>
              </w:rPr>
              <w:t>$ 17,897,408</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Issuance of common stock...........</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320,183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42,193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103,410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Exercise of stock options..........</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518,442</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247,919</w:t>
            </w: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328,195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5,198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spacing w:after="0"/>
              <w:rPr>
                <w:sz w:val="14"/>
                <w:szCs w:val="14"/>
                <w:color w:val="auto"/>
              </w:rPr>
            </w:pPr>
          </w:p>
        </w:tc>
        <w:tc>
          <w:tcPr>
            <w:tcW w:w="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77"/>
              </w:rPr>
              <w:t>--</w:t>
            </w: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(15,708,626)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Comprehensive loss.................</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(15,703,428)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1999........</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(1,225,000)</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3,506,403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35</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360"/>
          </w:cols>
          <w:pgMar w:left="240" w:top="452" w:right="299" w:bottom="1440" w:gutter="0" w:footer="0" w:header="0"/>
        </w:sectPr>
      </w:pPr>
    </w:p>
    <w:bookmarkStart w:id="35" w:name="page36"/>
    <w:bookmarkEnd w:id="35"/>
    <w:p>
      <w:pPr>
        <w:jc w:val="center"/>
        <w:ind w:right="3780"/>
        <w:spacing w:after="0"/>
        <w:rPr>
          <w:sz w:val="20"/>
          <w:szCs w:val="20"/>
          <w:color w:val="auto"/>
        </w:rPr>
      </w:pPr>
      <w:r>
        <w:rPr>
          <w:rFonts w:ascii="Courier New" w:cs="Courier New" w:eastAsia="Courier New" w:hAnsi="Courier New"/>
          <w:sz w:val="15"/>
          <w:szCs w:val="15"/>
          <w:color w:val="auto"/>
        </w:rPr>
        <w:t>STEMCELLS, INC.</w:t>
      </w:r>
    </w:p>
    <w:p>
      <w:pPr>
        <w:spacing w:after="0" w:line="5"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EQUITY (CONTINUED)</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9"/>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REDEEMABLE</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COMMON</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4"/>
                <w:szCs w:val="14"/>
                <w:color w:val="auto"/>
              </w:rPr>
            </w:pPr>
          </w:p>
        </w:tc>
        <w:tc>
          <w:tcPr>
            <w:tcW w:w="198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ADDITIONAL</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9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PAID-IN</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14"/>
                <w:szCs w:val="14"/>
                <w:color w:val="auto"/>
              </w:rPr>
            </w:pPr>
          </w:p>
        </w:tc>
        <w:tc>
          <w:tcPr>
            <w:tcW w:w="11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AMOUNT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12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AMOUNT</w:t>
            </w:r>
          </w:p>
        </w:tc>
        <w:tc>
          <w:tcPr>
            <w:tcW w:w="2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CAPITAL</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   ----------</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524,337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5,248,610</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18,635,565</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$186,355</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$123,917,758</w:t>
            </w: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Issuance of common stock to</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Millennium Partners LP, net of</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issuance costs of $598,563.....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1,104,435</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$ 11,044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4,390,393</w:t>
            </w: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Issuance of common stock related to</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license agreements...............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77,800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364,222</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employee benefit plan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6,672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27,112</w:t>
            </w: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Exercise of employee stock</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608,078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651,828</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Redeemable common stock</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conversion.......................</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(524,337)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(5,248,610)</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524,337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5,243,367</w:t>
            </w: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Issuance of preferred stock........</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$1,500,000</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Deferred compensation--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amortization</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and cancellations................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3,555,387</w:t>
            </w: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Unrealized gain on short-term</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restricted investments...........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Net loss...........................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Balances, December 31, 2000........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$1,500,000</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20,956,887</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$209,569</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$138,150,067</w:t>
            </w: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6"/>
              </w:rPr>
              <w:t>ACCUMULATED</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OTHER</w:t>
            </w: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TOTAL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ACCUMULATED</w:t>
            </w:r>
          </w:p>
        </w:tc>
        <w:tc>
          <w:tcPr>
            <w:tcW w:w="360" w:type="dxa"/>
            <w:vAlign w:val="bottom"/>
          </w:tcPr>
          <w:p>
            <w:pPr>
              <w:spacing w:after="0"/>
              <w:rPr>
                <w:sz w:val="14"/>
                <w:szCs w:val="14"/>
                <w:color w:val="auto"/>
              </w:rPr>
            </w:pPr>
          </w:p>
        </w:tc>
        <w:tc>
          <w:tcPr>
            <w:tcW w:w="142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7"/>
              </w:rPr>
              <w:t>COMPREHENSIVE</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DEFERRED</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STOCKHOLDERS'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DEFICIT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7"/>
              </w:rPr>
              <w:t>INCOME (LOSS)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COMPENSATION</w:t>
            </w:r>
          </w:p>
        </w:tc>
        <w:tc>
          <w:tcPr>
            <w:tcW w:w="18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EQUITY</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4"/>
                <w:szCs w:val="14"/>
                <w:color w:val="auto"/>
              </w:rPr>
            </w:pPr>
          </w:p>
        </w:tc>
        <w:tc>
          <w:tcPr>
            <w:tcW w:w="142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Balances, December 31, 1999........</w:t>
            </w:r>
          </w:p>
        </w:tc>
        <w:tc>
          <w:tcPr>
            <w:tcW w:w="15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$(119,372,710)</w:t>
            </w:r>
          </w:p>
        </w:tc>
        <w:tc>
          <w:tcPr>
            <w:tcW w:w="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$(1,225,000)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3,506,403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Issuance of common stock to</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Millennium Partners LP, net of</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issuance costs of $598,563.....</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4,401,437</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Issuance of common stock related to</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license agreements...............</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365,000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w w:val="97"/>
              </w:rPr>
              <w:t>employee benefit plan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27,180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Exercise of employee stock</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657,909</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Redeemable common stock</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conversion.......................</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5,248,610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Issuance of preferred stock........</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1,500,000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Deferred compensation--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amortization</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and cancellations................</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$(1,510,760)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2,044,627</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Unrealized gain on short-term</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restricted investments...........</w:t>
            </w:r>
          </w:p>
        </w:tc>
        <w:tc>
          <w:tcPr>
            <w:tcW w:w="1060" w:type="dxa"/>
            <w:vAlign w:val="bottom"/>
          </w:tcPr>
          <w:p>
            <w:pPr>
              <w:spacing w:after="0"/>
              <w:rPr>
                <w:sz w:val="14"/>
                <w:szCs w:val="14"/>
                <w:color w:val="auto"/>
              </w:rPr>
            </w:pPr>
          </w:p>
        </w:tc>
        <w:tc>
          <w:tcPr>
            <w:tcW w:w="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$16,356,334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$ 16,356,334</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Net loss...........................</w:t>
            </w:r>
          </w:p>
        </w:tc>
        <w:tc>
          <w:tcPr>
            <w:tcW w:w="15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 (11,125,477)</w:t>
            </w:r>
          </w:p>
        </w:tc>
        <w:tc>
          <w:tcPr>
            <w:tcW w:w="80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$(11,125,477)</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5,230,858</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36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Balances, December 31, 2000........</w:t>
            </w:r>
          </w:p>
        </w:tc>
        <w:tc>
          <w:tcPr>
            <w:tcW w:w="15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$(130,498,187)</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$16,356,334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$(2,735,761)</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$ 22,982,022</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740"/>
          </w:cols>
          <w:pgMar w:left="240" w:top="452" w:right="919" w:bottom="1440" w:gutter="0" w:footer="0" w:header="0"/>
        </w:sectPr>
      </w:pPr>
    </w:p>
    <w:bookmarkStart w:id="36" w:name="page37"/>
    <w:bookmarkEnd w:id="36"/>
    <w:p>
      <w:pPr>
        <w:jc w:val="center"/>
        <w:ind w:right="3279"/>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060" w:type="dxa"/>
            <w:vAlign w:val="bottom"/>
          </w:tcPr>
          <w:p>
            <w:pPr>
              <w:spacing w:after="0"/>
              <w:rPr>
                <w:sz w:val="14"/>
                <w:szCs w:val="14"/>
                <w:color w:val="auto"/>
              </w:rPr>
            </w:pPr>
          </w:p>
        </w:tc>
      </w:tr>
      <w:tr>
        <w:trPr>
          <w:trHeight w:val="170"/>
        </w:trPr>
        <w:tc>
          <w:tcPr>
            <w:tcW w:w="5360" w:type="dxa"/>
            <w:vAlign w:val="bottom"/>
          </w:tcPr>
          <w:p>
            <w:pPr>
              <w:spacing w:after="0"/>
              <w:rPr>
                <w:sz w:val="14"/>
                <w:szCs w:val="14"/>
                <w:color w:val="auto"/>
              </w:rPr>
            </w:pPr>
          </w:p>
        </w:tc>
        <w:tc>
          <w:tcPr>
            <w:tcW w:w="40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Net loss....................................................</w:t>
            </w: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$(11,125,477)</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360" w:type="dxa"/>
            <w:vAlign w:val="bottom"/>
          </w:tcPr>
          <w:p>
            <w:pPr>
              <w:jc w:val="right"/>
              <w:ind w:right="3267"/>
              <w:spacing w:after="0"/>
              <w:rPr>
                <w:sz w:val="20"/>
                <w:szCs w:val="20"/>
                <w:color w:val="auto"/>
              </w:rPr>
            </w:pPr>
            <w:r>
              <w:rPr>
                <w:rFonts w:ascii="Courier New" w:cs="Courier New" w:eastAsia="Courier New" w:hAnsi="Courier New"/>
                <w:sz w:val="15"/>
                <w:szCs w:val="15"/>
                <w:color w:val="auto"/>
              </w:rPr>
              <w:t>operating activities: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738,593</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2,244,146</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Acquired research and development.......................</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551,009</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deferred compensation...................</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2,044,627</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Fair market adjustment for property held for sale.......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300,000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non-cash charges..................................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410,173</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Gain on investment......................................</w:t>
            </w:r>
          </w:p>
        </w:tc>
        <w:tc>
          <w:tcPr>
            <w:tcW w:w="3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(1,427,686)</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on sale of property, plant and equipment...........</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on sale of intangibles.............................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interest receivable...........................</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25,488</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346,577</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Technology receivable.................................</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3,000,000</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current assets..................................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315,213</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283,000</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(265,665)</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 and accrued expenses.................</w:t>
            </w:r>
          </w:p>
        </w:tc>
        <w:tc>
          <w:tcPr>
            <w:tcW w:w="3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(92,255)</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1,344,142</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(2,378,613)</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rent.........................................</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203,393</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2,483,856</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used in operating activities.......................</w:t>
            </w:r>
          </w:p>
        </w:tc>
        <w:tc>
          <w:tcPr>
            <w:tcW w:w="3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(6,318,104)</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(11,913,282)</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(9,236,347)</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sale of Investments...........................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1,427,686</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Purchases of marketable securities..........................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(18,982,387)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sales of marketable securities................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22,573,625</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Purchases of property, plant and equipment..................</w:t>
            </w:r>
          </w:p>
        </w:tc>
        <w:tc>
          <w:tcPr>
            <w:tcW w:w="3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(151,212)</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(2,153,525)</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on sale of fixed assets............................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Acquisition of other assets.................................</w:t>
            </w:r>
          </w:p>
        </w:tc>
        <w:tc>
          <w:tcPr>
            <w:tcW w:w="3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(886,751)</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(558,311)</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(400,219)</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Disposal of other assets....................................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provided by investing activities...................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389,723</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9,962,013</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1,037,494</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issuance of common stock......................</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4,401,437</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227,931</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the exercise of stock options.................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685,089</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1,364</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Common stock issued for agreements..........................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365,000</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issuance of preferred stock...................</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1,500,000</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Proceeds from debt financings...............................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1,259,300</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Change in debt service fund.................................</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609,905</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Repayments of debt and lease obligations....................</w:t>
            </w:r>
          </w:p>
        </w:tc>
        <w:tc>
          <w:tcPr>
            <w:tcW w:w="3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(324,167)</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(1,366,655)</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provided by (used in) financing activities.........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7,237,264</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(1,153,455)</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121,940</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Increase (decrease) in cash and cash equivalents............</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1,308,883</w:t>
            </w:r>
          </w:p>
        </w:tc>
        <w:tc>
          <w:tcPr>
            <w:tcW w:w="22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(3,104,724)</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(8,076,913)</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3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4,760,064</w:t>
            </w:r>
          </w:p>
        </w:tc>
        <w:tc>
          <w:tcPr>
            <w:tcW w:w="22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15,941,701</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end of the year................</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6,068,947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7,864,788</w:t>
            </w:r>
          </w:p>
        </w:tc>
      </w:tr>
      <w:tr>
        <w:trPr>
          <w:trHeight w:val="170"/>
        </w:trPr>
        <w:tc>
          <w:tcPr>
            <w:tcW w:w="536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paid...............................................</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272,513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444,047</w:t>
            </w:r>
          </w:p>
        </w:tc>
      </w:tr>
    </w:tbl>
    <w:p>
      <w:pPr>
        <w:sectPr>
          <w:pgSz w:w="11900" w:h="16838" w:orient="portrait"/>
          <w:cols w:equalWidth="0" w:num="1">
            <w:col w:w="10219"/>
          </w:cols>
          <w:pgMar w:left="240" w:top="452"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ectPr>
          <w:pgSz w:w="11900" w:h="16838" w:orient="portrait"/>
          <w:cols w:equalWidth="0" w:num="1">
            <w:col w:w="10219"/>
          </w:cols>
          <w:pgMar w:left="240" w:top="480" w:right="1440" w:bottom="1440" w:gutter="0" w:footer="0" w:header="0"/>
        </w:sectPr>
      </w:pP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80" w:right="1440" w:bottom="1440" w:gutter="0" w:footer="0" w:header="0"/>
          <w:type w:val="continuous"/>
        </w:sectPr>
      </w:pPr>
    </w:p>
    <w:bookmarkStart w:id="38" w:name="page39"/>
    <w:bookmarkEnd w:id="38"/>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350" w:hanging="350"/>
        <w:spacing w:after="0"/>
        <w:tabs>
          <w:tab w:leader="none" w:pos="3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StemCells, Inc. (the "Company") is a biopharmaceutical company that operates in one segment, engaged in the development of novel stem cell therapies designed to treat human diseases and disorders. On May 23, 2000, the Company's name was changed to Stem Cells, Inc. from CytoTherapeutics, Inc. by vote of the shareholders at the Annual Meeting.</w:t>
      </w:r>
    </w:p>
    <w:p>
      <w:pPr>
        <w:spacing w:after="0" w:line="173"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As of December 31, 2000, the Company had cash and cash equivalents of</w:t>
      </w:r>
    </w:p>
    <w:p>
      <w:pPr>
        <w:ind w:left="10"/>
        <w:spacing w:after="0"/>
        <w:rPr>
          <w:sz w:val="20"/>
          <w:szCs w:val="20"/>
          <w:color w:val="auto"/>
        </w:rPr>
      </w:pPr>
      <w:r>
        <w:rPr>
          <w:rFonts w:ascii="Courier New" w:cs="Courier New" w:eastAsia="Courier New" w:hAnsi="Courier New"/>
          <w:sz w:val="15"/>
          <w:szCs w:val="15"/>
          <w:color w:val="auto"/>
        </w:rPr>
        <w:t>approximately $6.1 million and a restricted short-term equity investment of</w:t>
      </w:r>
    </w:p>
    <w:p>
      <w:pPr>
        <w:ind w:left="10"/>
        <w:spacing w:after="0"/>
        <w:rPr>
          <w:sz w:val="20"/>
          <w:szCs w:val="20"/>
          <w:color w:val="auto"/>
        </w:rPr>
      </w:pPr>
      <w:r>
        <w:rPr>
          <w:rFonts w:ascii="Courier New" w:cs="Courier New" w:eastAsia="Courier New" w:hAnsi="Courier New"/>
          <w:sz w:val="15"/>
          <w:szCs w:val="15"/>
          <w:color w:val="auto"/>
        </w:rPr>
        <w:t>approximately $16.4 million in Modex Therapeutics, a Swiss Biotherapeutics</w:t>
      </w:r>
    </w:p>
    <w:p>
      <w:pPr>
        <w:ind w:left="10"/>
        <w:spacing w:after="0" w:line="238" w:lineRule="auto"/>
        <w:rPr>
          <w:sz w:val="20"/>
          <w:szCs w:val="20"/>
          <w:color w:val="auto"/>
        </w:rPr>
      </w:pPr>
      <w:r>
        <w:rPr>
          <w:rFonts w:ascii="Courier New" w:cs="Courier New" w:eastAsia="Courier New" w:hAnsi="Courier New"/>
          <w:sz w:val="15"/>
          <w:szCs w:val="15"/>
          <w:color w:val="auto"/>
        </w:rPr>
        <w:t>company. Since inception, the Company has incurred annual losses and negative</w:t>
      </w:r>
    </w:p>
    <w:p>
      <w:pPr>
        <w:ind w:left="10"/>
        <w:spacing w:after="0"/>
        <w:rPr>
          <w:sz w:val="20"/>
          <w:szCs w:val="20"/>
          <w:color w:val="auto"/>
        </w:rPr>
      </w:pPr>
      <w:r>
        <w:rPr>
          <w:rFonts w:ascii="Courier New" w:cs="Courier New" w:eastAsia="Courier New" w:hAnsi="Courier New"/>
          <w:sz w:val="15"/>
          <w:szCs w:val="15"/>
          <w:color w:val="auto"/>
        </w:rPr>
        <w:t>cash flows from operations and has an accumulated deficit of approximately</w:t>
      </w:r>
    </w:p>
    <w:p>
      <w:pPr>
        <w:ind w:left="10"/>
        <w:spacing w:after="0"/>
        <w:rPr>
          <w:sz w:val="20"/>
          <w:szCs w:val="20"/>
          <w:color w:val="auto"/>
        </w:rPr>
      </w:pPr>
      <w:r>
        <w:rPr>
          <w:rFonts w:ascii="Courier New" w:cs="Courier New" w:eastAsia="Courier New" w:hAnsi="Courier New"/>
          <w:sz w:val="15"/>
          <w:szCs w:val="15"/>
          <w:color w:val="auto"/>
        </w:rPr>
        <w:t>$130.5 million at December 31, 2000. The Company has not derived any revenues</w:t>
      </w:r>
    </w:p>
    <w:p>
      <w:pPr>
        <w:ind w:left="10"/>
        <w:spacing w:after="0" w:line="238" w:lineRule="auto"/>
        <w:rPr>
          <w:sz w:val="20"/>
          <w:szCs w:val="20"/>
          <w:color w:val="auto"/>
        </w:rPr>
      </w:pPr>
      <w:r>
        <w:rPr>
          <w:rFonts w:ascii="Courier New" w:cs="Courier New" w:eastAsia="Courier New" w:hAnsi="Courier New"/>
          <w:sz w:val="15"/>
          <w:szCs w:val="15"/>
          <w:color w:val="auto"/>
        </w:rPr>
        <w:t>from the sale of any products, and does not expect to receive revenues from</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product sales for at least several years. As a result, the Company is dependent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upon external financing from equity and debt offerings and revenues from</w:t>
      </w:r>
    </w:p>
    <w:p>
      <w:pPr>
        <w:ind w:left="10"/>
        <w:spacing w:after="0"/>
        <w:rPr>
          <w:sz w:val="20"/>
          <w:szCs w:val="20"/>
          <w:color w:val="auto"/>
        </w:rPr>
      </w:pPr>
      <w:r>
        <w:rPr>
          <w:rFonts w:ascii="Courier New" w:cs="Courier New" w:eastAsia="Courier New" w:hAnsi="Courier New"/>
          <w:sz w:val="15"/>
          <w:szCs w:val="15"/>
          <w:color w:val="auto"/>
        </w:rPr>
        <w:t>collaborative research arrangements with corporate sponsors to finance its</w:t>
      </w:r>
    </w:p>
    <w:p>
      <w:pPr>
        <w:ind w:left="10"/>
        <w:spacing w:after="0"/>
        <w:rPr>
          <w:sz w:val="20"/>
          <w:szCs w:val="20"/>
          <w:color w:val="auto"/>
        </w:rPr>
      </w:pPr>
      <w:r>
        <w:rPr>
          <w:rFonts w:ascii="Courier New" w:cs="Courier New" w:eastAsia="Courier New" w:hAnsi="Courier New"/>
          <w:sz w:val="15"/>
          <w:szCs w:val="15"/>
          <w:color w:val="auto"/>
        </w:rPr>
        <w:t>operations. There are no such collaborative research arrangements at this time</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and there can be no assurance that such financing or partnering revenues will be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available when needed or on terms acceptable to the Company.</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noted above, the Company has a restricted investment in Modex Therapeutics, a Swiss Biotherapeutics company with a fair market value of approximately $16.4 million at December 31, 2000. On January 9, 2001, the Company sold 22,616 shares of Modex common stock for total proceeds of approximately $2.5 million. The Company is restricted from selling any of the remaining 103,577 shares until April 12, 2001. The value of the Company's holdings is subject to market risk and foreign currency fluctuation and could decrease significantly. The Company is currently in discussions with Modex to sell the remaining shares during 2001. If the Company decided to sell the Modex shares, due to relatively small trading volume in Modex shares and the relatively large size of the Company holdings, or other factors, the Company may not be able to sell its Modex shares at their market value or at all, and the Company may have to sell these shares at a significant discount to the market price.</w:t>
      </w:r>
    </w:p>
    <w:p>
      <w:pPr>
        <w:spacing w:after="0" w:line="184" w:lineRule="exact"/>
        <w:rPr>
          <w:sz w:val="20"/>
          <w:szCs w:val="20"/>
          <w:color w:val="auto"/>
        </w:rPr>
      </w:pPr>
    </w:p>
    <w:p>
      <w:pPr>
        <w:jc w:val="both"/>
        <w:ind w:left="10" w:right="3359" w:firstLine="353"/>
        <w:spacing w:after="0" w:line="258" w:lineRule="auto"/>
        <w:rPr>
          <w:sz w:val="20"/>
          <w:szCs w:val="20"/>
          <w:color w:val="auto"/>
        </w:rPr>
      </w:pPr>
      <w:r>
        <w:rPr>
          <w:rFonts w:ascii="Courier New" w:cs="Courier New" w:eastAsia="Courier New" w:hAnsi="Courier New"/>
          <w:sz w:val="14"/>
          <w:szCs w:val="14"/>
          <w:color w:val="auto"/>
        </w:rPr>
        <w:t>If the Company is unable to obtain the necessary proceeds from the sale of Modex shares, significant reductions in spending and the delay or cancellation of planned activities may be necessary. In such event, the Company intends to implement expense reduction plans in a timely manner to enable the Company to meet its operating cash requirements through December 31, 2001.</w:t>
      </w:r>
    </w:p>
    <w:p>
      <w:pPr>
        <w:spacing w:after="0" w:line="165" w:lineRule="exact"/>
        <w:rPr>
          <w:sz w:val="20"/>
          <w:szCs w:val="20"/>
          <w:color w:val="auto"/>
        </w:rPr>
      </w:pPr>
    </w:p>
    <w:p>
      <w:pPr>
        <w:ind w:left="10" w:right="6179" w:hanging="10"/>
        <w:spacing w:after="0" w:line="471" w:lineRule="auto"/>
        <w:tabs>
          <w:tab w:leader="none" w:pos="36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11"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accounting principles generally accepted in the United States, that requires management to make estimates and assumptions that affect the amounts reported in the consolidated financial statements and accompanying notes. Actual results could differ from those estimates.</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9"/>
          </w:cols>
          <w:pgMar w:left="230" w:top="452" w:right="1440" w:bottom="1440" w:gutter="0" w:footer="0" w:header="0"/>
        </w:sectPr>
      </w:pPr>
    </w:p>
    <w:bookmarkStart w:id="39" w:name="page40"/>
    <w:bookmarkEnd w:id="39"/>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75" w:lineRule="exact"/>
        <w:rPr>
          <w:sz w:val="20"/>
          <w:szCs w:val="20"/>
          <w:color w:val="auto"/>
        </w:rPr>
      </w:pPr>
    </w:p>
    <w:p>
      <w:pPr>
        <w:ind w:left="10" w:right="5119" w:hanging="10"/>
        <w:spacing w:after="0" w:line="235" w:lineRule="auto"/>
        <w:tabs>
          <w:tab w:leader="none" w:pos="36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CASH EQUIVALENTS AND INVESTMENTS</w:t>
      </w:r>
    </w:p>
    <w:p>
      <w:pPr>
        <w:spacing w:after="0" w:line="176" w:lineRule="exact"/>
        <w:rPr>
          <w:sz w:val="20"/>
          <w:szCs w:val="20"/>
          <w:color w:val="auto"/>
        </w:rPr>
      </w:pPr>
    </w:p>
    <w:p>
      <w:pPr>
        <w:ind w:left="10" w:right="3179" w:firstLine="353"/>
        <w:spacing w:after="0" w:line="259" w:lineRule="auto"/>
        <w:rPr>
          <w:sz w:val="20"/>
          <w:szCs w:val="20"/>
          <w:color w:val="auto"/>
        </w:rPr>
      </w:pPr>
      <w:r>
        <w:rPr>
          <w:rFonts w:ascii="Courier New" w:cs="Courier New" w:eastAsia="Courier New" w:hAnsi="Courier New"/>
          <w:sz w:val="14"/>
          <w:szCs w:val="14"/>
          <w:color w:val="auto"/>
        </w:rPr>
        <w:t>Cash equivalents include funds held in investments with original maturities of three months or less when purchased. The Company's policy regarding selection of investments, pending their use, is to ensure safety, liquidity, and capital preservation while obtaining a reasonable rate of return.</w:t>
      </w:r>
    </w:p>
    <w:p>
      <w:pPr>
        <w:spacing w:after="0" w:line="163"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COMPREHENSIVE INCOME (LOSS)</w:t>
      </w:r>
    </w:p>
    <w:p>
      <w:pPr>
        <w:spacing w:after="0" w:line="175"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Comprehensive income (loss) is comprised of net income (loss) and other comprehensive income (loss). The only component of other comprehensive income (loss) is unrealized gains and losses on our available-for-sale securities. Comprehensive income (loss) has been disclosed in the statement of changes in redeemable common stock and stockholders' Equity.</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PROPERTY, PLANT AND EQUIPMENT</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California,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176"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gridSpan w:val="3"/>
          </w:tcPr>
          <w:p>
            <w:pPr>
              <w:spacing w:after="0"/>
              <w:rPr>
                <w:sz w:val="20"/>
                <w:szCs w:val="20"/>
                <w:color w:val="auto"/>
              </w:rPr>
            </w:pPr>
            <w:r>
              <w:rPr>
                <w:rFonts w:ascii="Courier New" w:cs="Courier New" w:eastAsia="Courier New" w:hAnsi="Courier New"/>
                <w:sz w:val="15"/>
                <w:szCs w:val="15"/>
                <w:color w:val="auto"/>
                <w:w w:val="98"/>
              </w:rPr>
              <w:t>Building and improvements...................................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Machinery</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equipment.....................................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Furniture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fixtures......................................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PATENT AND LICENSE COSTS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charged to expense at the time such patents are deemed to have no continuing value. At December 31, 2000 and 1999, total costs capitalized were $638,000 and $718,000 and the related accumulated amortization were $9,000 and $9,000, respectively. Patent expense totaled $305,000, $539,000, and $3,000 in 2000, 1999 and 1998, respectively.</w:t>
      </w:r>
    </w:p>
    <w:p>
      <w:pPr>
        <w:spacing w:after="0" w:line="179"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In December 1999 the Company sold its Encapsulated Cell Technology ("ECT") to Neurotech, S.A. for an initial payment of $3,000,000, which was paid in 2000, royalties on future product sales, and a portion of certain Neurotech revenues from third parties in return for the assignment to Neurotech</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9"/>
          </w:cols>
          <w:pgMar w:left="230" w:top="452" w:right="1440" w:bottom="1440" w:gutter="0" w:footer="0" w:header="0"/>
        </w:sectPr>
      </w:pPr>
    </w:p>
    <w:bookmarkStart w:id="40" w:name="page41"/>
    <w:bookmarkEnd w:id="40"/>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350" w:hanging="350"/>
        <w:spacing w:after="0"/>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In year 2000 the Company received $74,300 representing a portion of revenues received by Neurotech from third parties.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BASED COMPENSATION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 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and is remeasured during the vesting period. Fair value is determined using methodologies allowable by FAS No. 123. The cost is amortized over the vesting period of each option or the recipient's contractual arrangement, if shorter.</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LONG LIVED ASSETS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StemCells recognizes non-refundable upfront license fees and certain other related fees on a straight-line basis over the development period. Fees associated with substantive at risk, performance milestones are recognized as revenue upon their completion, as defined in the respective agreements.</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9"/>
          </w:cols>
          <w:pgMar w:left="230" w:top="452" w:right="1440" w:bottom="1440" w:gutter="0" w:footer="0" w:header="0"/>
        </w:sectPr>
      </w:pPr>
    </w:p>
    <w:bookmarkStart w:id="41" w:name="page42"/>
    <w:bookmarkEnd w:id="41"/>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75" w:lineRule="exact"/>
        <w:rPr>
          <w:sz w:val="20"/>
          <w:szCs w:val="20"/>
          <w:color w:val="auto"/>
        </w:rPr>
      </w:pPr>
    </w:p>
    <w:p>
      <w:pPr>
        <w:ind w:left="10" w:right="5119" w:hanging="10"/>
        <w:spacing w:after="0" w:line="235" w:lineRule="auto"/>
        <w:tabs>
          <w:tab w:leader="none" w:pos="36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RECENT ACCOUNTING PRONOUNCEMENTS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(SFAS 133), which establishes accounting and reporting standards for derivative instruments, including certain derivative instruments embedded in other contracts, and for hedging activities. In June 1999, the FASB issued SFAS No. 137, "Accounting for Derivative Instruments and Hedging Activities--Deferral of the Effective Date of FASB Statement No. 133." The Company is required to adopt SFAS 133 effective January 1, 2001. Because the Company does we does not hold any derivative instruments and does not engage in hedging activities, management does not believe the adoption of SFAS 133 will have an impact on our financial position or results of operations.</w:t>
      </w:r>
    </w:p>
    <w:p>
      <w:pPr>
        <w:spacing w:after="0" w:line="181" w:lineRule="exact"/>
        <w:rPr>
          <w:sz w:val="20"/>
          <w:szCs w:val="20"/>
          <w:color w:val="auto"/>
        </w:rPr>
      </w:pPr>
    </w:p>
    <w:p>
      <w:pPr>
        <w:ind w:left="10" w:right="3179" w:firstLine="353"/>
        <w:spacing w:after="0" w:line="239" w:lineRule="auto"/>
        <w:rPr>
          <w:sz w:val="20"/>
          <w:szCs w:val="20"/>
          <w:color w:val="auto"/>
        </w:rPr>
      </w:pPr>
      <w:r>
        <w:rPr>
          <w:rFonts w:ascii="Courier New" w:cs="Courier New" w:eastAsia="Courier New" w:hAnsi="Courier New"/>
          <w:sz w:val="15"/>
          <w:szCs w:val="15"/>
          <w:color w:val="auto"/>
        </w:rPr>
        <w:t>In November 2000, the FASB issued Emerging Issues Task Force Issue No. 00-27, "Application of EITF Issue No. 98-5, Accounting for Convertible Securities with Beneficial Conversion Features or Contingently Adjustable Conversion Ratios, to Certain Convertible Instruments" ("EITF 00-27") which is effective retroactively to September 1999 for all such instruments. EITF 00-27 clarifies the accounting for instruments with beneficial conversion features or contingently adjustable conversion ratios. According to the new accounting principle, the beneficial conversion features should be calculated by first allocating the proceeds received from the financing among the convertible instrument and the detachable warrants and then, measuring the beneficial conversion feature between the stated conversion price of the convertible instrument and the effective conversion price based on the allocated proceeds. Previously, the beneficial conversion feature calculation was based on the difference between the stated conversion price of the convertible instrument and the fair value of the Company's stock price on the closing date of the financing. As a result of the new accounting principle, the Company modified the calculation of the beneficial conversion features associated with its 6% cumulative convertible preferred stock.</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Company has presented the effect of adopting the new accounting principle as a cumulative effect of a change in accounting principle as allowed for in EITF 00-27. Accordingly, the Company has recognized an additional $216,000 of deemed dividend on preferred stock.</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RESEARCH AND DEVELOPMENT COSTS</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NET LOSS PER SHARE</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Basic and diluted net loss per share has been computed using the weighted-average number of shares of common stock outstanding during the period, less shares subject to repurchase. The Company has excluded outstanding stock options and warrants, and shares subject to repurchase from the calculation of diluted loss per common share because all such securities are anti-dilutive for all applicable periods presented.</w:t>
      </w:r>
    </w:p>
    <w:p>
      <w:pPr>
        <w:spacing w:after="0" w:line="170" w:lineRule="exact"/>
        <w:rPr>
          <w:sz w:val="20"/>
          <w:szCs w:val="20"/>
          <w:color w:val="auto"/>
        </w:rPr>
      </w:pPr>
    </w:p>
    <w:p>
      <w:pPr>
        <w:ind w:left="350" w:hanging="350"/>
        <w:spacing w:after="0"/>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Until mid-1999, the Company engaged in research and development in encapsulated cell therapy technology, including a pain control program funded by AstraZeneca Group plc. The results from the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9"/>
          </w:cols>
          <w:pgMar w:left="230" w:top="452" w:right="1440" w:bottom="1440" w:gutter="0" w:footer="0" w:header="0"/>
        </w:sectPr>
      </w:pPr>
    </w:p>
    <w:bookmarkStart w:id="42" w:name="page43"/>
    <w:bookmarkEnd w:id="42"/>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75" w:lineRule="exact"/>
        <w:rPr>
          <w:sz w:val="20"/>
          <w:szCs w:val="20"/>
          <w:color w:val="auto"/>
        </w:rPr>
      </w:pPr>
    </w:p>
    <w:p>
      <w:pPr>
        <w:ind w:left="10" w:right="3359" w:hanging="10"/>
        <w:spacing w:after="0" w:line="235" w:lineRule="auto"/>
        <w:tabs>
          <w:tab w:leader="none" w:pos="36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6" w:lineRule="exact"/>
        <w:rPr>
          <w:rFonts w:ascii="Courier New" w:cs="Courier New" w:eastAsia="Courier New" w:hAnsi="Courier New"/>
          <w:sz w:val="15"/>
          <w:szCs w:val="15"/>
          <w:color w:val="auto"/>
        </w:rPr>
      </w:pPr>
    </w:p>
    <w:p>
      <w:pPr>
        <w:ind w:left="10" w:right="34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76" w:lineRule="exact"/>
        <w:rPr>
          <w:sz w:val="20"/>
          <w:szCs w:val="20"/>
          <w:color w:val="auto"/>
        </w:rPr>
      </w:pPr>
    </w:p>
    <w:p>
      <w:pPr>
        <w:ind w:left="10" w:right="3539" w:firstLine="353"/>
        <w:spacing w:after="0" w:line="237"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wound down its research and manufacturing operations in Lincoln, Rhode Island, and relocated its remaining research and development activities, and its corporate headquarters, to the facilities of its wholly owned subsidiary, StemCells California, Inc., in Sunnyvale, California, in</w:t>
      </w:r>
    </w:p>
    <w:p>
      <w:pPr>
        <w:spacing w:after="0" w:line="7"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165" w:lineRule="exact"/>
        <w:rPr>
          <w:sz w:val="20"/>
          <w:szCs w:val="20"/>
          <w:color w:val="auto"/>
        </w:rPr>
      </w:pPr>
    </w:p>
    <w:p>
      <w:pPr>
        <w:ind w:left="10" w:right="3539" w:firstLine="353"/>
        <w:spacing w:after="0" w:line="256" w:lineRule="auto"/>
        <w:rPr>
          <w:sz w:val="20"/>
          <w:szCs w:val="20"/>
          <w:color w:val="auto"/>
        </w:rPr>
      </w:pPr>
      <w:r>
        <w:rPr>
          <w:rFonts w:ascii="Courier New" w:cs="Courier New" w:eastAsia="Courier New" w:hAnsi="Courier New"/>
          <w:sz w:val="14"/>
          <w:szCs w:val="14"/>
          <w:color w:val="auto"/>
        </w:rPr>
        <w:t>Wind-down expenses totaled $3,327,360 and $6,047,806, for the year ended December 31, 2000 and 1999, respectively. No such expenses were incurred in</w:t>
      </w:r>
    </w:p>
    <w:p>
      <w:pPr>
        <w:spacing w:after="0" w:line="1"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1998. These expenses relate to the wind-down of our encapsulated cell technology research and other Rhode Island operations and the transfer of the corporate headquarters to Sunnyvale, California. Expenses for the year 2000, includes an accrual for the estimated lease and facility costs related to the facilities in Rhode Island through 2001. Expenses for the year 1999 also includes an accrual for the estimate of the costs of settlement of a 1989 funding agreement with the Rhode Island Partnership for Science and Technology ("RIPSAT").</w:t>
      </w:r>
    </w:p>
    <w:p>
      <w:pPr>
        <w:spacing w:after="0" w:line="167" w:lineRule="exact"/>
        <w:rPr>
          <w:sz w:val="20"/>
          <w:szCs w:val="20"/>
          <w:color w:val="auto"/>
        </w:rPr>
      </w:pPr>
    </w:p>
    <w:p>
      <w:pPr>
        <w:ind w:left="10" w:right="3259" w:firstLine="353"/>
        <w:spacing w:after="0" w:line="256" w:lineRule="auto"/>
        <w:rPr>
          <w:sz w:val="20"/>
          <w:szCs w:val="20"/>
          <w:color w:val="auto"/>
        </w:rPr>
      </w:pPr>
      <w:r>
        <w:rPr>
          <w:rFonts w:ascii="Courier New" w:cs="Courier New" w:eastAsia="Courier New" w:hAnsi="Courier New"/>
          <w:sz w:val="14"/>
          <w:szCs w:val="14"/>
          <w:color w:val="auto"/>
        </w:rPr>
        <w:t>At December 31, 1999, the Company's $1.6 million wind-down reserve included approximately $1.2 million for the RIPSAT settlement and approximately</w:t>
      </w:r>
    </w:p>
    <w:p>
      <w:pPr>
        <w:spacing w:after="0" w:line="1"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$0.4 million for Rhode Island facility for the estimated lease payments and operating costs of the Rhode Island facilities through an expected disposal date of June 30, 2000. In 2000 the Company settled with RIPSAT, paid $1.2 million and paid 0.4 million related to Rhode Island facilities. The Company did not sublet the Rhode Island facilities in 2000 and therefore made a change in estimate to accrue additional expenses of $3.3 million to cover operating lease payments, utilities, taxes, insurance, maintenance, interest and other non-employee expenses through 2001. At December 31, 2000 the remaining wind-down reserve totaled $1.7 million.</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9"/>
          </w:cols>
          <w:pgMar w:left="230" w:top="452" w:right="1440" w:bottom="1440" w:gutter="0" w:footer="0" w:header="0"/>
        </w:sectPr>
      </w:pPr>
    </w:p>
    <w:bookmarkStart w:id="43" w:name="page44"/>
    <w:bookmarkEnd w:id="43"/>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75" w:lineRule="exact"/>
        <w:rPr>
          <w:sz w:val="20"/>
          <w:szCs w:val="20"/>
          <w:color w:val="auto"/>
        </w:rPr>
      </w:pPr>
    </w:p>
    <w:p>
      <w:pPr>
        <w:ind w:left="10" w:right="3359" w:hanging="10"/>
        <w:spacing w:after="0" w:line="235" w:lineRule="auto"/>
        <w:tabs>
          <w:tab w:leader="none" w:pos="36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6" w:lineRule="exact"/>
        <w:rPr>
          <w:rFonts w:ascii="Courier New" w:cs="Courier New" w:eastAsia="Courier New" w:hAnsi="Courier New"/>
          <w:sz w:val="15"/>
          <w:szCs w:val="15"/>
          <w:color w:val="auto"/>
        </w:rPr>
      </w:pPr>
    </w:p>
    <w:p>
      <w:pPr>
        <w:ind w:left="10" w:right="3439" w:firstLine="353"/>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wind-down expenses, including the amounts and periods of recognition,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YEAR ENDED</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3960" w:type="dxa"/>
            <w:vAlign w:val="bottom"/>
          </w:tcPr>
          <w:p>
            <w:pPr>
              <w:spacing w:after="0"/>
              <w:rPr>
                <w:sz w:val="14"/>
                <w:szCs w:val="14"/>
                <w:color w:val="auto"/>
              </w:rPr>
            </w:pP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DECEMBER 31, 1999</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2000</w:t>
            </w:r>
          </w:p>
        </w:tc>
      </w:tr>
      <w:tr>
        <w:trPr>
          <w:trHeight w:val="170"/>
        </w:trPr>
        <w:tc>
          <w:tcPr>
            <w:tcW w:w="3960" w:type="dxa"/>
            <w:vAlign w:val="bottom"/>
          </w:tcPr>
          <w:p>
            <w:pPr>
              <w:spacing w:after="0"/>
              <w:rPr>
                <w:sz w:val="14"/>
                <w:szCs w:val="14"/>
                <w:color w:val="auto"/>
              </w:rPr>
            </w:pP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9"/>
              </w:rPr>
              <w:t>Employee severance costs....................</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$1,554,000</w:t>
            </w:r>
          </w:p>
        </w:tc>
        <w:tc>
          <w:tcPr>
            <w:tcW w:w="1620" w:type="dxa"/>
            <w:vAlign w:val="bottom"/>
          </w:tcPr>
          <w:p>
            <w:pPr>
              <w:spacing w:after="0"/>
              <w:rPr>
                <w:sz w:val="24"/>
                <w:szCs w:val="2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Impairment losses(1):</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Fixed assets..............................</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800,000</w:t>
            </w: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ECT patents...............................</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260,000</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1,060,000</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Rhode Island facilities carrying costs(2):</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Corporate headquarters....................</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702,000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$3,327,000</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PILOT MANUFACTURING PLANT.................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562,000</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1,264,000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3,327,000</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EMPLOYEE OUTPLACEMENT.......................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200,000</w:t>
            </w: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RIPSAT settlement(3)........................</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1,172,000</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Loss on sale of assets(4):</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Fixed assets..............................</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318,000</w:t>
            </w: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ECT patents...............................</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180,000</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498,000</w:t>
            </w:r>
          </w:p>
        </w:tc>
        <w:tc>
          <w:tcPr>
            <w:tcW w:w="16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Write-down of pilot plant(5)................</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300,000</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$6,048,000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$3,327,000</w:t>
            </w:r>
          </w:p>
        </w:tc>
      </w:tr>
      <w:tr>
        <w:trPr>
          <w:trHeight w:val="170"/>
        </w:trPr>
        <w:tc>
          <w:tcPr>
            <w:tcW w:w="3960" w:type="dxa"/>
            <w:vAlign w:val="bottom"/>
          </w:tcPr>
          <w:p>
            <w:pPr>
              <w:spacing w:after="0"/>
              <w:rPr>
                <w:sz w:val="14"/>
                <w:szCs w:val="14"/>
                <w:color w:val="auto"/>
              </w:rPr>
            </w:pP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37" w:lineRule="auto"/>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176" w:lineRule="exact"/>
        <w:rPr>
          <w:rFonts w:ascii="Courier New" w:cs="Courier New" w:eastAsia="Courier New" w:hAnsi="Courier New"/>
          <w:sz w:val="15"/>
          <w:szCs w:val="15"/>
          <w:color w:val="auto"/>
        </w:rPr>
      </w:pPr>
    </w:p>
    <w:p>
      <w:pPr>
        <w:ind w:left="350" w:right="3619" w:hanging="350"/>
        <w:spacing w:after="0" w:line="259" w:lineRule="auto"/>
        <w:tabs>
          <w:tab w:leader="none" w:pos="3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Facilities carrying costs include operating lease payments, utilities, property taxes, insurance, maintenance, interest and other non-employee related expenses necessary to maintaining these facilities through the expected date of disposition (December 31, 2001)</w:t>
      </w:r>
    </w:p>
    <w:p>
      <w:pPr>
        <w:spacing w:after="0" w:line="162" w:lineRule="exact"/>
        <w:rPr>
          <w:rFonts w:ascii="Courier New" w:cs="Courier New" w:eastAsia="Courier New" w:hAnsi="Courier New"/>
          <w:sz w:val="14"/>
          <w:szCs w:val="14"/>
          <w:color w:val="auto"/>
        </w:rPr>
      </w:pPr>
    </w:p>
    <w:p>
      <w:pPr>
        <w:ind w:left="350" w:right="3259" w:hanging="350"/>
        <w:spacing w:after="0" w:line="238" w:lineRule="auto"/>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178"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held an auction to sell all ECT fixed assets. Proceeds from that sale resulted in a loss, which was related to machinery and equipment ($292,000), and furniture and fixtures ($26,000).</w:t>
      </w:r>
    </w:p>
    <w:p>
      <w:pPr>
        <w:spacing w:after="0" w:line="174" w:lineRule="exact"/>
        <w:rPr>
          <w:rFonts w:ascii="Courier New" w:cs="Courier New" w:eastAsia="Courier New" w:hAnsi="Courier New"/>
          <w:sz w:val="15"/>
          <w:szCs w:val="15"/>
          <w:color w:val="auto"/>
        </w:rPr>
      </w:pPr>
    </w:p>
    <w:p>
      <w:pPr>
        <w:ind w:left="350" w:right="3699" w:hanging="350"/>
        <w:spacing w:after="0" w:line="235" w:lineRule="auto"/>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write-down of the pilot plant was based on an independent property appraisal.</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9"/>
          </w:cols>
          <w:pgMar w:left="230" w:top="452" w:right="1440" w:bottom="1440" w:gutter="0" w:footer="0" w:header="0"/>
        </w:sectPr>
      </w:pPr>
    </w:p>
    <w:bookmarkStart w:id="44" w:name="page45"/>
    <w:bookmarkEnd w:id="44"/>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75" w:lineRule="exact"/>
        <w:rPr>
          <w:sz w:val="20"/>
          <w:szCs w:val="20"/>
          <w:color w:val="auto"/>
        </w:rPr>
      </w:pPr>
    </w:p>
    <w:p>
      <w:pPr>
        <w:ind w:left="10" w:right="3359" w:hanging="10"/>
        <w:spacing w:after="0" w:line="235" w:lineRule="auto"/>
        <w:tabs>
          <w:tab w:leader="none" w:pos="36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1"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held for sale at December 31, 2000 and 1999, consisted of</w:t>
      </w:r>
    </w:p>
    <w:p>
      <w:pPr>
        <w:spacing w:after="0" w:line="4" w:lineRule="exact"/>
        <w:rPr>
          <w:rFonts w:ascii="Courier New" w:cs="Courier New" w:eastAsia="Courier New" w:hAnsi="Courier New"/>
          <w:sz w:val="15"/>
          <w:szCs w:val="15"/>
          <w:color w:val="auto"/>
        </w:rPr>
      </w:pPr>
    </w:p>
    <w:p>
      <w:pPr>
        <w:ind w:left="1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 million relating to the Company's pilot plant facility located in Lincoln, Rhode Island. The company suspended depreciation of these assets in 1999. The balance reflected the $300,000 write-down included as part of the additional wind-down expenses recognized in accordance with Financial 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171"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In September 1997, a merger of a wholly owned subsidiary of the company and StemCells California, Inc. was completed. As part of the acquisition of StemCells, Richard M. Rose, M.D., became President, Chief Executive Officer and director of the Company and Dr. Irving Weissman became a director of the Company. 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w:t>
      </w:r>
    </w:p>
    <w:p>
      <w:pPr>
        <w:spacing w:after="0" w:line="7" w:lineRule="exact"/>
        <w:rPr>
          <w:sz w:val="20"/>
          <w:szCs w:val="20"/>
          <w:color w:val="auto"/>
        </w:rPr>
      </w:pPr>
    </w:p>
    <w:p>
      <w:pPr>
        <w:ind w:left="10" w:right="3179"/>
        <w:spacing w:after="0" w:line="260" w:lineRule="auto"/>
        <w:rPr>
          <w:sz w:val="20"/>
          <w:szCs w:val="20"/>
          <w:color w:val="auto"/>
        </w:rPr>
      </w:pPr>
      <w:r>
        <w:rPr>
          <w:rFonts w:ascii="Courier New" w:cs="Courier New" w:eastAsia="Courier New" w:hAnsi="Courier New"/>
          <w:sz w:val="14"/>
          <w:szCs w:val="14"/>
          <w:color w:val="auto"/>
        </w:rPr>
        <w:t>Dr. Anderson, the Company recorded deferred compensation of $1,750,000, the fair value of such options at the date of grant, which will be amortized over an eight-year period. The fair value was determined using the Black-Scholes method.</w:t>
      </w:r>
    </w:p>
    <w:p>
      <w:pPr>
        <w:spacing w:after="0" w:line="163"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will vest at 50,000 per year on September 25, until September 25, 2005, when the final 100,000 shares will vest. The exercise price remains $5.25 per share. The Company recorded $1,647,000 as compensation expense for the fair market value of the vested portion of such options in an amount determined using the Black-Scholes method. The deferred compensation expense associated with the unvested portion of the grants was determined to be approximately $1,338,000. As part of the revision of the options, Drs. Weissman and Gage relinquished all rights under an agreement. These individuals had the right to license the non-brain stem cell technology in exchange for a payment to the Company equal to all prior funding for such research plus royalty payments. We plan to revalue the options using the Black-Scholes method on a quarterly basis and recognize additional compensation expense accordingly.</w:t>
      </w:r>
    </w:p>
    <w:p>
      <w:pPr>
        <w:spacing w:after="0" w:line="18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9"/>
          </w:cols>
          <w:pgMar w:left="230" w:top="452" w:right="1440" w:bottom="1440" w:gutter="0" w:footer="0" w:header="0"/>
        </w:sectPr>
      </w:pPr>
    </w:p>
    <w:bookmarkStart w:id="45" w:name="page46"/>
    <w:bookmarkEnd w:id="45"/>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350" w:hanging="350"/>
        <w:spacing w:after="0"/>
        <w:tabs>
          <w:tab w:leader="none" w:pos="3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jc w:val="both"/>
        <w:ind w:left="10" w:right="3619" w:firstLine="353"/>
        <w:spacing w:after="0" w:line="237"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Therapeutics, Ltd., (Modex) as an independent company.</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from that date.</w:t>
      </w:r>
    </w:p>
    <w:p>
      <w:pPr>
        <w:spacing w:after="0" w:line="176" w:lineRule="exact"/>
        <w:rPr>
          <w:sz w:val="20"/>
          <w:szCs w:val="20"/>
          <w:color w:val="auto"/>
        </w:rPr>
      </w:pPr>
    </w:p>
    <w:p>
      <w:pPr>
        <w:ind w:left="10" w:right="3799" w:firstLine="353"/>
        <w:spacing w:after="0" w:line="256" w:lineRule="auto"/>
        <w:rPr>
          <w:sz w:val="20"/>
          <w:szCs w:val="20"/>
          <w:color w:val="auto"/>
        </w:rPr>
      </w:pPr>
      <w:r>
        <w:rPr>
          <w:rFonts w:ascii="Courier New" w:cs="Courier New" w:eastAsia="Courier New" w:hAnsi="Courier New"/>
          <w:sz w:val="14"/>
          <w:szCs w:val="14"/>
          <w:color w:val="auto"/>
        </w:rPr>
        <w:t>At December 31, 2000 the Company owned 126,193 shares of Modex. Modex completed an initial public offering of shares on the Swiss Exchange on</w:t>
      </w:r>
    </w:p>
    <w:p>
      <w:pPr>
        <w:spacing w:after="0" w:line="1"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June 23, 2000. Accordingly, with an established market value, the investment is recorded as available-for-sale at a fair market value of $16,356,334 as at December 31, 2000. The unrealized gain was reported as other comprehensive income in the statement of stockholders' equity.</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170" w:lineRule="exact"/>
        <w:rPr>
          <w:sz w:val="20"/>
          <w:szCs w:val="20"/>
          <w:color w:val="auto"/>
        </w:rPr>
      </w:pPr>
    </w:p>
    <w:p>
      <w:pPr>
        <w:ind w:left="350" w:hanging="350"/>
        <w:spacing w:after="0"/>
        <w:tabs>
          <w:tab w:leader="none" w:pos="3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22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760" w:type="dxa"/>
            <w:vAlign w:val="bottom"/>
          </w:tcPr>
          <w:p>
            <w:pPr>
              <w:spacing w:after="0"/>
              <w:rPr>
                <w:sz w:val="14"/>
                <w:szCs w:val="14"/>
                <w:color w:val="auto"/>
              </w:rPr>
            </w:pPr>
          </w:p>
        </w:tc>
        <w:tc>
          <w:tcPr>
            <w:tcW w:w="2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703,095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665,890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1,766,448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1,691,136</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188,736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219,260</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2,658,279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2,576,286</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(1,207,218)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(828,401)</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$1,451,061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$1,747,885</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259" w:firstLine="353"/>
        <w:spacing w:after="0" w:line="235" w:lineRule="auto"/>
        <w:rPr>
          <w:sz w:val="20"/>
          <w:szCs w:val="20"/>
          <w:color w:val="auto"/>
        </w:rPr>
      </w:pPr>
      <w:r>
        <w:rPr>
          <w:rFonts w:ascii="Courier New" w:cs="Courier New" w:eastAsia="Courier New" w:hAnsi="Courier New"/>
          <w:sz w:val="15"/>
          <w:szCs w:val="15"/>
          <w:color w:val="auto"/>
        </w:rPr>
        <w:t>Depreciation expense was $451,000, $1,436,000, and $1,720,000 for the years ending December 31, 2000, 1999 and 1998, respectively.</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part of restructuring our operations, sale of our encapsulated cell technology ("ECT"), and relocation of our corporate headquarters to Sunnyvale, California, we identified fixed assets associated with the ECT or otherwise no longer needed. In December of 1999, we disposed of these excess fixed assets, realizing proceeds of approximately $746,000. These assets had a net book value of approximately $1,063,000 after a write-down of 800,000, which was based on an estimate of expected sale proceeds.</w:t>
      </w:r>
    </w:p>
    <w:p>
      <w:pPr>
        <w:spacing w:after="0" w:line="177"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Certain property, plant and equipment have been acquired under capital lease obligations. These assets totaled $5,827,000 at December 31, 2000 and 1999, respectively, with related accumulated amortization of $2,747,000 at December 31, 2000 and 1999, respectively. As a result of the Company's</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9"/>
          </w:cols>
          <w:pgMar w:left="230" w:top="452" w:right="1440" w:bottom="1440" w:gutter="0" w:footer="0" w:header="0"/>
        </w:sectPr>
      </w:pPr>
    </w:p>
    <w:bookmarkStart w:id="46" w:name="page47"/>
    <w:bookmarkEnd w:id="46"/>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350" w:hanging="350"/>
        <w:spacing w:after="0"/>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(CONTINUED)</w:t>
      </w:r>
    </w:p>
    <w:p>
      <w:pPr>
        <w:spacing w:after="0" w:line="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decision to exit ECT and relocate to Sunnyvale, California, this property has been classified as held for sale.</w:t>
      </w:r>
    </w:p>
    <w:p>
      <w:pPr>
        <w:spacing w:after="0" w:line="170" w:lineRule="exact"/>
        <w:rPr>
          <w:sz w:val="20"/>
          <w:szCs w:val="20"/>
          <w:color w:val="auto"/>
        </w:rPr>
      </w:pPr>
    </w:p>
    <w:p>
      <w:pPr>
        <w:ind w:left="350" w:hanging="350"/>
        <w:spacing w:after="0"/>
        <w:tabs>
          <w:tab w:leader="none" w:pos="3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76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76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Patents, net.........................................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629,203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708,823</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License agreements, net..............................</w:t>
            </w:r>
          </w:p>
        </w:tc>
        <w:tc>
          <w:tcPr>
            <w:tcW w:w="16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669,000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282,750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Security deposit--building lease.....................</w:t>
            </w:r>
          </w:p>
        </w:tc>
        <w:tc>
          <w:tcPr>
            <w:tcW w:w="16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Deposit--other.......................................</w:t>
            </w:r>
          </w:p>
        </w:tc>
        <w:tc>
          <w:tcPr>
            <w:tcW w:w="16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16,321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Deferred financing costs, net........................</w:t>
            </w:r>
          </w:p>
        </w:tc>
        <w:tc>
          <w:tcPr>
            <w:tcW w:w="16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109,388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117,195</w:t>
            </w:r>
          </w:p>
        </w:tc>
      </w:tr>
      <w:tr>
        <w:trPr>
          <w:trHeight w:val="170"/>
        </w:trPr>
        <w:tc>
          <w:tcPr>
            <w:tcW w:w="476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2,173,912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$1,858,768</w:t>
            </w:r>
          </w:p>
        </w:tc>
      </w:tr>
      <w:tr>
        <w:trPr>
          <w:trHeight w:val="170"/>
        </w:trPr>
        <w:tc>
          <w:tcPr>
            <w:tcW w:w="476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359" w:firstLine="353"/>
        <w:spacing w:after="0" w:line="235" w:lineRule="auto"/>
        <w:rPr>
          <w:sz w:val="20"/>
          <w:szCs w:val="20"/>
          <w:color w:val="auto"/>
        </w:rPr>
      </w:pPr>
      <w:r>
        <w:rPr>
          <w:rFonts w:ascii="Courier New" w:cs="Courier New" w:eastAsia="Courier New" w:hAnsi="Courier New"/>
          <w:sz w:val="15"/>
          <w:szCs w:val="15"/>
          <w:color w:val="auto"/>
        </w:rPr>
        <w:t>At December 31, 2000 and 1999, accumulated amortization was $1,140,000 and $857,000, respectively, for patents and license agreements.</w:t>
      </w:r>
    </w:p>
    <w:p>
      <w:pPr>
        <w:spacing w:after="0" w:line="170" w:lineRule="exact"/>
        <w:rPr>
          <w:sz w:val="20"/>
          <w:szCs w:val="20"/>
          <w:color w:val="auto"/>
        </w:rPr>
      </w:pPr>
    </w:p>
    <w:p>
      <w:pPr>
        <w:ind w:left="350" w:hanging="350"/>
        <w:spacing w:after="0"/>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7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0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0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External services.......................................</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$219,051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$ 97,439</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Employee compensation...................................</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109,007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306,342</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Collaborative research..................................</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222,140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509,300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344,625</w:t>
            </w:r>
          </w:p>
        </w:tc>
      </w:tr>
      <w:tr>
        <w:trPr>
          <w:trHeight w:val="170"/>
        </w:trPr>
        <w:tc>
          <w:tcPr>
            <w:tcW w:w="50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$837,358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$970,546</w:t>
            </w:r>
          </w:p>
        </w:tc>
      </w:tr>
      <w:tr>
        <w:trPr>
          <w:trHeight w:val="170"/>
        </w:trPr>
        <w:tc>
          <w:tcPr>
            <w:tcW w:w="50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50" w:hanging="350"/>
        <w:spacing w:after="0"/>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9"/>
          </w:cols>
          <w:pgMar w:left="230" w:top="452" w:right="1440" w:bottom="1440" w:gutter="0" w:footer="0" w:header="0"/>
        </w:sectPr>
      </w:pPr>
    </w:p>
    <w:bookmarkStart w:id="47" w:name="page48"/>
    <w:bookmarkEnd w:id="47"/>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350" w:hanging="350"/>
        <w:spacing w:after="0"/>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Funding Agreement dated as of June 22, 1989. On execution and delivery of this Agreement, IRBA agreed to return to the Company the full amount of the Company's debt serve reserve ("Reserve Funds") of approximately $610,000 of principal and interest, relating to the bonds the Company has with IRBA and RIIFC. In order to avoid the loss of interest on the Reserve Funds due to early termination of certain investments, the parties agreed that the Company would render a net payment to RIPSAT in the amount of approximately $562,000.</w:t>
      </w:r>
    </w:p>
    <w:p>
      <w:pPr>
        <w:spacing w:after="0" w:line="177"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Company entered into a fifteen-year lease for a laboratory facility in connection with a sale and leaseback arrangement in 1997. The lease has a rent escalation clause and accordingly, the Company is recognizing rent expense on a straight line basis. At December 31, 2000, the Company has $705,746 in deferred rent expense.</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 The new facility includes vivarium space, laboratories, offices, and a GMP (Good Manufacturing Practices) suite. GMP facilities can be used to manufacture materials for clinical trials. The rent will average approximately $3.15 million per year over the term of the lease.</w:t>
      </w:r>
    </w:p>
    <w:p>
      <w:pPr>
        <w:spacing w:after="0" w:line="176" w:lineRule="exact"/>
        <w:rPr>
          <w:sz w:val="20"/>
          <w:szCs w:val="20"/>
          <w:color w:val="auto"/>
        </w:rPr>
      </w:pPr>
    </w:p>
    <w:p>
      <w:pPr>
        <w:ind w:left="10" w:right="3359" w:firstLine="353"/>
        <w:spacing w:after="0" w:line="235" w:lineRule="auto"/>
        <w:rPr>
          <w:sz w:val="20"/>
          <w:szCs w:val="20"/>
          <w:color w:val="auto"/>
        </w:rPr>
      </w:pPr>
      <w:r>
        <w:rPr>
          <w:rFonts w:ascii="Courier New" w:cs="Courier New" w:eastAsia="Courier New" w:hAnsi="Courier New"/>
          <w:sz w:val="15"/>
          <w:szCs w:val="15"/>
          <w:color w:val="auto"/>
        </w:rPr>
        <w:t>As of December 31, 2000, future minimum lease payments under operating and capital leases and principal payments on equipment loans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CAPITAL</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OPERATING</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SUBLEASE</w:t>
            </w:r>
          </w:p>
        </w:tc>
      </w:tr>
      <w:tr>
        <w:trPr>
          <w:trHeight w:val="170"/>
        </w:trPr>
        <w:tc>
          <w:tcPr>
            <w:tcW w:w="360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LEASES</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LEASES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INCOME</w:t>
            </w:r>
          </w:p>
        </w:tc>
      </w:tr>
      <w:tr>
        <w:trPr>
          <w:trHeight w:val="170"/>
        </w:trPr>
        <w:tc>
          <w:tcPr>
            <w:tcW w:w="360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589,217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$ 3,584,061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295,854</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519,719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2,392,988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400,658</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436,909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4,568,274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395,676</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2004....................................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425,713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4,677,197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416,507</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2005....................................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412,587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4,789,388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437,338</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2,311,577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8,797,417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130,761</w:t>
            </w:r>
          </w:p>
        </w:tc>
      </w:tr>
      <w:tr>
        <w:trPr>
          <w:trHeight w:val="170"/>
        </w:trPr>
        <w:tc>
          <w:tcPr>
            <w:tcW w:w="360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Total minimum lease payments............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4,695,722</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$28,809,325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$2,076,794</w:t>
            </w:r>
          </w:p>
        </w:tc>
      </w:tr>
      <w:tr>
        <w:trPr>
          <w:trHeight w:val="170"/>
        </w:trPr>
        <w:tc>
          <w:tcPr>
            <w:tcW w:w="360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Less amounts representing interest......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1,758,639</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w:t>
            </w: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payments..............................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2,937,083</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Less current maturities.................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332,083</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w:t>
            </w: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 maturities....................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$2,605,000</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344" w:lineRule="exact"/>
        <w:rPr>
          <w:sz w:val="20"/>
          <w:szCs w:val="20"/>
          <w:color w:val="auto"/>
        </w:rPr>
      </w:pPr>
    </w:p>
    <w:p>
      <w:pPr>
        <w:ind w:left="10" w:right="3699" w:firstLine="353"/>
        <w:spacing w:after="0" w:line="235" w:lineRule="auto"/>
        <w:rPr>
          <w:sz w:val="20"/>
          <w:szCs w:val="20"/>
          <w:color w:val="auto"/>
        </w:rPr>
      </w:pPr>
      <w:r>
        <w:rPr>
          <w:rFonts w:ascii="Courier New" w:cs="Courier New" w:eastAsia="Courier New" w:hAnsi="Courier New"/>
          <w:sz w:val="15"/>
          <w:szCs w:val="15"/>
          <w:color w:val="auto"/>
        </w:rPr>
        <w:t>Rent expense for the years ended December 31, 2000, 1999 and 1998, was $1,111,000, $947,000 and $1,052,000, respectively.</w:t>
      </w:r>
    </w:p>
    <w:p>
      <w:pPr>
        <w:spacing w:after="0" w:line="176" w:lineRule="exact"/>
        <w:rPr>
          <w:sz w:val="20"/>
          <w:szCs w:val="20"/>
          <w:color w:val="auto"/>
        </w:rPr>
      </w:pPr>
    </w:p>
    <w:p>
      <w:pPr>
        <w:ind w:left="10" w:right="8019" w:hanging="10"/>
        <w:spacing w:after="0" w:line="513" w:lineRule="auto"/>
        <w:tabs>
          <w:tab w:leader="none" w:pos="45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SALE OF COMMON STOCK</w:t>
      </w: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On August 3, 2000, the Company completed a $4 million common stock financing transaction with Millennium Partners, LP (the "Fund"). StemCells received $3 million of the purchase price at the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9"/>
          </w:cols>
          <w:pgMar w:left="230" w:top="452" w:right="1440" w:bottom="1440" w:gutter="0" w:footer="0" w:header="0"/>
        </w:sectPr>
      </w:pPr>
    </w:p>
    <w:bookmarkStart w:id="48" w:name="page49"/>
    <w:bookmarkEnd w:id="48"/>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5"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closing and received the remaining $1 million upon effectiveness of a registration statement covering the shares owned by the Fund. The Fund purchased the Company's common stock and warrants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No portion of the sale proceeds was assigned to the adjustable warrants, as the ultimate number of shares issuable upon exercise of the warrants was not determinable and the net impact on the Company's equity from any such allocation of proceeds would have been zero. The Fund also received a five-year warrant to purchase up to 101,587 shares of common stock at $4.725 per share. This warrant is callable at any time by StemCells at</w:t>
      </w:r>
    </w:p>
    <w:p>
      <w:pPr>
        <w:spacing w:after="0" w:line="177"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$7.875 per underlying share. The calculated value of this callable warrant using the Black-Scholes method is $376,888, which was treated as a credit to paid in capital in stockholders' equity. The Company accounts for the sale of the stock and warrants or the exercise of warrants by adding that portion of the proceeds equal to the par value of the new shares to common stock and the balance, including the value of the warrants, to paid in capital. In addition, any repurchase of the shares or warrants by the Company would also be accounted for through paid in capital.</w:t>
      </w:r>
    </w:p>
    <w:p>
      <w:pPr>
        <w:spacing w:after="0" w:line="178"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 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and the Fund paid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w:t>
      </w:r>
    </w:p>
    <w:p>
      <w:pPr>
        <w:spacing w:after="0" w:line="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w:t>
      </w:r>
    </w:p>
    <w:p>
      <w:pPr>
        <w:spacing w:after="0" w:line="7"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$10.05 per underlying share. The calculated value of this callable warrant using the Black-Scholes method is $139,897, which the Company accounted for as a credit to paid in capital.</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9"/>
          </w:cols>
          <w:pgMar w:left="230" w:top="452" w:right="1440" w:bottom="1440" w:gutter="0" w:footer="0" w:header="0"/>
        </w:sectPr>
      </w:pPr>
    </w:p>
    <w:bookmarkStart w:id="49" w:name="page50"/>
    <w:bookmarkEnd w:id="49"/>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warrant also limits the number of shares that can be beneficially owned by the Fund to 9.99% of the total number of outstanding shares of Common Stock.</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REDEEMABLE COMMON STOCK</w:t>
      </w:r>
    </w:p>
    <w:p>
      <w:pPr>
        <w:spacing w:after="0" w:line="175" w:lineRule="exact"/>
        <w:rPr>
          <w:sz w:val="20"/>
          <w:szCs w:val="20"/>
          <w:color w:val="auto"/>
        </w:rPr>
      </w:pPr>
    </w:p>
    <w:p>
      <w:pPr>
        <w:ind w:left="10" w:right="3359" w:firstLine="353"/>
        <w:spacing w:after="0" w:line="256" w:lineRule="auto"/>
        <w:rPr>
          <w:sz w:val="20"/>
          <w:szCs w:val="20"/>
          <w:color w:val="auto"/>
        </w:rPr>
      </w:pPr>
      <w:r>
        <w:rPr>
          <w:rFonts w:ascii="Courier New" w:cs="Courier New" w:eastAsia="Courier New" w:hAnsi="Courier New"/>
          <w:sz w:val="14"/>
          <w:szCs w:val="14"/>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studies by more than</w:t>
      </w:r>
    </w:p>
    <w:p>
      <w:pPr>
        <w:spacing w:after="0" w:line="3"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 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reclassified the amount currently recorded as Redeemable Common Stock ($5,248,000) to Stockholders' Equity in March 2000. The Company and Genentech also agreed that all of the agreements between them were terminated and that neither had any claim to the intellectual property of the other.</w:t>
      </w:r>
    </w:p>
    <w:p>
      <w:pPr>
        <w:spacing w:after="0" w:line="15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ISSUED FOR TECHNOLOGY LICENSES</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Under a 1997 License Agreement with NeuroSpheres, Ltd., the Company obtained</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an exclusive patent license in the field of transplantation. The Company entered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into an additional license agreement with NeuroSpheres as of October 31, 2000,</w:t>
      </w:r>
    </w:p>
    <w:p>
      <w:pPr>
        <w:ind w:left="10"/>
        <w:spacing w:after="0"/>
        <w:rPr>
          <w:sz w:val="20"/>
          <w:szCs w:val="20"/>
          <w:color w:val="auto"/>
        </w:rPr>
      </w:pPr>
      <w:r>
        <w:rPr>
          <w:rFonts w:ascii="Courier New" w:cs="Courier New" w:eastAsia="Courier New" w:hAnsi="Courier New"/>
          <w:sz w:val="15"/>
          <w:szCs w:val="15"/>
          <w:color w:val="auto"/>
        </w:rPr>
        <w:t>under which the Company obtained an exclusive license in the field of</w:t>
      </w:r>
    </w:p>
    <w:p>
      <w:pPr>
        <w:ind w:left="10"/>
        <w:spacing w:after="0"/>
        <w:rPr>
          <w:sz w:val="20"/>
          <w:szCs w:val="20"/>
          <w:color w:val="auto"/>
        </w:rPr>
      </w:pPr>
      <w:r>
        <w:rPr>
          <w:rFonts w:ascii="Courier New" w:cs="Courier New" w:eastAsia="Courier New" w:hAnsi="Courier New"/>
          <w:sz w:val="15"/>
          <w:szCs w:val="15"/>
          <w:color w:val="auto"/>
        </w:rPr>
        <w:t>non-transplant uses, such as drug discovery and drug testing, so that together</w:t>
      </w:r>
    </w:p>
    <w:p>
      <w:pPr>
        <w:ind w:left="10"/>
        <w:spacing w:after="0" w:line="238" w:lineRule="auto"/>
        <w:rPr>
          <w:sz w:val="20"/>
          <w:szCs w:val="20"/>
          <w:color w:val="auto"/>
        </w:rPr>
      </w:pPr>
      <w:r>
        <w:rPr>
          <w:rFonts w:ascii="Courier New" w:cs="Courier New" w:eastAsia="Courier New" w:hAnsi="Courier New"/>
          <w:sz w:val="15"/>
          <w:szCs w:val="15"/>
          <w:color w:val="auto"/>
        </w:rPr>
        <w:t>the licenses are exclusive for all uses of the technology. The Company made</w:t>
      </w:r>
    </w:p>
    <w:p>
      <w:pPr>
        <w:ind w:left="10"/>
        <w:spacing w:after="0"/>
        <w:rPr>
          <w:sz w:val="20"/>
          <w:szCs w:val="20"/>
          <w:color w:val="auto"/>
        </w:rPr>
      </w:pPr>
      <w:r>
        <w:rPr>
          <w:rFonts w:ascii="Courier New" w:cs="Courier New" w:eastAsia="Courier New" w:hAnsi="Courier New"/>
          <w:sz w:val="15"/>
          <w:szCs w:val="15"/>
          <w:color w:val="auto"/>
        </w:rPr>
        <w:t>up-front payments to NeuroSpheres of 65,000 shares of its common stock and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$50,000, and will make additional cash payments when milestones are achieved in</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the non-transplant field, or in any products employing NeuroSpheres patents for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generating cells of the blood and immune system from neural stem cells.</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Company also entered into license agreements with the California Institute of Technology and issued 12,800 shares of common stock upon execution of the license agreements. The Company must pay an additional $10,000 upon the issuance of the patent licensed under the relevant agreement</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COMMON STOCK ISSUED</w:t>
      </w:r>
    </w:p>
    <w:p>
      <w:pPr>
        <w:spacing w:after="0" w:line="175" w:lineRule="exact"/>
        <w:rPr>
          <w:sz w:val="20"/>
          <w:szCs w:val="20"/>
          <w:color w:val="auto"/>
        </w:rPr>
      </w:pPr>
    </w:p>
    <w:p>
      <w:pPr>
        <w:ind w:left="10" w:right="3179" w:firstLine="353"/>
        <w:spacing w:after="0" w:line="258" w:lineRule="auto"/>
        <w:rPr>
          <w:sz w:val="20"/>
          <w:szCs w:val="20"/>
          <w:color w:val="auto"/>
        </w:rPr>
      </w:pPr>
      <w:r>
        <w:rPr>
          <w:rFonts w:ascii="Courier New" w:cs="Courier New" w:eastAsia="Courier New" w:hAnsi="Courier New"/>
          <w:sz w:val="14"/>
          <w:szCs w:val="14"/>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9"/>
          </w:cols>
          <w:pgMar w:left="230" w:top="452" w:right="1440" w:bottom="1440" w:gutter="0" w:footer="0" w:header="0"/>
        </w:sectPr>
      </w:pPr>
    </w:p>
    <w:bookmarkStart w:id="50" w:name="page51"/>
    <w:bookmarkEnd w:id="50"/>
    <w:p>
      <w:pPr>
        <w:jc w:val="center"/>
        <w:ind w:right="343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SALE OF 6% CUMULATIVE CONVERTIBLE PREFERRED STOCK</w:t>
      </w:r>
    </w:p>
    <w:p>
      <w:pPr>
        <w:spacing w:after="0" w:line="175" w:lineRule="exact"/>
        <w:rPr>
          <w:sz w:val="20"/>
          <w:szCs w:val="20"/>
          <w:color w:val="auto"/>
        </w:rPr>
      </w:pPr>
    </w:p>
    <w:p>
      <w:pPr>
        <w:ind w:left="10" w:right="3360" w:firstLine="353"/>
        <w:spacing w:after="0" w:line="238" w:lineRule="auto"/>
        <w:rPr>
          <w:sz w:val="20"/>
          <w:szCs w:val="20"/>
          <w:color w:val="auto"/>
        </w:rPr>
      </w:pPr>
      <w:r>
        <w:rPr>
          <w:rFonts w:ascii="Courier New" w:cs="Courier New" w:eastAsia="Courier New" w:hAnsi="Courier New"/>
          <w:sz w:val="15"/>
          <w:szCs w:val="15"/>
          <w:color w:val="auto"/>
        </w:rPr>
        <w:t>On April 13, 2000 the Company issued 1,500 shares of 6% cumulative convertible preferred stock plus a warrant for 75,000 shares of our common stock to two members of its Board of Directors for $1.500,000 on terms more favorable to the Company than it was then able to obtain from outside investors. The shares are convertible at the option of the holders into common stock at $3.77 per share (based on the face value of the preferred shares). The conversion price may be below the 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17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5" w:lineRule="exact"/>
        <w:rPr>
          <w:sz w:val="20"/>
          <w:szCs w:val="20"/>
          <w:color w:val="auto"/>
        </w:rPr>
      </w:pPr>
    </w:p>
    <w:p>
      <w:pPr>
        <w:ind w:left="10" w:right="3360" w:firstLine="353"/>
        <w:spacing w:after="0" w:line="238" w:lineRule="auto"/>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2000, the Company had reserved 3,828,371 shares of common stock for the exercise of stock options.</w:t>
      </w:r>
    </w:p>
    <w:p>
      <w:pPr>
        <w:spacing w:after="0" w:line="180" w:lineRule="exact"/>
        <w:rPr>
          <w:sz w:val="20"/>
          <w:szCs w:val="20"/>
          <w:color w:val="auto"/>
        </w:rPr>
      </w:pPr>
    </w:p>
    <w:p>
      <w:pPr>
        <w:ind w:left="10" w:right="3620" w:firstLine="353"/>
        <w:spacing w:after="0" w:line="237"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4"/>
              </w:rPr>
              <w:t>2000</w:t>
            </w:r>
          </w:p>
        </w:tc>
        <w:tc>
          <w:tcPr>
            <w:tcW w:w="1060" w:type="dxa"/>
            <w:vAlign w:val="bottom"/>
          </w:tcPr>
          <w:p>
            <w:pPr>
              <w:spacing w:after="0"/>
              <w:rPr>
                <w:sz w:val="14"/>
                <w:szCs w:val="14"/>
                <w:color w:val="auto"/>
              </w:rPr>
            </w:pPr>
          </w:p>
        </w:tc>
        <w:tc>
          <w:tcPr>
            <w:tcW w:w="15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spacing w:after="0"/>
              <w:rPr>
                <w:sz w:val="14"/>
                <w:szCs w:val="14"/>
                <w:color w:val="auto"/>
              </w:rPr>
            </w:pPr>
          </w:p>
        </w:tc>
        <w:tc>
          <w:tcPr>
            <w:tcW w:w="142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4"/>
              </w:rPr>
              <w:t>1998</w:t>
            </w:r>
          </w:p>
        </w:tc>
      </w:tr>
      <w:tr>
        <w:trPr>
          <w:trHeight w:val="170"/>
        </w:trPr>
        <w:tc>
          <w:tcPr>
            <w:tcW w:w="2820" w:type="dxa"/>
            <w:vAlign w:val="bottom"/>
          </w:tcPr>
          <w:p>
            <w:pPr>
              <w:spacing w:after="0"/>
              <w:rPr>
                <w:sz w:val="14"/>
                <w:szCs w:val="14"/>
                <w:color w:val="auto"/>
              </w:rPr>
            </w:pPr>
          </w:p>
        </w:tc>
        <w:tc>
          <w:tcPr>
            <w:tcW w:w="25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WEIGHTED</w:t>
            </w:r>
          </w:p>
        </w:tc>
        <w:tc>
          <w:tcPr>
            <w:tcW w:w="1060" w:type="dxa"/>
            <w:vAlign w:val="bottom"/>
          </w:tcPr>
          <w:p>
            <w:pPr>
              <w:spacing w:after="0"/>
              <w:rPr>
                <w:sz w:val="14"/>
                <w:szCs w:val="14"/>
                <w:color w:val="auto"/>
              </w:rPr>
            </w:pP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AVERAGE</w:t>
            </w:r>
          </w:p>
        </w:tc>
        <w:tc>
          <w:tcPr>
            <w:tcW w:w="1060" w:type="dxa"/>
            <w:vAlign w:val="bottom"/>
          </w:tcPr>
          <w:p>
            <w:pPr>
              <w:spacing w:after="0"/>
              <w:rPr>
                <w:sz w:val="14"/>
                <w:szCs w:val="14"/>
                <w:color w:val="auto"/>
              </w:rPr>
            </w:pP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28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OPTIONS</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EXERCISE PRICE</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OPTIONS</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EXERCISE PRICE</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0"/>
        </w:trPr>
        <w:tc>
          <w:tcPr>
            <w:tcW w:w="28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939,335</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rPr>
              <w:t>$2.65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1,654,126</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2,446,573</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2,485,090</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4.08</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536,078</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1,174,118</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(540,927)</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(604,362)</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(166,532)</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4.77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(646,507)</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7.08</w:t>
            </w:r>
          </w:p>
        </w:tc>
      </w:tr>
      <w:tr>
        <w:trPr>
          <w:trHeight w:val="170"/>
        </w:trPr>
        <w:tc>
          <w:tcPr>
            <w:tcW w:w="28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2,716,966</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4.32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939,335</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1,654,126</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$3.62</w:t>
            </w:r>
          </w:p>
        </w:tc>
      </w:tr>
      <w:tr>
        <w:trPr>
          <w:trHeight w:val="170"/>
        </w:trPr>
        <w:tc>
          <w:tcPr>
            <w:tcW w:w="28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731,523</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rPr>
              <w:t>$4.01</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594,216</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1,108,936</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$4.33</w:t>
            </w:r>
          </w:p>
        </w:tc>
      </w:tr>
      <w:tr>
        <w:trPr>
          <w:trHeight w:val="170"/>
        </w:trPr>
        <w:tc>
          <w:tcPr>
            <w:tcW w:w="28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360" w:firstLine="353"/>
        <w:spacing w:after="0" w:line="238" w:lineRule="auto"/>
        <w:rPr>
          <w:sz w:val="20"/>
          <w:szCs w:val="20"/>
          <w:color w:val="auto"/>
        </w:rPr>
      </w:pPr>
      <w:r>
        <w:rPr>
          <w:rFonts w:ascii="Courier New" w:cs="Courier New" w:eastAsia="Courier New" w:hAnsi="Courier New"/>
          <w:sz w:val="15"/>
          <w:szCs w:val="15"/>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96,750 of these options vest and become exercisable only upon achievement of specified milestones, and the remaining 78,210 options vest over three years from the date of grant. Additionally, the Company adopted the 1997 StemCells, Inc. StemCells California Research Stock Option Plan (the StemCells California Research Plan) whereby an additional 2,000,000 shares of Common Stock have</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410"/>
          </w:cols>
          <w:pgMar w:left="230" w:top="452" w:right="1259" w:bottom="1440" w:gutter="0" w:footer="0" w:header="0"/>
        </w:sectPr>
      </w:pPr>
    </w:p>
    <w:bookmarkStart w:id="51" w:name="page52"/>
    <w:bookmarkEnd w:id="51"/>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been reserved. During 1997, the Company awarded options under the StemCells Research Plan to purchase 1.6 million shares of the Company's common stock to the Chief Executive Officer and scientific founders of StemCells at an exercise price of $5.25 per share; approximately 100,000 of these options were exercisable immediately, 1,031,000 of these options vest and become exercisable only upon achievement of specified milestones and the remaining 469,000 options vest over eight years. For the year 2000 the options have been incorporated into the number of options granted so as to be reflected in the total of options outstanding as of December 31, 2000</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FAS 123 DISCLOSURES</w:t>
      </w:r>
    </w:p>
    <w:p>
      <w:pPr>
        <w:spacing w:after="0" w:line="175" w:lineRule="exact"/>
        <w:rPr>
          <w:sz w:val="20"/>
          <w:szCs w:val="20"/>
          <w:color w:val="auto"/>
        </w:rPr>
      </w:pPr>
    </w:p>
    <w:p>
      <w:pPr>
        <w:ind w:left="10" w:right="3259" w:firstLine="353"/>
        <w:spacing w:after="0" w:line="259" w:lineRule="auto"/>
        <w:rPr>
          <w:sz w:val="20"/>
          <w:szCs w:val="20"/>
          <w:color w:val="auto"/>
        </w:rPr>
      </w:pPr>
      <w:r>
        <w:rPr>
          <w:rFonts w:ascii="Courier New" w:cs="Courier New" w:eastAsia="Courier New" w:hAnsi="Courier New"/>
          <w:sz w:val="14"/>
          <w:szCs w:val="14"/>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63" w:lineRule="exact"/>
        <w:rPr>
          <w:sz w:val="20"/>
          <w:szCs w:val="20"/>
          <w:color w:val="auto"/>
        </w:rPr>
      </w:pPr>
    </w:p>
    <w:p>
      <w:pPr>
        <w:ind w:left="10" w:right="3539" w:firstLine="353"/>
        <w:spacing w:after="0" w:line="265"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2000:</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960" w:type="dxa"/>
            <w:vAlign w:val="bottom"/>
          </w:tcPr>
          <w:p>
            <w:pPr>
              <w:spacing w:after="0"/>
              <w:rPr>
                <w:sz w:val="14"/>
                <w:szCs w:val="14"/>
                <w:color w:val="auto"/>
              </w:rPr>
            </w:pPr>
          </w:p>
        </w:tc>
        <w:tc>
          <w:tcPr>
            <w:tcW w:w="21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OPTIONS EXERCISABLE</w:t>
            </w:r>
          </w:p>
        </w:tc>
      </w:tr>
      <w:tr>
        <w:trPr>
          <w:trHeight w:val="170"/>
        </w:trPr>
        <w:tc>
          <w:tcPr>
            <w:tcW w:w="3780" w:type="dxa"/>
            <w:vAlign w:val="bottom"/>
          </w:tcPr>
          <w:p>
            <w:pPr>
              <w:spacing w:after="0"/>
              <w:rPr>
                <w:sz w:val="14"/>
                <w:szCs w:val="14"/>
                <w:color w:val="auto"/>
              </w:rPr>
            </w:pPr>
          </w:p>
        </w:tc>
        <w:tc>
          <w:tcPr>
            <w:tcW w:w="25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4"/>
              </w:rPr>
              <w:t>------------------------------------</w:t>
            </w:r>
          </w:p>
        </w:tc>
        <w:tc>
          <w:tcPr>
            <w:tcW w:w="960" w:type="dxa"/>
            <w:vAlign w:val="bottom"/>
          </w:tcPr>
          <w:p>
            <w:pPr>
              <w:spacing w:after="0"/>
              <w:rPr>
                <w:sz w:val="14"/>
                <w:szCs w:val="14"/>
                <w:color w:val="auto"/>
              </w:rPr>
            </w:pPr>
          </w:p>
        </w:tc>
        <w:tc>
          <w:tcPr>
            <w:tcW w:w="2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WEIGHTED</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AVERAGE</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WEIGHTED</w:t>
            </w:r>
          </w:p>
        </w:tc>
      </w:tr>
      <w:tr>
        <w:trPr>
          <w:trHeight w:val="170"/>
        </w:trPr>
        <w:tc>
          <w:tcPr>
            <w:tcW w:w="3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REMAINING</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CONTRACTUAL</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EXERCISE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LIFE (YRS.)</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EXERCISABLE</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Less than $5.00...........................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944,216</w:t>
            </w:r>
          </w:p>
        </w:tc>
        <w:tc>
          <w:tcPr>
            <w:tcW w:w="12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8.68</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$ 2.063</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370,023</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$ 1.53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$5.01 - $10.00............................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1,691,750</w:t>
            </w:r>
          </w:p>
        </w:tc>
        <w:tc>
          <w:tcPr>
            <w:tcW w:w="12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6.87</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5.26</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280,500</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5.27</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Greater than $10.00.......................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81,000</w:t>
            </w:r>
          </w:p>
        </w:tc>
        <w:tc>
          <w:tcPr>
            <w:tcW w:w="12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1.30</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11.03</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81,000</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11.03</w:t>
            </w:r>
          </w:p>
        </w:tc>
      </w:tr>
      <w:tr>
        <w:trPr>
          <w:trHeight w:val="170"/>
        </w:trPr>
        <w:tc>
          <w:tcPr>
            <w:tcW w:w="378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2,716,966</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731,523</w:t>
            </w:r>
          </w:p>
        </w:tc>
        <w:tc>
          <w:tcPr>
            <w:tcW w:w="92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pacing w:after="0" w:line="344"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2000, 1999, and 1998, as if the compensation cost for the option plans and the stock purchase plan had been determined based on the fair value at the grant date for grants in 2000, 1999, and 1998, consistent with the provisions of FAS 123:</w:t>
      </w: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80"/>
              </w:rPr>
              <w:t>---------------------------</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REPORTED</w:t>
            </w:r>
          </w:p>
        </w:tc>
        <w:tc>
          <w:tcPr>
            <w:tcW w:w="8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PRO FORMA</w:t>
            </w: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 REPORTED</w:t>
            </w:r>
          </w:p>
        </w:tc>
        <w:tc>
          <w:tcPr>
            <w:tcW w:w="10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PRO FORMA</w:t>
            </w: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 REPORTED</w:t>
            </w:r>
          </w:p>
        </w:tc>
        <w:tc>
          <w:tcPr>
            <w:tcW w:w="10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PRO FORMA</w:t>
            </w:r>
          </w:p>
        </w:tc>
      </w:tr>
      <w:tr>
        <w:trPr>
          <w:trHeight w:val="170"/>
        </w:trPr>
        <w:tc>
          <w:tcPr>
            <w:tcW w:w="19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(11,125,477)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(12,160,752)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(15,708,626)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(15,764,569)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(12,627,830)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(14,919,389)</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bl>
    <w:p>
      <w:pPr>
        <w:spacing w:after="0" w:line="344"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weighted average fair value per share of options granted during 2000, 1999 and 1998 was $4.13, $.82 and $3.40, respectively. The fair value of options and shares issued pursuant to the stock</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9"/>
          </w:cols>
          <w:pgMar w:left="230" w:top="452" w:right="1440" w:bottom="1440" w:gutter="0" w:footer="0" w:header="0"/>
        </w:sectPr>
      </w:pPr>
    </w:p>
    <w:bookmarkStart w:id="52" w:name="page53"/>
    <w:bookmarkEnd w:id="52"/>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purchase plan at the date of grant were estimated using the Black-Scholes model with the following weighted average assumptions: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220" w:type="dxa"/>
            <w:vAlign w:val="bottom"/>
          </w:tcPr>
          <w:p>
            <w:pPr>
              <w:spacing w:after="0"/>
              <w:rPr>
                <w:sz w:val="14"/>
                <w:szCs w:val="14"/>
                <w:color w:val="auto"/>
              </w:rPr>
            </w:pPr>
          </w:p>
        </w:tc>
        <w:tc>
          <w:tcPr>
            <w:tcW w:w="31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STOCK PURCHASE PLAN</w:t>
            </w:r>
          </w:p>
        </w:tc>
      </w:tr>
      <w:tr>
        <w:trPr>
          <w:trHeight w:val="170"/>
        </w:trPr>
        <w:tc>
          <w:tcPr>
            <w:tcW w:w="334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2"/>
              </w:rPr>
              <w:t>------------------------------------</w:t>
            </w:r>
          </w:p>
        </w:tc>
        <w:tc>
          <w:tcPr>
            <w:tcW w:w="122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34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Expected life (years)................</w:t>
            </w:r>
          </w:p>
        </w:tc>
        <w:tc>
          <w:tcPr>
            <w:tcW w:w="13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Interest rate........................</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6.5%</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Volatility...........................</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167.8</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96.7%</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63.5%</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63.5%</w:t>
            </w:r>
          </w:p>
        </w:tc>
      </w:tr>
    </w:tbl>
    <w:p>
      <w:pPr>
        <w:spacing w:after="0" w:line="344"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 On August 04, 1999 the board suspended the 1992 Employee Stock Purchase Plan.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effects on pro forma net loss and net loss per share of expensing the estimated fair value of stock options and shares issued pursuant to the stock purchase plan are not necessarily representative of the effects on reporting the results of operations for future years. As required by FAS 123, the Company has used the Black-Scholes model for option valuation, which method may not accurately value the options described.</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WARRANTS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issued warrants to purchase 8,952 shares of common stock in conjunction with the StemCells California merger, warrants to purchase 31,545 shares in conjunction with various equipment leasing agreements, and warrants to purchase 434,500 shares in connection with a public offering of common stock in April 1995. All of these expired at various dates in 2000.</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COMMON STOCK RESERVED</w:t>
      </w:r>
    </w:p>
    <w:p>
      <w:pPr>
        <w:spacing w:after="0" w:line="169" w:lineRule="exact"/>
        <w:rPr>
          <w:sz w:val="20"/>
          <w:szCs w:val="20"/>
          <w:color w:val="auto"/>
        </w:rPr>
      </w:pPr>
    </w:p>
    <w:p>
      <w:pPr>
        <w:jc w:val="center"/>
        <w:ind w:right="3430"/>
        <w:spacing w:after="0"/>
        <w:rPr>
          <w:sz w:val="20"/>
          <w:szCs w:val="20"/>
          <w:color w:val="auto"/>
        </w:rPr>
      </w:pPr>
      <w:r>
        <w:rPr>
          <w:rFonts w:ascii="Courier New" w:cs="Courier New" w:eastAsia="Courier New" w:hAnsi="Courier New"/>
          <w:sz w:val="15"/>
          <w:szCs w:val="15"/>
          <w:color w:val="auto"/>
        </w:rPr>
        <w:t>The Company has the following shares of common stock reserved for the</w:t>
      </w:r>
    </w:p>
    <w:p>
      <w:pPr>
        <w:spacing w:after="0" w:line="5" w:lineRule="exact"/>
        <w:rPr>
          <w:sz w:val="20"/>
          <w:szCs w:val="20"/>
          <w:color w:val="auto"/>
        </w:rPr>
      </w:pPr>
    </w:p>
    <w:p>
      <w:pPr>
        <w:jc w:val="center"/>
        <w:ind w:right="3430"/>
        <w:spacing w:after="0"/>
        <w:rPr>
          <w:sz w:val="20"/>
          <w:szCs w:val="20"/>
          <w:color w:val="auto"/>
        </w:rPr>
      </w:pPr>
      <w:r>
        <w:rPr>
          <w:rFonts w:ascii="Courier New" w:cs="Courier New" w:eastAsia="Courier New" w:hAnsi="Courier New"/>
          <w:sz w:val="14"/>
          <w:szCs w:val="14"/>
          <w:color w:val="auto"/>
        </w:rPr>
        <w:t>exercise of options, warrants and other contingent issuances of common stock.</w:t>
      </w: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Shares reserved for exercise of stock options...............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3,828,371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Shares reserved for warrants................................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2,292,625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StemCell option conversions.................................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250,344</w:t>
            </w:r>
          </w:p>
        </w:tc>
      </w:tr>
      <w:tr>
        <w:trPr>
          <w:trHeight w:val="170"/>
        </w:trPr>
        <w:tc>
          <w:tcPr>
            <w:tcW w:w="5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Total.......................................................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6,371,340</w:t>
            </w:r>
          </w:p>
        </w:tc>
      </w:tr>
      <w:tr>
        <w:trPr>
          <w:trHeight w:val="170"/>
        </w:trPr>
        <w:tc>
          <w:tcPr>
            <w:tcW w:w="5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50" w:hanging="450"/>
        <w:spacing w:after="0"/>
        <w:tabs>
          <w:tab w:leader="none" w:pos="4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$307,000 in 1998, $309,000 in 1999, and $225,739 in 2000. In addition, the Company agreed to issue to Scripps 4,837 shares of the Company's common stock and a stock option to purchase 9,674 shares of the Company's Common Stock with an exercise price of $.01 per share</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9"/>
          </w:cols>
          <w:pgMar w:left="230" w:top="452" w:right="1440" w:bottom="1440" w:gutter="0" w:footer="0" w:header="0"/>
        </w:sectPr>
      </w:pPr>
    </w:p>
    <w:bookmarkStart w:id="53" w:name="page54"/>
    <w:bookmarkEnd w:id="53"/>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78" w:lineRule="exact"/>
        <w:rPr>
          <w:sz w:val="20"/>
          <w:szCs w:val="20"/>
          <w:color w:val="auto"/>
        </w:rPr>
      </w:pPr>
    </w:p>
    <w:p>
      <w:pPr>
        <w:ind w:left="10" w:right="3179" w:firstLine="353"/>
        <w:spacing w:after="0" w:line="239" w:lineRule="auto"/>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 trials of the bovine cell-containing implant therapy and executed its right to terminate the agreement. The Company has no additional funding obligations with AstraZeneca.</w:t>
      </w:r>
    </w:p>
    <w:p>
      <w:pPr>
        <w:spacing w:after="0" w:line="179"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2"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$314,000, $868,000, and $1,259,000 for the years ended December 31, 2000, 1999 and 1998, respectively. The Company has no other significant collaborative research funding obligations.</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9"/>
          </w:cols>
          <w:pgMar w:left="230" w:top="452" w:right="1440" w:bottom="1440" w:gutter="0" w:footer="0" w:header="0"/>
        </w:sectPr>
      </w:pPr>
    </w:p>
    <w:bookmarkStart w:id="54" w:name="page55"/>
    <w:bookmarkEnd w:id="54"/>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Due to net losses incurred by the Company in each year since inception, no provision for income taxes has been recorded. At December 31, 2000, the Company had tax net operating loss carry forwards of $110,000,000 and research and development tax credit carry forwards of $4,100,000, which expire in the years 2004 through 2020. 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179" w:lineRule="exact"/>
        <w:rPr>
          <w:sz w:val="20"/>
          <w:szCs w:val="20"/>
          <w:color w:val="auto"/>
        </w:rPr>
      </w:pPr>
    </w:p>
    <w:p>
      <w:pPr>
        <w:ind w:left="10" w:right="3259" w:firstLine="353"/>
        <w:spacing w:after="0" w:line="235" w:lineRule="auto"/>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400" w:type="dxa"/>
            <w:vAlign w:val="bottom"/>
          </w:tcPr>
          <w:p>
            <w:pPr>
              <w:spacing w:after="0"/>
              <w:rPr>
                <w:sz w:val="14"/>
                <w:szCs w:val="14"/>
                <w:color w:val="auto"/>
              </w:rPr>
            </w:pPr>
          </w:p>
        </w:tc>
        <w:tc>
          <w:tcPr>
            <w:tcW w:w="26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40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6,000,000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4,331,000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44,000,000</w:t>
            </w: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38,478,000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4,260,000</w:t>
            </w: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4,035,000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1,020,000</w:t>
            </w: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928,000</w:t>
            </w:r>
          </w:p>
        </w:tc>
      </w:tr>
      <w:tr>
        <w:trPr>
          <w:trHeight w:val="170"/>
        </w:trPr>
        <w:tc>
          <w:tcPr>
            <w:tcW w:w="440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55,280,000</w:t>
            </w: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47,772,000</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Unrealized gain on investment..................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(6,543,000)</w:t>
            </w:r>
          </w:p>
        </w:tc>
        <w:tc>
          <w:tcPr>
            <w:tcW w:w="2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(127,000)</w:t>
            </w:r>
          </w:p>
        </w:tc>
        <w:tc>
          <w:tcPr>
            <w:tcW w:w="2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(246,000)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(48,610,000)</w:t>
            </w:r>
          </w:p>
        </w:tc>
        <w:tc>
          <w:tcPr>
            <w:tcW w:w="2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(47,526,000)</w:t>
            </w:r>
          </w:p>
        </w:tc>
      </w:tr>
      <w:tr>
        <w:trPr>
          <w:trHeight w:val="170"/>
        </w:trPr>
        <w:tc>
          <w:tcPr>
            <w:tcW w:w="440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56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Realization of deferred tax assets is dependent upon future</w:t>
            </w: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earnings, if</w:t>
            </w:r>
          </w:p>
        </w:tc>
      </w:tr>
      <w:tr>
        <w:trPr>
          <w:trHeight w:val="170"/>
        </w:trPr>
        <w:tc>
          <w:tcPr>
            <w:tcW w:w="5640" w:type="dxa"/>
            <w:vAlign w:val="bottom"/>
            <w:gridSpan w:val="3"/>
          </w:tcPr>
          <w:p>
            <w:pPr>
              <w:spacing w:after="0"/>
              <w:rPr>
                <w:sz w:val="20"/>
                <w:szCs w:val="20"/>
                <w:color w:val="auto"/>
              </w:rPr>
            </w:pPr>
            <w:r>
              <w:rPr>
                <w:rFonts w:ascii="Courier New" w:cs="Courier New" w:eastAsia="Courier New" w:hAnsi="Courier New"/>
                <w:sz w:val="15"/>
                <w:szCs w:val="15"/>
                <w:color w:val="auto"/>
                <w:w w:val="99"/>
              </w:rPr>
              <w:t>any, the timing and amount of which are uncertain. Accordingly,</w:t>
            </w: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5"/>
              </w:rPr>
              <w:t>the net deferred</w:t>
            </w:r>
          </w:p>
        </w:tc>
      </w:tr>
      <w:tr>
        <w:trPr>
          <w:trHeight w:val="170"/>
        </w:trPr>
        <w:tc>
          <w:tcPr>
            <w:tcW w:w="5640" w:type="dxa"/>
            <w:vAlign w:val="bottom"/>
            <w:gridSpan w:val="3"/>
          </w:tcPr>
          <w:p>
            <w:pPr>
              <w:spacing w:after="0"/>
              <w:rPr>
                <w:sz w:val="20"/>
                <w:szCs w:val="20"/>
                <w:color w:val="auto"/>
              </w:rPr>
            </w:pPr>
            <w:r>
              <w:rPr>
                <w:rFonts w:ascii="Courier New" w:cs="Courier New" w:eastAsia="Courier New" w:hAnsi="Courier New"/>
                <w:sz w:val="15"/>
                <w:szCs w:val="15"/>
                <w:color w:val="auto"/>
                <w:w w:val="99"/>
              </w:rPr>
              <w:t>tax assets have been fully offset by a valuation allowance. The</w:t>
            </w: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valuation</w:t>
            </w:r>
          </w:p>
        </w:tc>
      </w:tr>
    </w:tbl>
    <w:p>
      <w:pPr>
        <w:ind w:left="10"/>
        <w:spacing w:after="0"/>
        <w:rPr>
          <w:sz w:val="20"/>
          <w:szCs w:val="20"/>
          <w:color w:val="auto"/>
        </w:rPr>
      </w:pPr>
      <w:r>
        <w:rPr>
          <w:rFonts w:ascii="Courier New" w:cs="Courier New" w:eastAsia="Courier New" w:hAnsi="Courier New"/>
          <w:sz w:val="15"/>
          <w:szCs w:val="15"/>
          <w:color w:val="auto"/>
        </w:rPr>
        <w:t>allowance increased by $6,272,000 during 1999, and $5,459,000 during 1998.</w:t>
      </w:r>
    </w:p>
    <w:p>
      <w:pPr>
        <w:spacing w:after="0" w:line="169" w:lineRule="exact"/>
        <w:rPr>
          <w:sz w:val="20"/>
          <w:szCs w:val="20"/>
          <w:color w:val="auto"/>
        </w:rPr>
      </w:pPr>
    </w:p>
    <w:p>
      <w:pPr>
        <w:ind w:left="450" w:hanging="450"/>
        <w:spacing w:after="0"/>
        <w:tabs>
          <w:tab w:leader="none" w:pos="45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$33,000, $103,000, and $146,000 for the years ended December 31, 2000, 1999 and 1998, respectively.</w:t>
      </w:r>
    </w:p>
    <w:p>
      <w:pPr>
        <w:spacing w:after="0" w:line="171" w:lineRule="exact"/>
        <w:rPr>
          <w:sz w:val="20"/>
          <w:szCs w:val="20"/>
          <w:color w:val="auto"/>
        </w:rPr>
      </w:pPr>
    </w:p>
    <w:p>
      <w:pPr>
        <w:ind w:left="450" w:hanging="450"/>
        <w:spacing w:after="0"/>
        <w:tabs>
          <w:tab w:leader="none" w:pos="4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$3.15 million per year over the term of the lease. The Company continues to lease the facilities in Lincoln, Rhode Island</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9"/>
          </w:cols>
          <w:pgMar w:left="230" w:top="452" w:right="1440" w:bottom="1440" w:gutter="0" w:footer="0" w:header="0"/>
        </w:sectPr>
      </w:pPr>
    </w:p>
    <w:bookmarkStart w:id="55" w:name="page56"/>
    <w:bookmarkEnd w:id="55"/>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ind w:left="450" w:hanging="450"/>
        <w:spacing w:after="0"/>
        <w:tabs>
          <w:tab w:leader="none" w:pos="45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 (CONTINUED)</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obtained in connection with its former encapsulated cell technology, but has now succeeded in subleasing parts of those facilities: the 3,000 square-foot cell processing facility and approximately one-third of its former scientific and administrative 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178"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w:t>
      </w:r>
    </w:p>
    <w:p>
      <w:pPr>
        <w:spacing w:after="0" w:line="177"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On January 9, 2001, the Company sold 22,616 Modex shares for a net price of 182.00 Swiss francs per share, which converts to $112.76 per share, for total proceeds of $2,550,000. In connection with this sale, the Company agreed not to resell any more of its Modex shares until April 12, 2001. On March 07, 2001 the market price of Modex stock was 145.00 Swiss francs which converts to $84.31 using exchange rates on that date, which represents an estimated fair market value of $8,732,797 for the remaining shares. If the Company were to seek to liquidate all or part of the remaining 103,577 Modex shares, the proceeds would depend on the share price and foreign currency exchange rates at the time of conversion.</w:t>
      </w: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9"/>
          </w:cols>
          <w:pgMar w:left="230" w:top="452" w:right="1440" w:bottom="1440" w:gutter="0" w:footer="0" w:header="0"/>
        </w:sectPr>
      </w:pPr>
    </w:p>
    <w:bookmarkStart w:id="56" w:name="page57"/>
    <w:bookmarkEnd w:id="56"/>
    <w:p>
      <w:pPr>
        <w:jc w:val="center"/>
        <w:ind w:right="3259"/>
        <w:spacing w:after="0"/>
        <w:rPr>
          <w:sz w:val="20"/>
          <w:szCs w:val="20"/>
          <w:color w:val="auto"/>
        </w:rPr>
      </w:pPr>
      <w:r>
        <w:rPr>
          <w:rFonts w:ascii="Courier New" w:cs="Courier New" w:eastAsia="Courier New" w:hAnsi="Courier New"/>
          <w:sz w:val="15"/>
          <w:szCs w:val="15"/>
          <w:color w:val="auto"/>
        </w:rPr>
        <w:t>STEMCELLS,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2000</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15.</w:t>
        <w:tab/>
        <w:t>QUARTERLY FINANCIAL INFORMATION (UNAUDITED)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QUARTER</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3700" w:type="dxa"/>
            <w:vAlign w:val="bottom"/>
            <w:gridSpan w:val="8"/>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FIRST</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SECOND</w:t>
            </w:r>
          </w:p>
        </w:tc>
        <w:tc>
          <w:tcPr>
            <w:tcW w:w="22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THIRD</w:t>
            </w:r>
          </w:p>
        </w:tc>
        <w:tc>
          <w:tcPr>
            <w:tcW w:w="2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FOURTH</w:t>
            </w:r>
          </w:p>
        </w:tc>
      </w:tr>
      <w:tr>
        <w:trPr>
          <w:trHeight w:val="170"/>
        </w:trPr>
        <w:tc>
          <w:tcPr>
            <w:tcW w:w="370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4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revenue............................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Operating expenses.....................</w:t>
            </w:r>
          </w:p>
        </w:tc>
        <w:tc>
          <w:tcPr>
            <w:tcW w:w="1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1,799</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1,939</w:t>
            </w:r>
          </w:p>
        </w:tc>
        <w:tc>
          <w:tcPr>
            <w:tcW w:w="22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2,553</w:t>
            </w:r>
          </w:p>
        </w:tc>
        <w:tc>
          <w:tcPr>
            <w:tcW w:w="2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6,378</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Loss...............................</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(1,794)</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(532)</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(2,539)</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(6,260)</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Basic and diluted net loss per share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applicable to common shareholders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before cumulative effect.............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 in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accounting principle(1)..............</w:t>
            </w:r>
          </w:p>
        </w:tc>
        <w:tc>
          <w:tcPr>
            <w:tcW w:w="1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loss per share applicable to common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shareholders.........................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revenue............................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2,521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Operating expenses.....................</w:t>
            </w:r>
          </w:p>
        </w:tc>
        <w:tc>
          <w:tcPr>
            <w:tcW w:w="1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4,562</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4,454</w:t>
            </w:r>
          </w:p>
        </w:tc>
        <w:tc>
          <w:tcPr>
            <w:tcW w:w="22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6,690</w:t>
            </w:r>
          </w:p>
        </w:tc>
        <w:tc>
          <w:tcPr>
            <w:tcW w:w="2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5,253</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Loss...............................</w:t>
            </w:r>
          </w:p>
        </w:tc>
        <w:tc>
          <w:tcPr>
            <w:tcW w:w="1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(1,932)</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(1,840)</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(6,711)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(5,226)</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Basic and diluted net loss per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r>
      <w:tr>
        <w:trPr>
          <w:trHeight w:val="509"/>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9"/>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w w:val="96"/>
              </w:rPr>
              <w:t>(1) See note 2 to the Consolidated Financial</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Statements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75" w:lineRule="exact"/>
        <w:rPr>
          <w:sz w:val="20"/>
          <w:szCs w:val="20"/>
          <w:color w:val="auto"/>
        </w:rPr>
      </w:pPr>
    </w:p>
    <w:p>
      <w:pPr>
        <w:ind w:left="780" w:right="387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52" w:right="1440" w:bottom="1440" w:gutter="0" w:footer="0" w:header="0"/>
        </w:sectPr>
      </w:pPr>
    </w:p>
    <w:bookmarkStart w:id="57" w:name="page58"/>
    <w:bookmarkEnd w:id="57"/>
    <w:p>
      <w:pPr>
        <w:ind w:left="317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10. DIRECTORS AND EXECUTIVE OFFICERS OF THE REGISTRANT, PROMOTERS AND</w:t>
      </w:r>
    </w:p>
    <w:p>
      <w:pPr>
        <w:ind w:left="790"/>
        <w:spacing w:after="0"/>
        <w:rPr>
          <w:sz w:val="20"/>
          <w:szCs w:val="20"/>
          <w:color w:val="auto"/>
        </w:rPr>
      </w:pPr>
      <w:r>
        <w:rPr>
          <w:rFonts w:ascii="Courier New" w:cs="Courier New" w:eastAsia="Courier New" w:hAnsi="Courier New"/>
          <w:sz w:val="15"/>
          <w:szCs w:val="15"/>
          <w:color w:val="auto"/>
        </w:rPr>
        <w:t>CONTROL</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5" w:lineRule="exact"/>
        <w:rPr>
          <w:sz w:val="20"/>
          <w:szCs w:val="20"/>
          <w:color w:val="auto"/>
        </w:rPr>
      </w:pPr>
    </w:p>
    <w:p>
      <w:pPr>
        <w:ind w:left="10" w:right="3539" w:firstLine="353"/>
        <w:spacing w:after="0" w:line="235" w:lineRule="auto"/>
        <w:rPr>
          <w:sz w:val="20"/>
          <w:szCs w:val="20"/>
          <w:color w:val="auto"/>
        </w:rPr>
      </w:pPr>
      <w:r>
        <w:rPr>
          <w:rFonts w:ascii="Courier New" w:cs="Courier New" w:eastAsia="Courier New" w:hAnsi="Courier New"/>
          <w:sz w:val="15"/>
          <w:szCs w:val="15"/>
          <w:color w:val="auto"/>
        </w:rPr>
        <w:t>The following table sets forth the name, age and position of each of our executive officers, key members of management, and directors.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AGE</w:t>
            </w:r>
          </w:p>
        </w:tc>
        <w:tc>
          <w:tcPr>
            <w:tcW w:w="3920" w:type="dxa"/>
            <w:vAlign w:val="bottom"/>
          </w:tcPr>
          <w:p>
            <w:pPr>
              <w:ind w:left="1540"/>
              <w:spacing w:after="0"/>
              <w:rPr>
                <w:sz w:val="20"/>
                <w:szCs w:val="20"/>
                <w:color w:val="auto"/>
              </w:rPr>
            </w:pPr>
            <w:r>
              <w:rPr>
                <w:rFonts w:ascii="Courier New" w:cs="Courier New" w:eastAsia="Courier New" w:hAnsi="Courier New"/>
                <w:sz w:val="15"/>
                <w:szCs w:val="15"/>
                <w:color w:val="auto"/>
              </w:rPr>
              <w:t>POSITION</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92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67</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Director, Chairman of the Board</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Martin M. McGlynn.........................</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54</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Director, President and Chief Executive</w:t>
            </w:r>
          </w:p>
        </w:tc>
      </w:tr>
      <w:tr>
        <w:trPr>
          <w:trHeight w:val="170"/>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50</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Roger M. Perlmutter M.D., Ph.D............</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48</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Irving L. Weissman, M.D...................</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61</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Ann Tsukamoto, Ph.D.......................</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48</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Vice President, Scientific Operations</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Ronnda Bartel, Ph.D.......................</w:t>
            </w: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42</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Vice President, Scientific Development</w:t>
            </w:r>
          </w:p>
        </w:tc>
      </w:tr>
    </w:tbl>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70" w:right="3179" w:hanging="170"/>
        <w:spacing w:after="0" w:line="238" w:lineRule="auto"/>
        <w:tabs>
          <w:tab w:leader="none" w:pos="17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John J. Schwartz, Ph.D., was elected to the board of directors in December 1998 and was elected Chairman of the board at the same time. He was formerly Senior Vice President and General Counsel of SyStemix, Inc. from 1993 to 1995, and then President and Chief Executive Officer of SyStemix, Inc. from 1995 to 1997.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w:t>
      </w:r>
    </w:p>
    <w:p>
      <w:pPr>
        <w:spacing w:after="0" w:line="179" w:lineRule="exact"/>
        <w:rPr>
          <w:rFonts w:ascii="Courier New" w:cs="Courier New" w:eastAsia="Courier New" w:hAnsi="Courier New"/>
          <w:sz w:val="15"/>
          <w:szCs w:val="15"/>
          <w:color w:val="auto"/>
        </w:rPr>
      </w:pPr>
    </w:p>
    <w:p>
      <w:pPr>
        <w:ind w:left="170" w:right="2999" w:hanging="170"/>
        <w:spacing w:after="0" w:line="256" w:lineRule="auto"/>
        <w:tabs>
          <w:tab w:leader="none" w:pos="17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Martin M. McGlynn joined the company on January 15, 2001 when he was appointed President and Chief Executive Officer of the company and of its wholly-owned subsidiary, StemCells California, Inc. From 1994 until he joined the company, Mr. McGlynn was President and Chief Executive Officer of Pharmadigm, Inc., a privately held company in Salt Lake City, Utah, engaged in research and development in the fields of inflammation and genetic immunization.</w:t>
      </w:r>
    </w:p>
    <w:p>
      <w:pPr>
        <w:spacing w:after="0" w:line="2" w:lineRule="exact"/>
        <w:rPr>
          <w:rFonts w:ascii="Courier New" w:cs="Courier New" w:eastAsia="Courier New" w:hAnsi="Courier New"/>
          <w:sz w:val="14"/>
          <w:szCs w:val="14"/>
          <w:color w:val="auto"/>
        </w:rPr>
      </w:pPr>
    </w:p>
    <w:p>
      <w:pPr>
        <w:ind w:left="170" w:right="343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McGlynn received a bachelor of commerce degree from University College, Dublin, Ireland in 1968, a diploma in industrial engineering from the Irish Institute of Industrial Engineering in 1970, and a diploma in production planning from the University of Birmingham, England in 1971.</w:t>
      </w:r>
    </w:p>
    <w:p>
      <w:pPr>
        <w:spacing w:after="0" w:line="162" w:lineRule="exact"/>
        <w:rPr>
          <w:rFonts w:ascii="Courier New" w:cs="Courier New" w:eastAsia="Courier New" w:hAnsi="Courier New"/>
          <w:sz w:val="14"/>
          <w:szCs w:val="14"/>
          <w:color w:val="auto"/>
        </w:rPr>
      </w:pPr>
    </w:p>
    <w:p>
      <w:pPr>
        <w:ind w:left="170" w:right="3179" w:hanging="170"/>
        <w:spacing w:after="0" w:line="238" w:lineRule="auto"/>
        <w:tabs>
          <w:tab w:leader="none" w:pos="17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Mark J. Levin is a founder of the company and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Tularik, Inc.</w:t>
      </w:r>
    </w:p>
    <w:p>
      <w:pPr>
        <w:spacing w:after="0" w:line="179" w:lineRule="exact"/>
        <w:rPr>
          <w:rFonts w:ascii="Courier New" w:cs="Courier New" w:eastAsia="Courier New" w:hAnsi="Courier New"/>
          <w:sz w:val="15"/>
          <w:szCs w:val="15"/>
          <w:color w:val="auto"/>
        </w:rPr>
      </w:pPr>
    </w:p>
    <w:p>
      <w:pPr>
        <w:ind w:left="170" w:right="3179" w:hanging="170"/>
        <w:spacing w:after="0" w:line="257" w:lineRule="auto"/>
        <w:tabs>
          <w:tab w:leader="none" w:pos="17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 February 1999 to July 1999. Prior to joining Merck, Dr. Perlmutter was a professor in the Departments of Immunology, Biochemistry and</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9"/>
          </w:cols>
          <w:pgMar w:left="230" w:top="452" w:right="1440" w:bottom="1440" w:gutter="0" w:footer="0" w:header="0"/>
        </w:sectPr>
      </w:pPr>
    </w:p>
    <w:bookmarkStart w:id="58" w:name="page59"/>
    <w:bookmarkEnd w:id="58"/>
    <w:p>
      <w:pPr>
        <w:ind w:left="170" w:right="3179"/>
        <w:spacing w:after="0" w:line="238" w:lineRule="auto"/>
        <w:rPr>
          <w:sz w:val="20"/>
          <w:szCs w:val="20"/>
          <w:color w:val="auto"/>
        </w:rPr>
      </w:pPr>
      <w:r>
        <w:rPr>
          <w:rFonts w:ascii="Courier New" w:cs="Courier New" w:eastAsia="Courier New" w:hAnsi="Courier New"/>
          <w:sz w:val="15"/>
          <w:szCs w:val="15"/>
          <w:color w:val="auto"/>
        </w:rPr>
        <w:t>Medicine at the University of Washington from January 1991 to January 1997 and served as chairman of the Department of Immunology at the University of Washington from May 1989 to January 1997. He also was an Investigator at the Howard Hughes Medical Institute from July 1984 to February 1997. Dr Perlmutter has been a member of the board of directors of The Irvington Institute for Immunological Research since 1997 and of the Institute for Systems Biology since 1999. He also serves as President of the Merck Genome Research Institute, a position he has held since March 2000.</w:t>
      </w:r>
    </w:p>
    <w:p>
      <w:pPr>
        <w:spacing w:after="0" w:line="178" w:lineRule="exact"/>
        <w:rPr>
          <w:sz w:val="20"/>
          <w:szCs w:val="20"/>
          <w:color w:val="auto"/>
        </w:rPr>
      </w:pPr>
    </w:p>
    <w:p>
      <w:pPr>
        <w:ind w:left="170" w:right="3079" w:hanging="170"/>
        <w:spacing w:after="0" w:line="256" w:lineRule="auto"/>
        <w:tabs>
          <w:tab w:leader="none" w:pos="17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Irving L. Weissman, M.D., Director, is the Karel and Avice Beekhuis Professor of Cancer Biology, Professor of Pathology and Professor of Developmental Biology at Stanford University. Stanford has employed Dr. Weissman since</w:t>
      </w:r>
    </w:p>
    <w:p>
      <w:pPr>
        <w:ind w:left="17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July 1967, and he has been a Faculty member since January 1969. He has been a full professor of pathology since September 1987, and also of developmental biology since July 1989. Since October 1990, Dr. Weissman has also served as a professor of biology (by courtesy). He has been Chairman of the Stanford University Immunology Program since 1986. Dr. Weissman was a cofounder of SyStemix, Inc., and Chairman of its Scientific Advisory Board. He has served on the Scientific Advisory Boards of Amgen Inc., DNAX and T-Cell</w:t>
      </w:r>
    </w:p>
    <w:p>
      <w:pPr>
        <w:spacing w:after="0" w:line="2" w:lineRule="exact"/>
        <w:rPr>
          <w:rFonts w:ascii="Courier New" w:cs="Courier New" w:eastAsia="Courier New" w:hAnsi="Courier New"/>
          <w:sz w:val="14"/>
          <w:szCs w:val="14"/>
          <w:color w:val="auto"/>
        </w:rPr>
      </w:pPr>
    </w:p>
    <w:p>
      <w:pPr>
        <w:ind w:left="17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Sciences, Inc. Dr. Weissman is a member of the National Academy of Sciences and also serves as Chairman of our Scientific Advisory Board. He also serves as Chief Executive Officer and a member of the Board of Managers of Celtrans, LLC.</w:t>
      </w:r>
    </w:p>
    <w:p>
      <w:pPr>
        <w:spacing w:after="0" w:line="346"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Ann Tsukamoto, Ph.D., joined the Company in November 1997 as Senior Director, Scientific Operations, and was appointed Vice President, Scientific Operations in June 1998. From 1989 until she joined StemCells, Dr. Tsukamoto was employed at SyStemix, Inc., where she served in various research capacities before transitioning to the position of Director of Clinical Science. At SyStemix, Inc., Dr. Tsukamoto assisted in the launch of its clinical research program for the hematopoietic stem cell. She received her Ph.D. degree from the University of California, Los Angeles and did postdoctoral research with</w:t>
      </w:r>
    </w:p>
    <w:p>
      <w:pPr>
        <w:spacing w:after="0" w:line="3" w:lineRule="exact"/>
        <w:rPr>
          <w:sz w:val="20"/>
          <w:szCs w:val="20"/>
          <w:color w:val="auto"/>
        </w:rPr>
      </w:pPr>
    </w:p>
    <w:p>
      <w:pPr>
        <w:ind w:left="10" w:right="3259"/>
        <w:spacing w:after="0" w:line="259" w:lineRule="auto"/>
        <w:rPr>
          <w:sz w:val="20"/>
          <w:szCs w:val="20"/>
          <w:color w:val="auto"/>
        </w:rPr>
      </w:pPr>
      <w:r>
        <w:rPr>
          <w:rFonts w:ascii="Courier New" w:cs="Courier New" w:eastAsia="Courier New" w:hAnsi="Courier New"/>
          <w:sz w:val="14"/>
          <w:szCs w:val="14"/>
          <w:color w:val="auto"/>
        </w:rPr>
        <w:t>Dr. Harold Varmus at the University of California, San Francisco. Dr. Tsukamoto is an inventor on six issued U.S. Patents related to the human hematopoietic stem cell. As of March 5, 2001, Dr. Tsukamoto became a member of the Board of Directors for the Society of Regenerative Medicine and Stem Cell Biology.</w:t>
      </w:r>
    </w:p>
    <w:p>
      <w:pPr>
        <w:spacing w:after="0" w:line="200" w:lineRule="exact"/>
        <w:rPr>
          <w:sz w:val="20"/>
          <w:szCs w:val="20"/>
          <w:color w:val="auto"/>
        </w:rPr>
      </w:pPr>
    </w:p>
    <w:p>
      <w:pPr>
        <w:spacing w:after="0" w:line="302" w:lineRule="exact"/>
        <w:rPr>
          <w:sz w:val="20"/>
          <w:szCs w:val="20"/>
          <w:color w:val="auto"/>
        </w:rPr>
      </w:pPr>
    </w:p>
    <w:p>
      <w:pPr>
        <w:ind w:left="10" w:right="3359" w:firstLine="353"/>
        <w:spacing w:after="0" w:line="257" w:lineRule="auto"/>
        <w:rPr>
          <w:sz w:val="20"/>
          <w:szCs w:val="20"/>
          <w:color w:val="auto"/>
        </w:rPr>
      </w:pPr>
      <w:r>
        <w:rPr>
          <w:rFonts w:ascii="Courier New" w:cs="Courier New" w:eastAsia="Courier New" w:hAnsi="Courier New"/>
          <w:sz w:val="14"/>
          <w:szCs w:val="14"/>
          <w:color w:val="auto"/>
        </w:rPr>
        <w:t>Ronnda Bartel, Ph.D., joined the Company in July 1998, as Senior Director, Cell Development, and was appointed Vice President, Scientific Development of StemCells in April 2000. From 1995 until her employment with the Company, Dr. Bartel was Senior Principal Scientist at Advanced Tissue Sciences Inc., responsible for research, development, and manufacturing of tissue engineered human cell based products. Dr. Bartel was awarded her Ph.D. degree in biochemistry from the University of Kansas, Lawrence and did postdoctoral work with Dr. John Voorhees at the University of Michigan, Ann Arbor.</w:t>
      </w:r>
    </w:p>
    <w:p>
      <w:pPr>
        <w:spacing w:after="0" w:line="336"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Our Restated Certificate of Incorporation and Amended and Restated By-laws provide for the classification of the board of directors into three classes, as nearly equal in number as possible, with the term of office of one class expiring each year. There are no family relationships between any of our directors or executive officers. Our executive officers are elected by, and serve at the discretion of, the board of directors.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left="10" w:right="3259" w:firstLine="353"/>
        <w:spacing w:after="0" w:line="258" w:lineRule="auto"/>
        <w:rPr>
          <w:sz w:val="20"/>
          <w:szCs w:val="20"/>
          <w:color w:val="auto"/>
        </w:rPr>
      </w:pPr>
      <w:r>
        <w:rPr>
          <w:rFonts w:ascii="Courier New" w:cs="Courier New" w:eastAsia="Courier New" w:hAnsi="Courier New"/>
          <w:sz w:val="14"/>
          <w:szCs w:val="14"/>
          <w:color w:val="auto"/>
        </w:rPr>
        <w:t>The following table sets forth the compensation paid by us to our Chief Executive Officer during the fiscal years ended December 31, 2000, 1999, and 1998 and the two other most highly compensated executive officers who served in such capacities during the fiscal year ended December 31, 2000 but who were not serving in such capacities as of the end of such fiscal year. There were no other persons serving as executive officers at the end of such fiscal year.</w:t>
      </w:r>
    </w:p>
    <w:p>
      <w:pPr>
        <w:spacing w:after="0" w:line="15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9"/>
          </w:cols>
          <w:pgMar w:left="230" w:top="458" w:right="1440" w:bottom="1440" w:gutter="0" w:footer="0" w:header="0"/>
        </w:sectPr>
      </w:pPr>
    </w:p>
    <w:bookmarkStart w:id="59" w:name="page60"/>
    <w:bookmarkEnd w:id="59"/>
    <w:p>
      <w:pPr>
        <w:ind w:left="2390"/>
        <w:spacing w:after="0"/>
        <w:rPr>
          <w:sz w:val="20"/>
          <w:szCs w:val="20"/>
          <w:color w:val="auto"/>
        </w:rPr>
      </w:pPr>
      <w:r>
        <w:rPr>
          <w:rFonts w:ascii="Courier New" w:cs="Courier New" w:eastAsia="Courier New" w:hAnsi="Courier New"/>
          <w:sz w:val="14"/>
          <w:szCs w:val="14"/>
          <w:color w:val="auto"/>
        </w:rPr>
        <w:t>SUMMARY COMPENSATION TABLE</w:t>
      </w:r>
    </w:p>
    <w:p>
      <w:pPr>
        <w:sectPr>
          <w:pgSz w:w="11900" w:h="16838" w:orient="portrait"/>
          <w:cols w:equalWidth="0" w:num="1">
            <w:col w:w="11530"/>
          </w:cols>
          <w:pgMar w:left="230" w:top="45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20" w:type="dxa"/>
            <w:vAlign w:val="bottom"/>
            <w:gridSpan w:val="3"/>
          </w:tcPr>
          <w:p>
            <w:pPr>
              <w:jc w:val="right"/>
              <w:ind w:right="1147"/>
              <w:spacing w:after="0"/>
              <w:rPr>
                <w:sz w:val="20"/>
                <w:szCs w:val="20"/>
                <w:color w:val="auto"/>
              </w:rPr>
            </w:pPr>
            <w:r>
              <w:rPr>
                <w:rFonts w:ascii="Courier New" w:cs="Courier New" w:eastAsia="Courier New" w:hAnsi="Courier New"/>
                <w:sz w:val="15"/>
                <w:szCs w:val="15"/>
                <w:color w:val="auto"/>
              </w:rPr>
              <w:t>ANNUAL COMPENSATION</w:t>
            </w:r>
          </w:p>
        </w:tc>
      </w:tr>
      <w:tr>
        <w:trPr>
          <w:trHeight w:val="170"/>
        </w:trPr>
        <w:tc>
          <w:tcPr>
            <w:tcW w:w="2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2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OTHER ANNUAL</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SALARY ($)</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BONUS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COMPENSATION ($)</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George W. Dunbar, Jr. .........</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186,538</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Acting President and Chief</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Executive Office(1)</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309,632</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Chief Executive Officer(2)</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279,974</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286,553</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Ann Tsukomoto, Ph.D. ..........</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159,054</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VP, Scientific Operations</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Ronnda Bartel, Ph.D............</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129,668</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VP, Scientific Development</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780" w:hanging="350"/>
        <w:spacing w:after="0" w:line="237" w:lineRule="auto"/>
        <w:tabs>
          <w:tab w:leader="none" w:pos="3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Dunbar became Acting President and Chief Executive Officer effective as of February 1, 2000, and resigned from that position effective as of January 15, 2001.</w:t>
      </w:r>
    </w:p>
    <w:p>
      <w:pPr>
        <w:spacing w:after="0" w:line="174" w:lineRule="exact"/>
        <w:rPr>
          <w:rFonts w:ascii="Courier New" w:cs="Courier New" w:eastAsia="Courier New" w:hAnsi="Courier New"/>
          <w:sz w:val="15"/>
          <w:szCs w:val="15"/>
          <w:color w:val="auto"/>
        </w:rPr>
      </w:pPr>
    </w:p>
    <w:p>
      <w:pPr>
        <w:ind w:left="350" w:right="1140" w:hanging="350"/>
        <w:spacing w:after="0" w:line="237" w:lineRule="auto"/>
        <w:tabs>
          <w:tab w:leader="none" w:pos="3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4" w:lineRule="exact"/>
        <w:rPr>
          <w:rFonts w:ascii="Courier New" w:cs="Courier New" w:eastAsia="Courier New" w:hAnsi="Courier New"/>
          <w:sz w:val="15"/>
          <w:szCs w:val="15"/>
          <w:color w:val="auto"/>
        </w:rPr>
      </w:pPr>
    </w:p>
    <w:p>
      <w:pPr>
        <w:ind w:left="350" w:right="700" w:hanging="350"/>
        <w:spacing w:after="0" w:line="237" w:lineRule="auto"/>
        <w:tabs>
          <w:tab w:leader="none" w:pos="3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174" w:lineRule="exact"/>
        <w:rPr>
          <w:rFonts w:ascii="Courier New" w:cs="Courier New" w:eastAsia="Courier New" w:hAnsi="Courier New"/>
          <w:sz w:val="15"/>
          <w:szCs w:val="15"/>
          <w:color w:val="auto"/>
        </w:rPr>
      </w:pPr>
    </w:p>
    <w:p>
      <w:pPr>
        <w:ind w:left="350" w:right="700" w:hanging="350"/>
        <w:spacing w:after="0" w:line="237" w:lineRule="auto"/>
        <w:tabs>
          <w:tab w:leader="none" w:pos="3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174" w:lineRule="exact"/>
        <w:rPr>
          <w:rFonts w:ascii="Courier New" w:cs="Courier New" w:eastAsia="Courier New" w:hAnsi="Courier New"/>
          <w:sz w:val="15"/>
          <w:szCs w:val="15"/>
          <w:color w:val="auto"/>
        </w:rPr>
      </w:pPr>
    </w:p>
    <w:p>
      <w:pPr>
        <w:ind w:left="350" w:right="1220" w:hanging="350"/>
        <w:spacing w:after="0" w:line="265" w:lineRule="auto"/>
        <w:tabs>
          <w:tab w:leader="none" w:pos="35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401(k)Plan.</w:t>
      </w:r>
    </w:p>
    <w:p>
      <w:pPr>
        <w:spacing w:after="0" w:line="158" w:lineRule="exact"/>
        <w:rPr>
          <w:rFonts w:ascii="Courier New" w:cs="Courier New" w:eastAsia="Courier New" w:hAnsi="Courier New"/>
          <w:sz w:val="14"/>
          <w:szCs w:val="14"/>
          <w:color w:val="auto"/>
        </w:rPr>
      </w:pPr>
    </w:p>
    <w:p>
      <w:pPr>
        <w:ind w:left="350" w:right="700" w:hanging="350"/>
        <w:spacing w:after="0" w:line="235" w:lineRule="auto"/>
        <w:tabs>
          <w:tab w:leader="none" w:pos="3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$4,783 of fair market value of the company matching contributions of common stock to Dr. Ann Tsukomoto</w:t>
      </w:r>
    </w:p>
    <w:p>
      <w:pPr>
        <w:spacing w:after="0" w:line="175" w:lineRule="exact"/>
        <w:rPr>
          <w:rFonts w:ascii="Courier New" w:cs="Courier New" w:eastAsia="Courier New" w:hAnsi="Courier New"/>
          <w:sz w:val="15"/>
          <w:szCs w:val="15"/>
          <w:color w:val="auto"/>
        </w:rPr>
      </w:pPr>
    </w:p>
    <w:p>
      <w:pPr>
        <w:ind w:left="350" w:right="700" w:hanging="350"/>
        <w:spacing w:after="0" w:line="235" w:lineRule="auto"/>
        <w:tabs>
          <w:tab w:leader="none" w:pos="3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$3,245 of fair market value of the company matching contributions of common stock to Dr. Ronnda Bartel</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left="10" w:right="700" w:firstLine="353"/>
        <w:spacing w:after="0" w:line="256"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the Company's Common Stock as of March 09, 2001 by (i) each person known by the Company to be the beneficial owner of more than 5% of the Company's outstanding Common Stock, (ii) each director and nominee for director,</w:t>
      </w:r>
    </w:p>
    <w:p>
      <w:pPr>
        <w:ind w:left="530" w:hanging="530"/>
        <w:spacing w:after="0" w:line="234" w:lineRule="auto"/>
        <w:tabs>
          <w:tab w:leader="none" w:pos="53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executive officer named in the Summary Compensation Table and</w:t>
      </w:r>
    </w:p>
    <w:p>
      <w:pPr>
        <w:spacing w:after="0" w:line="5" w:lineRule="exact"/>
        <w:rPr>
          <w:rFonts w:ascii="Courier New" w:cs="Courier New" w:eastAsia="Courier New" w:hAnsi="Courier New"/>
          <w:sz w:val="15"/>
          <w:szCs w:val="15"/>
          <w:color w:val="auto"/>
        </w:rPr>
      </w:pPr>
    </w:p>
    <w:p>
      <w:pPr>
        <w:ind w:left="10" w:right="880" w:hanging="10"/>
        <w:spacing w:after="0" w:line="259" w:lineRule="auto"/>
        <w:tabs>
          <w:tab w:leader="none" w:pos="45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executive officers and directors of the Company as a group. Except as otherwise indicated, the Company believes that the beneficial owners of the Common Stock listed below, based on information furnished by such owners, have sole investment and voting power with respect to such shares, subject to</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AWARDS</w:t>
      </w:r>
    </w:p>
    <w:p>
      <w:pPr>
        <w:jc w:val="center"/>
        <w:ind w:right="160"/>
        <w:spacing w:after="0"/>
        <w:rPr>
          <w:sz w:val="20"/>
          <w:szCs w:val="20"/>
          <w:color w:val="auto"/>
        </w:rPr>
      </w:pPr>
      <w:r>
        <w:rPr>
          <w:rFonts w:ascii="Courier New" w:cs="Courier New" w:eastAsia="Courier New" w:hAnsi="Courier New"/>
          <w:sz w:val="15"/>
          <w:szCs w:val="15"/>
          <w:color w:val="auto"/>
        </w:rPr>
        <w:t>LONG TERM COMPENSATION</w:t>
      </w: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11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w w:val="95"/>
              </w:rPr>
              <w:t>RESTRICTED</w:t>
            </w:r>
          </w:p>
        </w:tc>
        <w:tc>
          <w:tcPr>
            <w:tcW w:w="12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SECURITIES</w:t>
            </w:r>
          </w:p>
        </w:tc>
        <w:tc>
          <w:tcPr>
            <w:tcW w:w="1340" w:type="dxa"/>
            <w:vAlign w:val="bottom"/>
          </w:tcPr>
          <w:p>
            <w:pPr>
              <w:spacing w:after="0"/>
              <w:rPr>
                <w:sz w:val="14"/>
                <w:szCs w:val="14"/>
                <w:color w:val="auto"/>
              </w:rPr>
            </w:pPr>
          </w:p>
        </w:tc>
      </w:tr>
      <w:tr>
        <w:trPr>
          <w:trHeight w:val="170"/>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UNDERLYING</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AWARDS ($)</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OPTIONS (#)</w:t>
            </w:r>
          </w:p>
        </w:tc>
        <w:tc>
          <w:tcPr>
            <w:tcW w:w="134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9"/>
              </w:rPr>
              <w:t>COMPENSATION</w:t>
            </w:r>
          </w:p>
        </w:tc>
      </w:tr>
      <w:tr>
        <w:trPr>
          <w:trHeight w:val="170"/>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36,031</w:t>
            </w:r>
          </w:p>
        </w:tc>
        <w:tc>
          <w:tcPr>
            <w:tcW w:w="13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110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48,000</w:t>
            </w:r>
          </w:p>
        </w:tc>
        <w:tc>
          <w:tcPr>
            <w:tcW w:w="1340" w:type="dxa"/>
            <w:vAlign w:val="bottom"/>
          </w:tcPr>
          <w:p>
            <w:pPr>
              <w:spacing w:after="0"/>
              <w:rPr>
                <w:sz w:val="14"/>
                <w:szCs w:val="14"/>
                <w:color w:val="auto"/>
              </w:rPr>
            </w:pPr>
          </w:p>
        </w:tc>
      </w:tr>
      <w:tr>
        <w:trPr>
          <w:trHeight w:val="509"/>
        </w:trPr>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4,667(3)</w:t>
            </w:r>
          </w:p>
        </w:tc>
      </w:tr>
      <w:tr>
        <w:trPr>
          <w:trHeight w:val="170"/>
        </w:trPr>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150,000(4)</w:t>
            </w:r>
          </w:p>
        </w:tc>
        <w:tc>
          <w:tcPr>
            <w:tcW w:w="13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11,330(5)</w:t>
            </w:r>
          </w:p>
        </w:tc>
      </w:tr>
      <w:tr>
        <w:trPr>
          <w:trHeight w:val="339"/>
        </w:trPr>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4,783(6)</w:t>
            </w:r>
          </w:p>
        </w:tc>
      </w:tr>
      <w:tr>
        <w:trPr>
          <w:trHeight w:val="509"/>
        </w:trPr>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3,245(7)</w:t>
            </w:r>
          </w:p>
        </w:tc>
      </w:tr>
    </w:tbl>
    <w:p>
      <w:pPr>
        <w:sectPr>
          <w:pgSz w:w="11900" w:h="16838" w:orient="portrait"/>
          <w:cols w:equalWidth="0" w:num="2">
            <w:col w:w="7750" w:space="100"/>
            <w:col w:w="3680"/>
          </w:cols>
          <w:pgMar w:left="230" w:top="458" w:right="139" w:bottom="1440" w:gutter="0" w:footer="0" w:header="0"/>
          <w:type w:val="continuous"/>
        </w:sectPr>
      </w:pPr>
    </w:p>
    <w:bookmarkStart w:id="60" w:name="page61"/>
    <w:bookmarkEnd w:id="60"/>
    <w:p>
      <w:pPr>
        <w:ind w:left="10" w:right="4139"/>
        <w:spacing w:after="0" w:line="235" w:lineRule="auto"/>
        <w:rPr>
          <w:sz w:val="20"/>
          <w:szCs w:val="20"/>
          <w:color w:val="auto"/>
        </w:rPr>
      </w:pPr>
      <w:r>
        <w:rPr>
          <w:rFonts w:ascii="Courier New" w:cs="Courier New" w:eastAsia="Courier New" w:hAnsi="Courier New"/>
          <w:sz w:val="15"/>
          <w:szCs w:val="15"/>
          <w:color w:val="auto"/>
        </w:rPr>
        <w:t>community property laws where applicable, and that there are no other affiliations among the stockholders listed in the table.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5280" w:type="dxa"/>
            <w:vAlign w:val="bottom"/>
          </w:tcPr>
          <w:p>
            <w:pPr>
              <w:spacing w:after="0"/>
              <w:rPr>
                <w:sz w:val="14"/>
                <w:szCs w:val="14"/>
                <w:color w:val="auto"/>
              </w:rPr>
            </w:pPr>
          </w:p>
        </w:tc>
        <w:tc>
          <w:tcPr>
            <w:tcW w:w="19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SHARES</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OF CLASS</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NAME OF BENEFICIAL OWNER(1)</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BENEFICIALLY OWNED*</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BENEFICIALLY OWNED*</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Donald Kennedy, Ph.D.......................................</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10,309(2)</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Mark J. Levin..............................................</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347,775(3)</w:t>
            </w:r>
          </w:p>
        </w:tc>
        <w:tc>
          <w:tcPr>
            <w:tcW w:w="1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1.5%</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Martin M. McGlynn..........................................</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spacing w:after="0"/>
              <w:rPr>
                <w:sz w:val="14"/>
                <w:szCs w:val="1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Roger Perlmutter, M.D., Ph.D...............................</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John J. Schwartz, Ph.D.....................................</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115,588(4)</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Irving Weissman, M.D.......................................</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291,308(5)</w:t>
            </w:r>
          </w:p>
        </w:tc>
        <w:tc>
          <w:tcPr>
            <w:tcW w:w="1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1.3%</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George W. Dunbar, Jr.......................................</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50,049(6)</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Ann Tsukamoto, Ph.D........................................</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84,521(7)</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Ronnda Bartel, Ph.D........................................</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22,742(8)</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(9</w:t>
            </w:r>
          </w:p>
        </w:tc>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persons).................................................</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815,029</w:t>
            </w:r>
          </w:p>
        </w:tc>
        <w:tc>
          <w:tcPr>
            <w:tcW w:w="1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3.6%</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Millennium Partners, LP....................................</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2,152,393(9)</w:t>
            </w:r>
          </w:p>
        </w:tc>
        <w:tc>
          <w:tcPr>
            <w:tcW w:w="1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9.5%</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35" w:lineRule="auto"/>
        <w:tabs>
          <w:tab w:leader="none" w:pos="3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numbers are based on information obtained by questionnaire or filings on Forms 13D or 13G received by the Company.</w:t>
      </w:r>
    </w:p>
    <w:p>
      <w:pPr>
        <w:spacing w:after="0" w:line="170" w:lineRule="exact"/>
        <w:rPr>
          <w:sz w:val="20"/>
          <w:szCs w:val="20"/>
          <w:color w:val="auto"/>
        </w:rPr>
      </w:pPr>
    </w:p>
    <w:p>
      <w:pPr>
        <w:ind w:left="350" w:hanging="350"/>
        <w:spacing w:after="0"/>
        <w:tabs>
          <w:tab w:leader="none" w:pos="3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344" w:lineRule="exact"/>
        <w:rPr>
          <w:sz w:val="20"/>
          <w:szCs w:val="20"/>
          <w:color w:val="auto"/>
        </w:rPr>
      </w:pPr>
    </w:p>
    <w:p>
      <w:pPr>
        <w:ind w:left="350" w:right="3359" w:hanging="350"/>
        <w:spacing w:after="0" w:line="237" w:lineRule="auto"/>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all such persons, except Millenium Partners, LP, is c/o the Company, 3155 Porter Drive, Palo Alto, California 94304. The address of Millenium Partners, LP is 551 Fifth Avenue, New York, New York 10176.</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350" w:right="3359" w:hanging="350"/>
        <w:spacing w:after="0" w:line="235" w:lineRule="auto"/>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10,309 shares issuable upon exercise of stock options exercisable within 60 days.</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350" w:right="3359" w:hanging="350"/>
        <w:spacing w:after="0" w:line="238" w:lineRule="auto"/>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37,400 shares issuable upon exercise of stock options exercisable within 60 days. Includes 198,871 shares issuable upon conversion of 6% cumulative convertible preferred shares at the currently applicable conversion price. Does not include a warrant to purchase 37,500 shares exercisable at a price above the current market price. Includes 111,504 shares held outright.</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115,588 shares issuable upon exercise of stock options exercisable within 60 days.</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34,486 shares issuable upon exercise of stock options exercisable within 60 days and 7,160 shares issuable upon exercise of warrants exercisable within 60 days. Includes 198,871 shares issuable upon conversion of 6% cumulative convertible preferred shares at the currently applicable conversion price. Does not include a warrant to purchase 37,500 shares exercisable at a price above the current market price. Includes a total of 50,791 shares owned by trusts for the benefit of Dr. Weissman's children as to which he disclaims beneficial ownership.</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50" w:right="3359" w:hanging="350"/>
        <w:spacing w:after="0" w:line="238" w:lineRule="auto"/>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26,031 shares issuable upon exercise of stock options exercisable within 60 days. Includes 24,018 shares held outright. Mr. Dunbar was appointed Acting President and Chief Executive Officer of the Company's wholly owned subsidiary, StemCells California, Inc., effective as of November 8, 1999, and was appointed Acting President and Chief Executive Officer of the Company effective as of February 1, 2000.</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350" w:right="3359" w:hanging="350"/>
        <w:spacing w:after="0" w:line="235" w:lineRule="auto"/>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84,521 shares issuable upon exercise of stock options exercisable within 60 days.</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350" w:right="3359" w:hanging="350"/>
        <w:spacing w:after="0" w:line="235" w:lineRule="auto"/>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22,742 shares issuable upon exercise of stock options exercisable within 60 days.</w:t>
      </w:r>
    </w:p>
    <w:p>
      <w:pPr>
        <w:spacing w:after="0" w:line="200" w:lineRule="exact"/>
        <w:rPr>
          <w:rFonts w:ascii="Courier New" w:cs="Courier New" w:eastAsia="Courier New" w:hAnsi="Courier New"/>
          <w:sz w:val="15"/>
          <w:szCs w:val="15"/>
          <w:color w:val="auto"/>
        </w:rPr>
      </w:pPr>
    </w:p>
    <w:p>
      <w:pPr>
        <w:spacing w:after="0" w:line="314" w:lineRule="exact"/>
        <w:rPr>
          <w:rFonts w:ascii="Courier New" w:cs="Courier New" w:eastAsia="Courier New" w:hAnsi="Courier New"/>
          <w:sz w:val="15"/>
          <w:szCs w:val="15"/>
          <w:color w:val="auto"/>
        </w:rPr>
      </w:pPr>
    </w:p>
    <w:p>
      <w:pPr>
        <w:ind w:left="350" w:right="3179" w:hanging="350"/>
        <w:spacing w:after="0" w:line="258" w:lineRule="auto"/>
        <w:tabs>
          <w:tab w:leader="none" w:pos="35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1,054,835 shares held outright. Includes 101,587 shares currently issuable upon the exercise of warrants issued on August 3, 2000. Includes 19,900 shares currently issuable upon the exercise of warrants issued on August 30, 2000. Includes 461,894 if shares currently issuable upon exercise of an option issued on August 3, 2000 to purchase up to $2 million of our Common Stock based upon the market price of the Common Stock at the time of</w:t>
      </w:r>
    </w:p>
    <w:p>
      <w:pPr>
        <w:sectPr>
          <w:pgSz w:w="11900" w:h="16838" w:orient="portrait"/>
          <w:cols w:equalWidth="0" w:num="1">
            <w:col w:w="10229"/>
          </w:cols>
          <w:pgMar w:left="230" w:top="458" w:right="1440" w:bottom="0" w:gutter="0" w:footer="0" w:header="0"/>
        </w:sectPr>
      </w:pPr>
    </w:p>
    <w:bookmarkStart w:id="61" w:name="page62"/>
    <w:bookmarkEnd w:id="61"/>
    <w:p>
      <w:pPr>
        <w:ind w:right="3259"/>
        <w:spacing w:after="0" w:line="237" w:lineRule="auto"/>
        <w:rPr>
          <w:sz w:val="20"/>
          <w:szCs w:val="20"/>
          <w:color w:val="auto"/>
        </w:rPr>
      </w:pPr>
      <w:r>
        <w:rPr>
          <w:rFonts w:ascii="Courier New" w:cs="Courier New" w:eastAsia="Courier New" w:hAnsi="Courier New"/>
          <w:sz w:val="15"/>
          <w:szCs w:val="15"/>
          <w:color w:val="auto"/>
        </w:rPr>
        <w:t>the exercise. Includes 50,808 shares issuable upon the exercise of warrants issuable upon exercise of the afore mentioned option. Includes 463,369 shares issuable upon exercise of an adjustable warrant.</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9879"/>
          </w:cols>
          <w:pgMar w:left="580" w:top="141"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us rendering strategic business advice and consulting services, including assistance in the negotiation and consummation of strategic collaboration transactions specified by us. Under terms of an agreement dated December 19, 1998, and amended as of July 1, 1999 (the "Letter Agreement") Dr. Schwartz agreed to serve as a Director and Chairman of the Board of Directors of the Company for a term expiring at the 2001 Annual Meeting of Stockholders. The Letter Agreement incorporates certain payments provided for under a consulting services agreement dated July 27, 1998, and amended as of December 19, 1998 (the "Consulting Services Agreement"). As a result, Dr. Schwartz is entitled to a retainer of $192,000 per year plus $1,500 for each Board meeting or Committee meeting (if held at a date and time separate from the Board meeting) physically attended and $500 for each Board meeting or Committee meeting (if held at a date and time separate from the Board meeting) held by conference call, payable quarterly in arrears. Dr. Schwartz is obligated to spend no less than thirty business days per calendar quarter devoted to the performance of his duties under the Letter Agreement. In the event Dr. Schwartz devotes more than thirty business days in any calendar quarter to the performance of his duties, Dr. Schwartz is entitled to receive additional compensation at the rate of $1,500 per day. Under the Letter Agreement,</w:t>
      </w:r>
    </w:p>
    <w:p>
      <w:pPr>
        <w:spacing w:after="0" w:line="7"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Dr. Schwartz was granted a stock option covering 40,000 shares of Common Stock that vests in equal portions on the last day of each of the 29 months of the term of the Letter Agreement. By virtue of provisions incorporated from the Consulting Services Agreement, Dr. Schwartz also holds an option to purchase 76,000 shares of the Company's Common Stock at $1.281 per share, the fair market value of the Company's Common Stock at the time the option was granted, vesting at a rate of 3,167 shares per month for the ensuing 23 months after the date of the grant, with a final vesting of 3,159 shares in the 24th month, plus another option to purchase 48,000 shares of Common Stock at the then current fair market value of the Company's Common Stock on July 27, 1999, vesting at a rate of 2,000 shares per month. In the event Dr. Schwartz ceases to be Chairman of the Board of Directors, either as a result of an affirmative vote of the Board of Directors for reasons other than cause or due to his disability or his resignation from such position, but remains a Director, his cash compensation and remaining unvested portion of the 40,000-share time-based stock option will be reduced to the then current rate for a Director of the Company, plus $5,000 per month pursuant to the Consulting Services Agreement. In the event</w:t>
      </w:r>
    </w:p>
    <w:p>
      <w:pPr>
        <w:spacing w:after="0" w:line="6"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Dr. Schwartz ceases to be Chairman of the Board of Directors, either as a result of an affirmative vote of the Board of Directors for reasons other than cause or due to his disability or his resignation from such position, and then he resigns as a Director or is removed as a Director pursuant to the Company's By-laws, the Company shall have no further obligation to pay cash compensation to</w:t>
      </w:r>
    </w:p>
    <w:p>
      <w:pPr>
        <w:spacing w:after="0" w:line="2"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Dr. Schwartz under the Letter Agreement but he would receive $5,000 per month pursuant to the Consulting Services Agreement. Dr. Schwartz shall have one year from such date to exercise the vested portion of the 40,000-share time-based option and any unvested portion of that option shall lapse. In the event</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Dr. Schwartz is removed from his positions as Director and Chairman of the Board of Directors for cause, as defined in the Letter Agreement, the Company shall have no further obligation to pay cash compensation to Dr. Schwartz under the Letter Agreement, any unvested portion of the 40,000-share time-based option shall lapse and the exercise of any vested portion shall be governed by the terms of the Company's 1992 Equity Incentive Plan. The termination of the Letter Agreement for any reason shall have no effect on the Consulting Services Agreement, which had an initial term through July 27, 2000 and was renewed on a month-to-month basis, and Dr. Schwartz shall serve as a consultant to the Company rendering strategic business advice and counseling services, including assistance in the negotiation and consummation of strategic collaboration transactions specified by the Company as provided therein. At a meeting of the Board on February 23, 2000, in order to conserve cash and demonstrate his continuing confidence in the Company's future, the Board of Directors, upon the suggestion of Dr. Schwartz, approved a resolution revising the compensation arrangement between Dr. Schwartz and the Company, for the period commencing January 1, 2000. Under this resolution, Dr. Schwartz waives any and all cash payments which may accrue to him for his retainer, monthly and</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52" w:right="1440" w:bottom="1440" w:gutter="0" w:footer="0" w:header="0"/>
        </w:sectPr>
      </w:pPr>
    </w:p>
    <w:bookmarkStart w:id="63" w:name="page64"/>
    <w:bookmarkEnd w:id="63"/>
    <w:p>
      <w:pPr>
        <w:ind w:right="3179"/>
        <w:spacing w:after="0" w:line="237" w:lineRule="auto"/>
        <w:rPr>
          <w:sz w:val="20"/>
          <w:szCs w:val="20"/>
          <w:color w:val="auto"/>
        </w:rPr>
      </w:pPr>
      <w:r>
        <w:rPr>
          <w:rFonts w:ascii="Courier New" w:cs="Courier New" w:eastAsia="Courier New" w:hAnsi="Courier New"/>
          <w:sz w:val="15"/>
          <w:szCs w:val="15"/>
          <w:color w:val="auto"/>
        </w:rPr>
        <w:t>meeting fees, and agrees to take, in lieu of such cash payments, compensation in the form of options to purchase shares of the Company's common stock at below-market prices ($0.25 per share). To effectuate the intention of</w:t>
      </w:r>
    </w:p>
    <w:p>
      <w:pPr>
        <w:spacing w:after="0" w:line="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Dr. Schwartz and other members of the Board to change the form but not the amount of compensation, Dr. Schwartz will be granted options covering a number of shares of the Company's common stock such that the difference between the aggregate exercise price of such options and the aggregate market value of the shares underlying such options (using the closing price of the Company's common stock for the date of the subject Board or Committee meeting (if such Committee meeting is not held contemporaneously with a Board meeting) or, with respect to the quarterly or monthly retainer payments of $33,000 and $5,000 respectively, the closing price for the last business day of the quarter or month) is equal to the compensation he is entitled to receive. All options so issued to</w:t>
      </w:r>
    </w:p>
    <w:p>
      <w:pPr>
        <w:spacing w:after="0" w:line="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Dr. Schwartz vest immediately. The Consulting Services Agreement expired under its terms on July 27, 2000 and the board of directors renewed it on a month-to-month basis on September 19, 2000.</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200,000 shares) or in the event of certain changes of control. We have recorded a compensation expense of $823,759 during the fourth quarter of 2000 as a result of this change in the vested portion of the option. The deferred compensation expense associated with the unvested portion of the grants was recorded as $669,116. We plan to revalue the options using the Black-Scholes method on a quarterly basis and recognize additional compensation expense accordingly. The Company also agreed to nominate Dr. Weissman for a position on the Board of Directors. The Consulting Agreement contains confidentiality, noncompetition, and assignment of invention provisions and is for a term of fifteen years, subject to earlier termination by us for cause or frustration of purpose and earlier termination by Dr. Weissman for good reason. Dr. Weissman initially received no compensation as a member of the Board of Directors or for attending meetings of the Board or its committees or meetings of our Scientific Advisory Board, but was reimbursed for reasonable expenses he incurred in attending such meetings. In December 2000, we agreed with Dr. Weissman that we would pay him the same compensation paid to other members of the Board.</w:t>
      </w:r>
    </w:p>
    <w:p>
      <w:pPr>
        <w:spacing w:after="0" w:line="348"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 discretion, grant Mr. McGlynn a bonus option to purchase up to an additional 25,000 shares. The vesting under the option is subject to acceleration in the event of certain changes of control. We also agreed to pay Mr. McGlynn a $50,000 relocation bonus and reimburse him for relocation expenses. Our agreement with Mr. McGlynn provides that if his employment is terminated by the Company without cause or by 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If we terminate Mr. McGlynn's employment for cause or if he resigns, he will not be entitled to any severance or other benefits.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58" w:right="1440" w:bottom="1440" w:gutter="0" w:footer="0" w:header="0"/>
        </w:sectPr>
      </w:pPr>
    </w:p>
    <w:bookmarkStart w:id="64" w:name="page65"/>
    <w:bookmarkEnd w:id="64"/>
    <w:p>
      <w:pPr>
        <w:ind w:right="3179" w:firstLine="353"/>
        <w:spacing w:after="0" w:line="256" w:lineRule="auto"/>
        <w:rPr>
          <w:sz w:val="20"/>
          <w:szCs w:val="20"/>
          <w:color w:val="auto"/>
        </w:rPr>
      </w:pPr>
      <w:r>
        <w:rPr>
          <w:rFonts w:ascii="Courier New" w:cs="Courier New" w:eastAsia="Courier New" w:hAnsi="Courier New"/>
          <w:sz w:val="14"/>
          <w:szCs w:val="14"/>
          <w:color w:val="auto"/>
        </w:rPr>
        <w:t>George W. Dunbar, Jr., Acting President and Chief Executive Officer from February 1, 2000 to January 15, 2001, was a founding member of iCEO, LLC ("iCEO") in September 1999. Mr. Dunbar joined the company as Acting President of StemCells California, Inc., our wholly owned subsidiary, and he held this position until January 15, 2001. Under the terms of two agreements dated as of November 17, 1999 and effective as of November 8, 1999, the first between us and iCEO and the second between us and Mr. Dunbar, Mr. Dunbar agreed to serve as Acting President of StemCells California, Inc., our wholly owned subsidiary. Pursuant to the terms of his agreement with us, Mr. Dunbar was entitled to an annual salary of $175,000 and was granted a stock option to purchase 48,000 shares of our common stock that vested at the rate of 4,000 shares per month commencing on December 6, 1999 and continuing until fully vested so long as he served as Acting President. The vesting under the option was subject to acceleration in the event of certain changes of control. Additionally, the agreement provided that the Board would consider once per quarter the grant of an option for an additional 3,000 shares if it is determined that the services rendered by Mr. Dunbar during the preceding quarter exceeded expectations. The agreement with Mr. Dunbar had no provisions for any severance payments or other benefits upon Mr. Dunbar's resignation or termination. Pursuant to the terms of the agreement between iCEO and us, iCEO was entitled to receive annual compensation of $75,000 for so long as Mr. Dunbar continued to serve in his role as Acting President of StemCells California, Inc. or in any other interim role with the Company. In addition, iCEO was granted a stock option to purchase</w:t>
      </w:r>
    </w:p>
    <w:p>
      <w:pPr>
        <w:spacing w:after="0" w:line="8"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48,000 shares of our common stock that vested at the rate of 4,000 shares per month commencing on December 6, 1999 and continuing until fully vested so long as Mr. Dunbar served as Acting President of StemCells California, Inc. or in any other interim role with the company. Additionally, the iCEO agreement provided that the Board would consider once per quarter the grant of an option to iCEO for an additional 3,000 shares if it is determined that the services rendered by Mr. Dunbar during the preceding quarter exceeded expectations. As a member of iCEO, Mr. Dunbar was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us. When</w:t>
      </w:r>
    </w:p>
    <w:p>
      <w:pPr>
        <w:spacing w:after="0" w:line="4"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Mr. Dunbar was appointed Acting President and Chief Executive Officer effective as of February 1, 2000, there was no adjustment to his or iCEO's compensation or stock options. In the event that during the period of his service as Acting President and Chief Executive Officer or within 120 days from the termination of such services, Mr. Dunbar were to become a permanent employee in any capacity, we would be obligated under the iCEO agreement to pay iCEO a fee equal to one-third of the then targeted first year's compensation for Mr. Dunbar. Our agreements with Mr. Dunbar and iCEO expired in November 2000 and at that time we paid Mr. Dunbar a bonus of $50,000 and granted him an immediately exercisable option to purchase 12,031 shares of common stock. We continued to employ</w:t>
      </w:r>
    </w:p>
    <w:p>
      <w:pPr>
        <w:spacing w:after="0" w:line="3"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Mr. Dunbar in the same capacity until January 15, 2001 at an annual salary of $250,000, and also granted him an option to purchase 8,000 shares of common stock for each additional month, or pro rata portion of a month, of his employment.</w:t>
      </w:r>
    </w:p>
    <w:p>
      <w:pPr>
        <w:spacing w:after="0" w:line="176"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If offerings totaling at least $6 million are not completed during the 6 months, the investors have the right to acquire up to a total of 1,126 additional shares of convertible preferred stock the face value of which is convertible at the option of the holder into common stock at $6.33 per share. Any unconverted preferred stock will be converted into common stock on April 13, 2002 in the case of the original stock issued and two years after the first acquisition of any of the additional 1,126 shares, if any are acquired. The warrants expire on April 13, 2005.</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58" w:right="1440" w:bottom="1440" w:gutter="0" w:footer="0" w:header="0"/>
        </w:sectPr>
      </w:pPr>
    </w:p>
    <w:bookmarkStart w:id="65" w:name="page66"/>
    <w:bookmarkEnd w:id="65"/>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700" w:hanging="357"/>
        <w:spacing w:after="0"/>
        <w:tabs>
          <w:tab w:leader="none" w:pos="7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FILED AS PART OF THIS FORM 10-K.</w:t>
      </w:r>
    </w:p>
    <w:p>
      <w:pPr>
        <w:spacing w:after="0" w:line="169" w:lineRule="exact"/>
        <w:rPr>
          <w:rFonts w:ascii="Courier New" w:cs="Courier New" w:eastAsia="Courier New" w:hAnsi="Courier New"/>
          <w:sz w:val="15"/>
          <w:szCs w:val="15"/>
          <w:color w:val="auto"/>
        </w:rPr>
      </w:pP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 Schedules:</w:t>
      </w:r>
    </w:p>
    <w:p>
      <w:pPr>
        <w:spacing w:after="0" w:line="175" w:lineRule="exact"/>
        <w:rPr>
          <w:sz w:val="20"/>
          <w:szCs w:val="20"/>
          <w:color w:val="auto"/>
        </w:rPr>
      </w:pPr>
    </w:p>
    <w:p>
      <w:pPr>
        <w:ind w:right="3179" w:firstLine="353"/>
        <w:spacing w:after="0" w:line="265" w:lineRule="auto"/>
        <w:rPr>
          <w:sz w:val="20"/>
          <w:szCs w:val="20"/>
          <w:color w:val="auto"/>
        </w:rPr>
      </w:pPr>
      <w:r>
        <w:rPr>
          <w:rFonts w:ascii="Courier New" w:cs="Courier New" w:eastAsia="Courier New" w:hAnsi="Courier New"/>
          <w:sz w:val="14"/>
          <w:szCs w:val="14"/>
          <w:color w:val="auto"/>
        </w:rPr>
        <w:t>Schedules not included herein are omitted because they are not applicable or the required information appears in the Financial Statements or Notes thereto.</w:t>
      </w:r>
    </w:p>
    <w:p>
      <w:pPr>
        <w:spacing w:after="0" w:line="15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 Exhibits.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7140" w:type="dxa"/>
            <w:vAlign w:val="bottom"/>
          </w:tcPr>
          <w:p>
            <w:pPr>
              <w:ind w:left="3620"/>
              <w:spacing w:after="0"/>
              <w:rPr>
                <w:sz w:val="20"/>
                <w:szCs w:val="20"/>
                <w:color w:val="auto"/>
              </w:rPr>
            </w:pPr>
            <w:r>
              <w:rPr>
                <w:rFonts w:ascii="Courier New" w:cs="Courier New" w:eastAsia="Courier New" w:hAnsi="Courier New"/>
                <w:sz w:val="15"/>
                <w:szCs w:val="15"/>
                <w:color w:val="auto"/>
              </w:rPr>
              <w:t>TITLE OR DESCRIPTION</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140" w:type="dxa"/>
            <w:vAlign w:val="bottom"/>
          </w:tcPr>
          <w:p>
            <w:pPr>
              <w:ind w:left="3800"/>
              <w:spacing w:after="0"/>
              <w:rPr>
                <w:sz w:val="20"/>
                <w:szCs w:val="20"/>
                <w:color w:val="auto"/>
              </w:rPr>
            </w:pPr>
            <w:r>
              <w:rPr>
                <w:rFonts w:ascii="Courier New" w:cs="Courier New" w:eastAsia="Courier New" w:hAnsi="Courier New"/>
                <w:sz w:val="15"/>
                <w:szCs w:val="15"/>
                <w:color w:val="auto"/>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w w:val="97"/>
              </w:rPr>
              <w:t>Form of Warrant Certificate issued to a certain purchaser of</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4.3X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4.4X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4.5X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4.6X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4.7X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4.8X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4.9X</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Callable Warrant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w w:val="97"/>
              </w:rPr>
              <w:t>1992 among the Registrant and certain of its stockholders.</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w w:val="99"/>
              </w:rPr>
              <w:t>Form of at-will Employment Agreement between the Registrant</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and most of its employees.</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its Contractors.</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1988 Stock Option Plan.</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1992 Equity Incentive Plan.</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7140" w:type="dxa"/>
            <w:vAlign w:val="bottom"/>
          </w:tcPr>
          <w:p>
            <w:pPr>
              <w:ind w:left="186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0"/>
        </w:trPr>
        <w:tc>
          <w:tcPr>
            <w:tcW w:w="2280" w:type="dxa"/>
            <w:vAlign w:val="bottom"/>
          </w:tcPr>
          <w:p>
            <w:pPr>
              <w:spacing w:after="0"/>
              <w:rPr>
                <w:sz w:val="14"/>
                <w:szCs w:val="14"/>
                <w:color w:val="auto"/>
              </w:rPr>
            </w:pPr>
          </w:p>
        </w:tc>
        <w:tc>
          <w:tcPr>
            <w:tcW w:w="7140" w:type="dxa"/>
            <w:vAlign w:val="bottom"/>
          </w:tcPr>
          <w:p>
            <w:pPr>
              <w:ind w:left="2020"/>
              <w:spacing w:after="0"/>
              <w:rPr>
                <w:sz w:val="20"/>
                <w:szCs w:val="20"/>
                <w:color w:val="auto"/>
              </w:rPr>
            </w:pPr>
            <w:r>
              <w:rPr>
                <w:rFonts w:ascii="Courier New" w:cs="Courier New" w:eastAsia="Courier New" w:hAnsi="Courier New"/>
                <w:sz w:val="15"/>
                <w:szCs w:val="15"/>
                <w:color w:val="auto"/>
              </w:rPr>
              <w:t>1992.</w:t>
            </w:r>
          </w:p>
        </w:tc>
      </w:tr>
      <w:tr>
        <w:trPr>
          <w:trHeight w:val="509"/>
        </w:trPr>
        <w:tc>
          <w:tcPr>
            <w:tcW w:w="2280" w:type="dxa"/>
            <w:vAlign w:val="bottom"/>
          </w:tcPr>
          <w:p>
            <w:pPr>
              <w:spacing w:after="0"/>
              <w:rPr>
                <w:sz w:val="24"/>
                <w:szCs w:val="24"/>
                <w:color w:val="auto"/>
              </w:rPr>
            </w:pPr>
          </w:p>
        </w:tc>
        <w:tc>
          <w:tcPr>
            <w:tcW w:w="7140" w:type="dxa"/>
            <w:vAlign w:val="bottom"/>
          </w:tcPr>
          <w:p>
            <w:pPr>
              <w:ind w:left="1140"/>
              <w:spacing w:after="0"/>
              <w:rPr>
                <w:sz w:val="20"/>
                <w:szCs w:val="20"/>
                <w:color w:val="auto"/>
              </w:rPr>
            </w:pPr>
            <w:r>
              <w:rPr>
                <w:rFonts w:ascii="Courier New" w:cs="Courier New" w:eastAsia="Courier New" w:hAnsi="Courier New"/>
                <w:sz w:val="15"/>
                <w:szCs w:val="15"/>
                <w:color w:val="auto"/>
              </w:rPr>
              <w:t>64</w:t>
            </w:r>
          </w:p>
        </w:tc>
      </w:tr>
    </w:tbl>
    <w:p>
      <w:pPr>
        <w:sectPr>
          <w:pgSz w:w="11900" w:h="16838" w:orient="portrait"/>
          <w:cols w:equalWidth="0" w:num="1">
            <w:col w:w="10219"/>
          </w:cols>
          <w:pgMar w:left="240" w:top="452" w:right="1440"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780" w:type="dxa"/>
            <w:vAlign w:val="bottom"/>
          </w:tcPr>
          <w:p>
            <w:pPr>
              <w:ind w:left="3260"/>
              <w:spacing w:after="0"/>
              <w:rPr>
                <w:sz w:val="20"/>
                <w:szCs w:val="20"/>
                <w:color w:val="auto"/>
              </w:rPr>
            </w:pPr>
            <w:r>
              <w:rPr>
                <w:rFonts w:ascii="Courier New" w:cs="Courier New" w:eastAsia="Courier New" w:hAnsi="Courier New"/>
                <w:sz w:val="15"/>
                <w:szCs w:val="15"/>
                <w:color w:val="auto"/>
              </w:rPr>
              <w:t>TITLE OR DESCRIPTION</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780" w:type="dxa"/>
            <w:vAlign w:val="bottom"/>
          </w:tcPr>
          <w:p>
            <w:pPr>
              <w:ind w:left="3440"/>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The Rhode Island Industrial Facilities Corporation dated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as of September 15, 1994.</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purchasers of the Common Stock and Warrants offered in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April 1995.</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7"/>
              </w:rPr>
              <w:t>Form of Common Stock Purchase Agreement to be executed among</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w w:val="99"/>
              </w:rPr>
              <w:t>the Registrant and certain purchasers of the Registrant's</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Common Stock.</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10.22###</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7"/>
              </w:rPr>
              <w:t>Lease Agreement dated as of November 21, 1997 by and between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Hub RI Properties Trust, as Landlord, and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CytoTherapeutics, Inc., as Tenant.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10.24!!</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w w:val="97"/>
              </w:rPr>
              <w:t>July 10, 1996 among the Company and the individuals listed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therein.</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10.25!!</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CTI Valoria option agreement dated of July 10, 1996 between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10.26!!!</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7"/>
              </w:rPr>
              <w:t>Term Loan Agreement dated as of October 22, 1996 between The</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10.27***</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w w:val="99"/>
              </w:rPr>
              <w:t>among StemCells, Inc., the Registrant and CTI Acquisition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Corp.</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10.28***</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Consulting Agreement dated as of September 25, 1997 between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10.29###</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10.32****</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10.33****</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1997 StemCells Research Stock Option Plan (the "1997 Plan")</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10.34****</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Form of Performance-Based Incentive Option Agreement issued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under the 1997 Plan.</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10.35###</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Employment Agreement dated as of September 25, 1997 between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10.38[*]</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10.40Section**</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Consulting Services Agreement dated as of July 27, 1998, as</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w w:val="97"/>
              </w:rPr>
              <w:t>amended December 19, 1998 between Dr. John J. Schwartz and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10.41Section**</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Letter Agreement dated as of December 19, 1998 between John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J. Schwartz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10.42Section**</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10.43Section**</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10.44Section**</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License Agreement dated as of November 20, 1998 between The</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December 29, 1999 between Neurotech S.A. and the</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Registrant.</w:t>
            </w:r>
          </w:p>
        </w:tc>
      </w:tr>
      <w:tr>
        <w:trPr>
          <w:trHeight w:val="509"/>
        </w:trPr>
        <w:tc>
          <w:tcPr>
            <w:tcW w:w="2640" w:type="dxa"/>
            <w:vAlign w:val="bottom"/>
          </w:tcPr>
          <w:p>
            <w:pPr>
              <w:spacing w:after="0"/>
              <w:rPr>
                <w:sz w:val="24"/>
                <w:szCs w:val="24"/>
                <w:color w:val="auto"/>
              </w:rPr>
            </w:pPr>
          </w:p>
        </w:tc>
        <w:tc>
          <w:tcPr>
            <w:tcW w:w="6780" w:type="dxa"/>
            <w:vAlign w:val="bottom"/>
          </w:tcPr>
          <w:p>
            <w:pPr>
              <w:ind w:left="780"/>
              <w:spacing w:after="0"/>
              <w:rPr>
                <w:sz w:val="20"/>
                <w:szCs w:val="20"/>
                <w:color w:val="auto"/>
              </w:rPr>
            </w:pPr>
            <w:r>
              <w:rPr>
                <w:rFonts w:ascii="Courier New" w:cs="Courier New" w:eastAsia="Courier New" w:hAnsi="Courier New"/>
                <w:sz w:val="15"/>
                <w:szCs w:val="15"/>
                <w:color w:val="auto"/>
              </w:rPr>
              <w:t>65</w:t>
            </w:r>
          </w:p>
        </w:tc>
      </w:tr>
    </w:tbl>
    <w:p>
      <w:pPr>
        <w:sectPr>
          <w:pgSz w:w="11900" w:h="16838" w:orient="portrait"/>
          <w:cols w:equalWidth="0" w:num="1">
            <w:col w:w="10219"/>
          </w:cols>
          <w:pgMar w:left="240" w:top="961" w:right="1440" w:bottom="1440" w:gutter="0" w:footer="0" w:header="0"/>
        </w:sectPr>
      </w:pPr>
    </w:p>
    <w:bookmarkStart w:id="67" w:name="page68"/>
    <w:bookmarkEnd w:id="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780" w:type="dxa"/>
            <w:vAlign w:val="bottom"/>
          </w:tcPr>
          <w:p>
            <w:pPr>
              <w:ind w:left="3260"/>
              <w:spacing w:after="0"/>
              <w:rPr>
                <w:sz w:val="20"/>
                <w:szCs w:val="20"/>
                <w:color w:val="auto"/>
              </w:rPr>
            </w:pPr>
            <w:r>
              <w:rPr>
                <w:rFonts w:ascii="Courier New" w:cs="Courier New" w:eastAsia="Courier New" w:hAnsi="Courier New"/>
                <w:sz w:val="15"/>
                <w:szCs w:val="15"/>
                <w:color w:val="auto"/>
              </w:rPr>
              <w:t>TITLE OR DESCRIPTION</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780" w:type="dxa"/>
            <w:vAlign w:val="bottom"/>
          </w:tcPr>
          <w:p>
            <w:pPr>
              <w:ind w:left="3440"/>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10.46**</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License Agreement dated as of June 1999 between The Scripps</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10.47**</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License Agreement dated as of June 1999 between The Scripps</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10.48X</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10.49X</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10.50</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License Agreement dated as of October 30, 2000 between</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StemCells, Inc. and NeuroSpheres Ltd.</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10.51</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Letter Agreement dated January 2, 2001 between StemCells,</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Inc. and Martin McGlynn.</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10.52</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Lease dated February 1, 2001 between the Board of Trustees</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of Stanford University and StemCells, Inc.</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21X</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9"/>
              </w:rPr>
              <w:t>Cautionary Factors Relevant to Forward-Looking Information.</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6780" w:type="dxa"/>
            <w:vAlign w:val="bottom"/>
          </w:tcPr>
          <w:p>
            <w:pPr>
              <w:ind w:left="1500"/>
              <w:spacing w:after="0"/>
              <w:rPr>
                <w:sz w:val="20"/>
                <w:szCs w:val="20"/>
                <w:color w:val="auto"/>
              </w:rPr>
            </w:pPr>
            <w:r>
              <w:rPr>
                <w:rFonts w:ascii="Courier New" w:cs="Courier New" w:eastAsia="Courier New" w:hAnsi="Courier New"/>
                <w:sz w:val="15"/>
                <w:szCs w:val="15"/>
                <w:color w:val="auto"/>
                <w:w w:val="97"/>
              </w:rPr>
              <w:t>Side Letter dated March 17, 2001 between StemCells, Inc. and</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Oleh S. Hnatiuk regarding NeuroSpheres License Agreement</w:t>
            </w:r>
          </w:p>
        </w:tc>
      </w:tr>
      <w:tr>
        <w:trPr>
          <w:trHeight w:val="170"/>
        </w:trPr>
        <w:tc>
          <w:tcPr>
            <w:tcW w:w="2640" w:type="dxa"/>
            <w:vAlign w:val="bottom"/>
          </w:tcPr>
          <w:p>
            <w:pPr>
              <w:spacing w:after="0"/>
              <w:rPr>
                <w:sz w:val="14"/>
                <w:szCs w:val="14"/>
                <w:color w:val="auto"/>
              </w:rPr>
            </w:pPr>
          </w:p>
        </w:tc>
        <w:tc>
          <w:tcPr>
            <w:tcW w:w="6780" w:type="dxa"/>
            <w:vAlign w:val="bottom"/>
          </w:tcPr>
          <w:p>
            <w:pPr>
              <w:ind w:left="1660"/>
              <w:spacing w:after="0"/>
              <w:rPr>
                <w:sz w:val="20"/>
                <w:szCs w:val="20"/>
                <w:color w:val="auto"/>
              </w:rPr>
            </w:pPr>
            <w:r>
              <w:rPr>
                <w:rFonts w:ascii="Courier New" w:cs="Courier New" w:eastAsia="Courier New" w:hAnsi="Courier New"/>
                <w:sz w:val="15"/>
                <w:szCs w:val="15"/>
                <w:color w:val="auto"/>
              </w:rPr>
              <w:t>dated October 30, 2000.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699" w:hanging="273"/>
        <w:spacing w:after="0" w:line="237" w:lineRule="auto"/>
        <w:tabs>
          <w:tab w:leader="none" w:pos="45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5" w:lineRule="exact"/>
        <w:rPr>
          <w:sz w:val="20"/>
          <w:szCs w:val="20"/>
          <w:color w:val="auto"/>
        </w:rPr>
      </w:pPr>
    </w:p>
    <w:p>
      <w:pPr>
        <w:ind w:left="450" w:right="3699" w:hanging="361"/>
        <w:spacing w:after="0" w:line="237" w:lineRule="auto"/>
        <w:tabs>
          <w:tab w:leader="none" w:pos="4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5" w:lineRule="exact"/>
        <w:rPr>
          <w:sz w:val="20"/>
          <w:szCs w:val="20"/>
          <w:color w:val="auto"/>
        </w:rPr>
      </w:pPr>
    </w:p>
    <w:p>
      <w:pPr>
        <w:ind w:left="450" w:right="3699" w:hanging="450"/>
        <w:spacing w:after="0" w:line="237" w:lineRule="auto"/>
        <w:tabs>
          <w:tab w:leader="none" w:pos="45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5" w:lineRule="exact"/>
        <w:rPr>
          <w:sz w:val="20"/>
          <w:szCs w:val="20"/>
          <w:color w:val="auto"/>
        </w:rPr>
      </w:pPr>
    </w:p>
    <w:p>
      <w:pPr>
        <w:ind w:left="450" w:right="3699" w:hanging="185"/>
        <w:spacing w:after="0" w:line="256" w:lineRule="auto"/>
        <w:tabs>
          <w:tab w:leader="none" w:pos="450"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4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4" w:lineRule="exact"/>
        <w:rPr>
          <w:rFonts w:ascii="Courier New" w:cs="Courier New" w:eastAsia="Courier New" w:hAnsi="Courier New"/>
          <w:sz w:val="14"/>
          <w:szCs w:val="14"/>
          <w:color w:val="auto"/>
        </w:rPr>
      </w:pPr>
    </w:p>
    <w:p>
      <w:pPr>
        <w:jc w:val="both"/>
        <w:ind w:left="350" w:right="3179" w:hanging="173"/>
        <w:spacing w:after="0" w:line="237" w:lineRule="auto"/>
        <w:tabs>
          <w:tab w:leader="none" w:pos="35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5" w:lineRule="exact"/>
        <w:rPr>
          <w:sz w:val="20"/>
          <w:szCs w:val="20"/>
          <w:color w:val="auto"/>
        </w:rPr>
      </w:pPr>
    </w:p>
    <w:p>
      <w:pPr>
        <w:ind w:left="450" w:right="3179" w:hanging="273"/>
        <w:spacing w:after="0" w:line="237" w:lineRule="auto"/>
        <w:tabs>
          <w:tab w:leader="none" w:pos="45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6" w:lineRule="exact"/>
        <w:rPr>
          <w:rFonts w:ascii="Courier New" w:cs="Courier New" w:eastAsia="Courier New" w:hAnsi="Courier New"/>
          <w:sz w:val="15"/>
          <w:szCs w:val="15"/>
          <w:color w:val="auto"/>
        </w:rPr>
      </w:pPr>
    </w:p>
    <w:p>
      <w:pPr>
        <w:ind w:left="350" w:right="3179" w:hanging="261"/>
        <w:spacing w:after="0" w:line="237" w:lineRule="auto"/>
        <w:tabs>
          <w:tab w:leader="none" w:pos="35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5" w:lineRule="exact"/>
        <w:rPr>
          <w:sz w:val="20"/>
          <w:szCs w:val="20"/>
          <w:color w:val="auto"/>
        </w:rPr>
      </w:pPr>
    </w:p>
    <w:p>
      <w:pPr>
        <w:ind w:left="450" w:right="3179" w:hanging="185"/>
        <w:spacing w:after="0" w:line="237" w:lineRule="auto"/>
        <w:tabs>
          <w:tab w:leader="none" w:pos="4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the fiscal year ended December 31, 1993 and filed on March 30, 1994.</w:t>
      </w:r>
    </w:p>
    <w:p>
      <w:pPr>
        <w:spacing w:after="0" w:line="175" w:lineRule="exact"/>
        <w:rPr>
          <w:sz w:val="20"/>
          <w:szCs w:val="20"/>
          <w:color w:val="auto"/>
        </w:rPr>
      </w:pPr>
    </w:p>
    <w:p>
      <w:pPr>
        <w:ind w:left="450" w:right="3359" w:hanging="185"/>
        <w:spacing w:after="0" w:line="237" w:lineRule="auto"/>
        <w:tabs>
          <w:tab w:leader="none" w:pos="45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29"/>
          </w:cols>
          <w:pgMar w:left="230" w:top="961" w:right="1440" w:bottom="1440" w:gutter="0" w:footer="0" w:header="0"/>
        </w:sectPr>
      </w:pPr>
    </w:p>
    <w:bookmarkStart w:id="68" w:name="page69"/>
    <w:bookmarkEnd w:id="68"/>
    <w:p>
      <w:pPr>
        <w:ind w:left="450" w:right="3359" w:hanging="273"/>
        <w:spacing w:after="0" w:line="237" w:lineRule="auto"/>
        <w:tabs>
          <w:tab w:leader="none" w:pos="45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5" w:lineRule="exact"/>
        <w:rPr>
          <w:sz w:val="20"/>
          <w:szCs w:val="20"/>
          <w:color w:val="auto"/>
        </w:rPr>
      </w:pPr>
    </w:p>
    <w:p>
      <w:pPr>
        <w:jc w:val="both"/>
        <w:ind w:left="530" w:right="3439" w:hanging="353"/>
        <w:spacing w:after="0" w:line="260" w:lineRule="auto"/>
        <w:tabs>
          <w:tab w:leader="none" w:pos="53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63" w:lineRule="exact"/>
        <w:rPr>
          <w:sz w:val="20"/>
          <w:szCs w:val="20"/>
          <w:color w:val="auto"/>
        </w:rPr>
      </w:pPr>
    </w:p>
    <w:p>
      <w:pPr>
        <w:jc w:val="both"/>
        <w:ind w:left="530" w:right="3439" w:hanging="441"/>
        <w:spacing w:after="0" w:line="237" w:lineRule="auto"/>
        <w:tabs>
          <w:tab w:leader="none" w:pos="53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5" w:lineRule="exact"/>
        <w:rPr>
          <w:sz w:val="20"/>
          <w:szCs w:val="20"/>
          <w:color w:val="auto"/>
        </w:rPr>
      </w:pPr>
    </w:p>
    <w:p>
      <w:pPr>
        <w:ind w:left="450" w:right="3259" w:hanging="361"/>
        <w:spacing w:after="0" w:line="237" w:lineRule="auto"/>
        <w:tabs>
          <w:tab w:leader="none" w:pos="45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4" w:lineRule="exact"/>
        <w:rPr>
          <w:rFonts w:ascii="Courier New" w:cs="Courier New" w:eastAsia="Courier New" w:hAnsi="Courier New"/>
          <w:sz w:val="15"/>
          <w:szCs w:val="15"/>
          <w:color w:val="auto"/>
        </w:rPr>
      </w:pPr>
    </w:p>
    <w:p>
      <w:pPr>
        <w:ind w:left="450" w:right="3699" w:hanging="450"/>
        <w:spacing w:after="0" w:line="237" w:lineRule="auto"/>
        <w:tabs>
          <w:tab w:leader="none" w:pos="45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4"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1997 and filed on March 30, 1998.</w:t>
      </w:r>
    </w:p>
    <w:p>
      <w:pPr>
        <w:spacing w:after="0" w:line="175" w:lineRule="exact"/>
        <w:rPr>
          <w:sz w:val="20"/>
          <w:szCs w:val="20"/>
          <w:color w:val="auto"/>
        </w:rPr>
      </w:pPr>
    </w:p>
    <w:p>
      <w:pPr>
        <w:ind w:left="450" w:right="3359" w:hanging="361"/>
        <w:spacing w:after="0" w:line="237"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5" w:lineRule="exact"/>
        <w:rPr>
          <w:sz w:val="20"/>
          <w:szCs w:val="20"/>
          <w:color w:val="auto"/>
        </w:rPr>
      </w:pPr>
    </w:p>
    <w:p>
      <w:pPr>
        <w:ind w:left="970" w:right="3179" w:hanging="699"/>
        <w:spacing w:after="0" w:line="237" w:lineRule="auto"/>
        <w:tabs>
          <w:tab w:leader="none" w:pos="949" w:val="left"/>
        </w:tabs>
        <w:rPr>
          <w:sz w:val="20"/>
          <w:szCs w:val="20"/>
          <w:color w:val="auto"/>
        </w:rPr>
      </w:pPr>
      <w:r>
        <w:rPr>
          <w:rFonts w:ascii="Courier New" w:cs="Courier New" w:eastAsia="Courier New" w:hAnsi="Courier New"/>
          <w:sz w:val="15"/>
          <w:szCs w:val="15"/>
          <w:color w:val="auto"/>
        </w:rPr>
        <w:t>Section</w:t>
        <w:tab/>
        <w:t>Previously filed with the Commission as an Exhibit to, and incorporated herein by reference to, the Registrant's annual report on Form 10-K for the fiscal year ended December 31, 1998 and filed on March 31, 1999.</w:t>
      </w:r>
    </w:p>
    <w:p>
      <w:pPr>
        <w:spacing w:after="0" w:line="176" w:lineRule="exact"/>
        <w:rPr>
          <w:sz w:val="20"/>
          <w:szCs w:val="20"/>
          <w:color w:val="auto"/>
        </w:rPr>
      </w:pPr>
    </w:p>
    <w:p>
      <w:pPr>
        <w:ind w:left="1490" w:right="3359" w:hanging="1319"/>
        <w:spacing w:after="0" w:line="237" w:lineRule="auto"/>
        <w:tabs>
          <w:tab w:leader="none" w:pos="1469" w:val="left"/>
        </w:tabs>
        <w:rPr>
          <w:sz w:val="20"/>
          <w:szCs w:val="20"/>
          <w:color w:val="auto"/>
        </w:rPr>
      </w:pPr>
      <w:r>
        <w:rPr>
          <w:rFonts w:ascii="Courier New" w:cs="Courier New" w:eastAsia="Courier New" w:hAnsi="Courier New"/>
          <w:sz w:val="15"/>
          <w:szCs w:val="15"/>
          <w:color w:val="auto"/>
        </w:rPr>
        <w:t>SectionSection</w:t>
        <w:tab/>
        <w:t>Previously filed with the Commission as an Exhibit to, and incorporated herein by reference to, the Registrant's current report on Form 8-K on January 14, 2000</w:t>
      </w:r>
    </w:p>
    <w:p>
      <w:pPr>
        <w:spacing w:after="0" w:line="175" w:lineRule="exact"/>
        <w:rPr>
          <w:sz w:val="20"/>
          <w:szCs w:val="20"/>
          <w:color w:val="auto"/>
        </w:rPr>
      </w:pPr>
    </w:p>
    <w:p>
      <w:pPr>
        <w:ind w:left="350" w:right="3619" w:hanging="179"/>
        <w:spacing w:after="0" w:line="237" w:lineRule="auto"/>
        <w:tabs>
          <w:tab w:leader="none" w:pos="329" w:val="left"/>
        </w:tabs>
        <w:rPr>
          <w:sz w:val="20"/>
          <w:szCs w:val="20"/>
          <w:color w:val="auto"/>
        </w:rPr>
      </w:pPr>
      <w:r>
        <w:rPr>
          <w:rFonts w:ascii="Courier New" w:cs="Courier New" w:eastAsia="Courier New" w:hAnsi="Courier New"/>
          <w:sz w:val="15"/>
          <w:szCs w:val="15"/>
          <w:color w:val="auto"/>
        </w:rPr>
        <w:t>X</w:t>
        <w:tab/>
        <w:t>Previously filed with the Commission as an Exhibit to, and incorporated herein by reference to, the Registrant's Registration Statement on Form S-1, File No. 333-45496.</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(B) CURRENT REPORTS ON FORM 8-K.</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29"/>
          </w:cols>
          <w:pgMar w:left="230" w:top="458" w:right="1440" w:bottom="1440" w:gutter="0" w:footer="0" w:header="0"/>
        </w:sectPr>
      </w:pPr>
    </w:p>
    <w:bookmarkStart w:id="69" w:name="page70"/>
    <w:bookmarkEnd w:id="69"/>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1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STEMCELLS, INC.</w:t>
      </w:r>
    </w:p>
    <w:p>
      <w:pPr>
        <w:sectPr>
          <w:pgSz w:w="11900" w:h="16838" w:orient="portrait"/>
          <w:cols w:equalWidth="0" w:num="1">
            <w:col w:w="10219"/>
          </w:cols>
          <w:pgMar w:left="240" w:top="452" w:right="1440" w:bottom="1440" w:gutter="0" w:footer="0" w:header="0"/>
        </w:sectPr>
      </w:pPr>
    </w:p>
    <w:p>
      <w:pPr>
        <w:spacing w:after="0" w:line="180"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5"/>
          <w:szCs w:val="15"/>
          <w:color w:val="auto"/>
        </w:rPr>
        <w:t>/s/ MARTIN MCGLYNN</w:t>
      </w:r>
    </w:p>
    <w:p>
      <w:pPr>
        <w:spacing w:after="0" w:line="5"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5"/>
          <w:szCs w:val="15"/>
          <w:color w:val="auto"/>
        </w:rPr>
        <w:t>Martin McGlynn</w:t>
      </w:r>
    </w:p>
    <w:p>
      <w:pPr>
        <w:jc w:val="center"/>
        <w:ind w:right="1319"/>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5100" w:space="180"/>
            <w:col w:w="4939"/>
          </w:cols>
          <w:pgMar w:left="240" w:top="452"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31, 2001</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SIGNATURES</w:t>
            </w:r>
          </w:p>
        </w:tc>
        <w:tc>
          <w:tcPr>
            <w:tcW w:w="3000" w:type="dxa"/>
            <w:vAlign w:val="bottom"/>
          </w:tcPr>
          <w:p>
            <w:pPr>
              <w:ind w:left="1280"/>
              <w:spacing w:after="0"/>
              <w:rPr>
                <w:sz w:val="20"/>
                <w:szCs w:val="20"/>
                <w:color w:val="auto"/>
              </w:rPr>
            </w:pPr>
            <w:r>
              <w:rPr>
                <w:rFonts w:ascii="Courier New" w:cs="Courier New" w:eastAsia="Courier New" w:hAnsi="Courier New"/>
                <w:sz w:val="15"/>
                <w:szCs w:val="15"/>
                <w:color w:val="auto"/>
              </w:rPr>
              <w:t>CAPACITY</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DATE</w:t>
            </w:r>
          </w:p>
        </w:tc>
      </w:tr>
      <w:tr>
        <w:trPr>
          <w:trHeight w:val="170"/>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080" w:type="dxa"/>
            <w:vAlign w:val="bottom"/>
          </w:tcPr>
          <w:p>
            <w:pPr>
              <w:spacing w:after="0"/>
              <w:rPr>
                <w:sz w:val="24"/>
                <w:szCs w:val="24"/>
                <w:color w:val="auto"/>
              </w:rPr>
            </w:pPr>
          </w:p>
        </w:tc>
        <w:tc>
          <w:tcPr>
            <w:tcW w:w="3000" w:type="dxa"/>
            <w:vAlign w:val="bottom"/>
          </w:tcPr>
          <w:p>
            <w:pPr>
              <w:ind w:left="320"/>
              <w:spacing w:after="0"/>
              <w:rPr>
                <w:sz w:val="20"/>
                <w:szCs w:val="20"/>
                <w:color w:val="auto"/>
              </w:rPr>
            </w:pPr>
            <w:r>
              <w:rPr>
                <w:rFonts w:ascii="Courier New" w:cs="Courier New" w:eastAsia="Courier New" w:hAnsi="Courier New"/>
                <w:sz w:val="15"/>
                <w:szCs w:val="15"/>
                <w:color w:val="auto"/>
              </w:rPr>
              <w:t>President and Chief Executive</w:t>
            </w:r>
          </w:p>
        </w:tc>
        <w:tc>
          <w:tcPr>
            <w:tcW w:w="1380" w:type="dxa"/>
            <w:vAlign w:val="bottom"/>
          </w:tcPr>
          <w:p>
            <w:pPr>
              <w:spacing w:after="0"/>
              <w:rPr>
                <w:sz w:val="24"/>
                <w:szCs w:val="24"/>
                <w:color w:val="auto"/>
              </w:rPr>
            </w:pPr>
          </w:p>
        </w:tc>
      </w:tr>
      <w:tr>
        <w:trPr>
          <w:trHeight w:val="170"/>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/s/ MARTIN MCGLYNN</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Officer and Director</w:t>
            </w:r>
          </w:p>
        </w:tc>
        <w:tc>
          <w:tcPr>
            <w:tcW w:w="1380" w:type="dxa"/>
            <w:vAlign w:val="bottom"/>
          </w:tcPr>
          <w:p>
            <w:pPr>
              <w:spacing w:after="0"/>
              <w:rPr>
                <w:sz w:val="14"/>
                <w:szCs w:val="14"/>
                <w:color w:val="auto"/>
              </w:rPr>
            </w:pP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(principal executive</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March 31, 2001</w:t>
            </w:r>
          </w:p>
        </w:tc>
      </w:tr>
      <w:tr>
        <w:trPr>
          <w:trHeight w:val="170"/>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Martin McGlynn</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officer)</w:t>
            </w:r>
          </w:p>
        </w:tc>
        <w:tc>
          <w:tcPr>
            <w:tcW w:w="1380" w:type="dxa"/>
            <w:vAlign w:val="bottom"/>
          </w:tcPr>
          <w:p>
            <w:pPr>
              <w:spacing w:after="0"/>
              <w:rPr>
                <w:sz w:val="14"/>
                <w:szCs w:val="14"/>
                <w:color w:val="auto"/>
              </w:rPr>
            </w:pPr>
          </w:p>
        </w:tc>
      </w:tr>
      <w:tr>
        <w:trPr>
          <w:trHeight w:val="339"/>
        </w:trPr>
        <w:tc>
          <w:tcPr>
            <w:tcW w:w="4080" w:type="dxa"/>
            <w:vAlign w:val="bottom"/>
          </w:tcPr>
          <w:p>
            <w:pPr>
              <w:spacing w:after="0"/>
              <w:rPr>
                <w:sz w:val="24"/>
                <w:szCs w:val="24"/>
                <w:color w:val="auto"/>
              </w:rPr>
            </w:pPr>
          </w:p>
        </w:tc>
        <w:tc>
          <w:tcPr>
            <w:tcW w:w="3000" w:type="dxa"/>
            <w:vAlign w:val="bottom"/>
          </w:tcPr>
          <w:p>
            <w:pPr>
              <w:ind w:left="320"/>
              <w:spacing w:after="0"/>
              <w:rPr>
                <w:sz w:val="20"/>
                <w:szCs w:val="20"/>
                <w:color w:val="auto"/>
              </w:rPr>
            </w:pPr>
            <w:r>
              <w:rPr>
                <w:rFonts w:ascii="Courier New" w:cs="Courier New" w:eastAsia="Courier New" w:hAnsi="Courier New"/>
                <w:sz w:val="15"/>
                <w:szCs w:val="15"/>
                <w:color w:val="auto"/>
              </w:rPr>
              <w:t>Controller and Acting Chief</w:t>
            </w:r>
          </w:p>
        </w:tc>
        <w:tc>
          <w:tcPr>
            <w:tcW w:w="1380" w:type="dxa"/>
            <w:vAlign w:val="bottom"/>
          </w:tcPr>
          <w:p>
            <w:pPr>
              <w:spacing w:after="0"/>
              <w:rPr>
                <w:sz w:val="24"/>
                <w:szCs w:val="24"/>
                <w:color w:val="auto"/>
              </w:rPr>
            </w:pPr>
          </w:p>
        </w:tc>
      </w:tr>
      <w:tr>
        <w:trPr>
          <w:trHeight w:val="170"/>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/s/ GEORGE KOSHY</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Financial officer (prinipal</w:t>
            </w:r>
          </w:p>
        </w:tc>
        <w:tc>
          <w:tcPr>
            <w:tcW w:w="1380" w:type="dxa"/>
            <w:vAlign w:val="bottom"/>
          </w:tcPr>
          <w:p>
            <w:pPr>
              <w:spacing w:after="0"/>
              <w:rPr>
                <w:sz w:val="14"/>
                <w:szCs w:val="14"/>
                <w:color w:val="auto"/>
              </w:rPr>
            </w:pP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financial officer and</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March 31, 2001</w:t>
            </w:r>
          </w:p>
        </w:tc>
      </w:tr>
      <w:tr>
        <w:trPr>
          <w:trHeight w:val="170"/>
        </w:trPr>
        <w:tc>
          <w:tcPr>
            <w:tcW w:w="408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8"/>
              </w:rPr>
              <w:t>George Koshy</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principal accounting</w:t>
            </w:r>
          </w:p>
        </w:tc>
        <w:tc>
          <w:tcPr>
            <w:tcW w:w="1380" w:type="dxa"/>
            <w:vAlign w:val="bottom"/>
          </w:tcPr>
          <w:p>
            <w:pPr>
              <w:spacing w:after="0"/>
              <w:rPr>
                <w:sz w:val="14"/>
                <w:szCs w:val="14"/>
                <w:color w:val="auto"/>
              </w:rPr>
            </w:pPr>
          </w:p>
        </w:tc>
      </w:tr>
      <w:tr>
        <w:trPr>
          <w:trHeight w:val="170"/>
        </w:trPr>
        <w:tc>
          <w:tcPr>
            <w:tcW w:w="4080" w:type="dxa"/>
            <w:vAlign w:val="bottom"/>
          </w:tcPr>
          <w:p>
            <w:pPr>
              <w:spacing w:after="0"/>
              <w:rPr>
                <w:sz w:val="14"/>
                <w:szCs w:val="14"/>
                <w:color w:val="auto"/>
              </w:rPr>
            </w:pP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officer)</w:t>
            </w:r>
          </w:p>
        </w:tc>
        <w:tc>
          <w:tcPr>
            <w:tcW w:w="1380" w:type="dxa"/>
            <w:vAlign w:val="bottom"/>
          </w:tcPr>
          <w:p>
            <w:pPr>
              <w:spacing w:after="0"/>
              <w:rPr>
                <w:sz w:val="14"/>
                <w:szCs w:val="14"/>
                <w:color w:val="auto"/>
              </w:rPr>
            </w:pPr>
          </w:p>
        </w:tc>
      </w:tr>
      <w:tr>
        <w:trPr>
          <w:trHeight w:val="339"/>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/s/ MARK J. LEVIN</w:t>
            </w:r>
          </w:p>
        </w:tc>
        <w:tc>
          <w:tcPr>
            <w:tcW w:w="3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March 31, 2001</w:t>
            </w: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Mark J. Levin</w:t>
            </w:r>
          </w:p>
        </w:tc>
        <w:tc>
          <w:tcPr>
            <w:tcW w:w="3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9"/>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/s/ ROGER PERLMUTTER, M.D.</w:t>
            </w:r>
          </w:p>
        </w:tc>
        <w:tc>
          <w:tcPr>
            <w:tcW w:w="3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March 31, 2001</w:t>
            </w:r>
          </w:p>
        </w:tc>
      </w:tr>
      <w:tr>
        <w:trPr>
          <w:trHeight w:val="170"/>
        </w:trPr>
        <w:tc>
          <w:tcPr>
            <w:tcW w:w="408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7"/>
              </w:rPr>
              <w:t>Roger Perlmutter, M.D.</w:t>
            </w:r>
          </w:p>
        </w:tc>
        <w:tc>
          <w:tcPr>
            <w:tcW w:w="3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9"/>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/s/ JOHN J. SCHWARTZ, PH.D.</w:t>
            </w:r>
          </w:p>
        </w:tc>
        <w:tc>
          <w:tcPr>
            <w:tcW w:w="3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320"/>
              <w:spacing w:after="0"/>
              <w:rPr>
                <w:sz w:val="20"/>
                <w:szCs w:val="20"/>
                <w:color w:val="auto"/>
              </w:rPr>
            </w:pPr>
            <w:r>
              <w:rPr>
                <w:rFonts w:ascii="Courier New" w:cs="Courier New" w:eastAsia="Courier New" w:hAnsi="Courier New"/>
                <w:sz w:val="15"/>
                <w:szCs w:val="15"/>
                <w:color w:val="auto"/>
              </w:rPr>
              <w:t>Director, Chairman of the</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March 31, 2001</w:t>
            </w: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John J. Schwartz, Ph.D.</w:t>
            </w:r>
          </w:p>
        </w:tc>
        <w:tc>
          <w:tcPr>
            <w:tcW w:w="3000" w:type="dxa"/>
            <w:vAlign w:val="bottom"/>
          </w:tcPr>
          <w:p>
            <w:pPr>
              <w:ind w:left="500"/>
              <w:spacing w:after="0"/>
              <w:rPr>
                <w:sz w:val="20"/>
                <w:szCs w:val="20"/>
                <w:color w:val="auto"/>
              </w:rPr>
            </w:pPr>
            <w:r>
              <w:rPr>
                <w:rFonts w:ascii="Courier New" w:cs="Courier New" w:eastAsia="Courier New" w:hAnsi="Courier New"/>
                <w:sz w:val="15"/>
                <w:szCs w:val="15"/>
                <w:color w:val="auto"/>
              </w:rPr>
              <w:t>Board</w:t>
            </w:r>
          </w:p>
        </w:tc>
        <w:tc>
          <w:tcPr>
            <w:tcW w:w="1380" w:type="dxa"/>
            <w:vAlign w:val="bottom"/>
          </w:tcPr>
          <w:p>
            <w:pPr>
              <w:spacing w:after="0"/>
              <w:rPr>
                <w:sz w:val="14"/>
                <w:szCs w:val="14"/>
                <w:color w:val="auto"/>
              </w:rPr>
            </w:pPr>
          </w:p>
        </w:tc>
      </w:tr>
      <w:tr>
        <w:trPr>
          <w:trHeight w:val="339"/>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/s/ IRVING L. WEISSMAN, M.D.</w:t>
            </w:r>
          </w:p>
        </w:tc>
        <w:tc>
          <w:tcPr>
            <w:tcW w:w="3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4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w:t>
            </w:r>
          </w:p>
        </w:tc>
        <w:tc>
          <w:tcPr>
            <w:tcW w:w="3000" w:type="dxa"/>
            <w:vAlign w:val="bottom"/>
          </w:tcPr>
          <w:p>
            <w:pPr>
              <w:ind w:left="320"/>
              <w:spacing w:after="0"/>
              <w:rPr>
                <w:sz w:val="20"/>
                <w:szCs w:val="20"/>
                <w:color w:val="auto"/>
              </w:rPr>
            </w:pPr>
            <w:r>
              <w:rPr>
                <w:rFonts w:ascii="Courier New" w:cs="Courier New" w:eastAsia="Courier New" w:hAnsi="Courier New"/>
                <w:sz w:val="15"/>
                <w:szCs w:val="15"/>
                <w:color w:val="auto"/>
              </w:rPr>
              <w:t>Director</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March 31, 2001</w:t>
            </w:r>
          </w:p>
        </w:tc>
      </w:tr>
      <w:tr>
        <w:trPr>
          <w:trHeight w:val="170"/>
        </w:trPr>
        <w:tc>
          <w:tcPr>
            <w:tcW w:w="40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Irving L. Weissman, M.D.</w:t>
            </w:r>
          </w:p>
        </w:tc>
        <w:tc>
          <w:tcPr>
            <w:tcW w:w="3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509"/>
        </w:trPr>
        <w:tc>
          <w:tcPr>
            <w:tcW w:w="40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68</w:t>
            </w:r>
          </w:p>
        </w:tc>
        <w:tc>
          <w:tcPr>
            <w:tcW w:w="30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45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2"/>
    </w:lvl>
  </w:abstractNum>
  <w:abstractNum w:abstractNumId="13">
    <w:nsid w:val="3855585C"/>
    <w:multiLevelType w:val="hybridMultilevel"/>
    <w:lvl w:ilvl="0">
      <w:lvlJc w:val="left"/>
      <w:lvlText w:val="%1."/>
      <w:numFmt w:val="decimal"/>
      <w:start w:val="3"/>
    </w:lvl>
  </w:abstractNum>
  <w:abstractNum w:abstractNumId="14">
    <w:nsid w:val="70A64E2A"/>
    <w:multiLevelType w:val="hybridMultilevel"/>
    <w:lvl w:ilvl="0">
      <w:lvlJc w:val="left"/>
      <w:lvlText w:val="-"/>
      <w:numFmt w:val="bullet"/>
      <w:start w:val="1"/>
    </w:lvl>
    <w:lvl w:ilvl="1">
      <w:lvlJc w:val="left"/>
      <w:lvlText w:val="(%2)"/>
      <w:numFmt w:val="lowerRoman"/>
      <w:start w:val="2"/>
    </w:lvl>
  </w:abstractNum>
  <w:abstractNum w:abstractNumId="15">
    <w:nsid w:val="6A2342EC"/>
    <w:multiLevelType w:val="hybridMultilevel"/>
    <w:lvl w:ilvl="0">
      <w:lvlJc w:val="left"/>
      <w:lvlText w:val="%1."/>
      <w:numFmt w:val="decimal"/>
      <w:start w:val="4"/>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2"/>
    </w:lvl>
  </w:abstractNum>
  <w:abstractNum w:abstractNumId="21">
    <w:nsid w:val="7A6D8D3C"/>
    <w:multiLevelType w:val="hybridMultilevel"/>
    <w:lvl w:ilvl="0">
      <w:lvlJc w:val="left"/>
      <w:lvlText w:val="%1."/>
      <w:numFmt w:val="decimal"/>
      <w:start w:val="2"/>
    </w:lvl>
  </w:abstractNum>
  <w:abstractNum w:abstractNumId="22">
    <w:nsid w:val="4B588F54"/>
    <w:multiLevelType w:val="hybridMultilevel"/>
    <w:lvl w:ilvl="0">
      <w:lvlJc w:val="left"/>
      <w:lvlText w:val="%1."/>
      <w:numFmt w:val="decimal"/>
      <w:start w:val="2"/>
    </w:lvl>
  </w:abstractNum>
  <w:abstractNum w:abstractNumId="23">
    <w:nsid w:val="542289EC"/>
    <w:multiLevelType w:val="hybridMultilevel"/>
    <w:lvl w:ilvl="0">
      <w:lvlJc w:val="left"/>
      <w:lvlText w:val="%1."/>
      <w:numFmt w:val="decimal"/>
      <w:start w:val="2"/>
    </w:lvl>
  </w:abstractNum>
  <w:abstractNum w:abstractNumId="24">
    <w:nsid w:val="6DE91B18"/>
    <w:multiLevelType w:val="hybridMultilevel"/>
    <w:lvl w:ilvl="0">
      <w:lvlJc w:val="left"/>
      <w:lvlText w:val="%1."/>
      <w:numFmt w:val="decimal"/>
      <w:start w:val="3"/>
    </w:lvl>
  </w:abstractNum>
  <w:abstractNum w:abstractNumId="25">
    <w:nsid w:val="38437FDB"/>
    <w:multiLevelType w:val="hybridMultilevel"/>
    <w:lvl w:ilvl="0">
      <w:lvlJc w:val="left"/>
      <w:lvlText w:val="%1."/>
      <w:numFmt w:val="decimal"/>
      <w:start w:val="3"/>
    </w:lvl>
  </w:abstractNum>
  <w:abstractNum w:abstractNumId="26">
    <w:nsid w:val="7644A45C"/>
    <w:multiLevelType w:val="hybridMultilevel"/>
    <w:lvl w:ilvl="0">
      <w:lvlJc w:val="left"/>
      <w:lvlText w:val="%1."/>
      <w:numFmt w:val="decimal"/>
      <w:start w:val="3"/>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3"/>
    </w:lvl>
  </w:abstractNum>
  <w:abstractNum w:abstractNumId="29">
    <w:nsid w:val="579478FE"/>
    <w:multiLevelType w:val="hybridMultilevel"/>
    <w:lvl w:ilvl="0">
      <w:lvlJc w:val="left"/>
      <w:lvlText w:val="%1."/>
      <w:numFmt w:val="decimal"/>
      <w:start w:val="5"/>
    </w:lvl>
  </w:abstractNum>
  <w:abstractNum w:abstractNumId="30">
    <w:nsid w:val="749ABB43"/>
    <w:multiLevelType w:val="hybridMultilevel"/>
    <w:lvl w:ilvl="0">
      <w:lvlJc w:val="left"/>
      <w:lvlText w:val="%1."/>
      <w:numFmt w:val="decimal"/>
      <w:start w:val="6"/>
    </w:lvl>
  </w:abstractNum>
  <w:abstractNum w:abstractNumId="31">
    <w:nsid w:val="3DC240FB"/>
    <w:multiLevelType w:val="hybridMultilevel"/>
    <w:lvl w:ilvl="0">
      <w:lvlJc w:val="left"/>
      <w:lvlText w:val="%1."/>
      <w:numFmt w:val="decimal"/>
      <w:start w:val="6"/>
    </w:lvl>
  </w:abstractNum>
  <w:abstractNum w:abstractNumId="32">
    <w:nsid w:val="1BA026FA"/>
    <w:multiLevelType w:val="hybridMultilevel"/>
    <w:lvl w:ilvl="0">
      <w:lvlJc w:val="left"/>
      <w:lvlText w:val="%1."/>
      <w:numFmt w:val="decimal"/>
      <w:start w:val="7"/>
    </w:lvl>
  </w:abstractNum>
  <w:abstractNum w:abstractNumId="33">
    <w:nsid w:val="79A1DEAA"/>
    <w:multiLevelType w:val="hybridMultilevel"/>
    <w:lvl w:ilvl="0">
      <w:lvlJc w:val="left"/>
      <w:lvlText w:val="%1."/>
      <w:numFmt w:val="decimal"/>
      <w:start w:val="8"/>
    </w:lvl>
  </w:abstractNum>
  <w:abstractNum w:abstractNumId="34">
    <w:nsid w:val="75C6C33A"/>
    <w:multiLevelType w:val="hybridMultilevel"/>
    <w:lvl w:ilvl="0">
      <w:lvlJc w:val="left"/>
      <w:lvlText w:val="%1."/>
      <w:numFmt w:val="decimal"/>
      <w:start w:val="9"/>
    </w:lvl>
  </w:abstractNum>
  <w:abstractNum w:abstractNumId="35">
    <w:nsid w:val="12E685FB"/>
    <w:multiLevelType w:val="hybridMultilevel"/>
    <w:lvl w:ilvl="0">
      <w:lvlJc w:val="left"/>
      <w:lvlText w:val="%1."/>
      <w:numFmt w:val="decimal"/>
      <w:start w:val="9"/>
    </w:lvl>
  </w:abstractNum>
  <w:abstractNum w:abstractNumId="36">
    <w:nsid w:val="70C6A529"/>
    <w:multiLevelType w:val="hybridMultilevel"/>
    <w:lvl w:ilvl="0">
      <w:lvlJc w:val="left"/>
      <w:lvlText w:val="%1."/>
      <w:numFmt w:val="decimal"/>
      <w:start w:val="10"/>
    </w:lvl>
  </w:abstractNum>
  <w:abstractNum w:abstractNumId="37">
    <w:nsid w:val="520EEDD1"/>
    <w:multiLevelType w:val="hybridMultilevel"/>
    <w:lvl w:ilvl="0">
      <w:lvlJc w:val="left"/>
      <w:lvlText w:val="%1."/>
      <w:numFmt w:val="decimal"/>
      <w:start w:val="10"/>
    </w:lvl>
  </w:abstractNum>
  <w:abstractNum w:abstractNumId="38">
    <w:nsid w:val="374A3FE6"/>
    <w:multiLevelType w:val="hybridMultilevel"/>
    <w:lvl w:ilvl="0">
      <w:lvlJc w:val="left"/>
      <w:lvlText w:val="%1."/>
      <w:numFmt w:val="decimal"/>
      <w:start w:val="10"/>
    </w:lvl>
  </w:abstractNum>
  <w:abstractNum w:abstractNumId="39">
    <w:nsid w:val="4F4EF005"/>
    <w:multiLevelType w:val="hybridMultilevel"/>
    <w:lvl w:ilvl="0">
      <w:lvlJc w:val="left"/>
      <w:lvlText w:val="%1."/>
      <w:numFmt w:val="decimal"/>
      <w:start w:val="10"/>
    </w:lvl>
  </w:abstractNum>
  <w:abstractNum w:abstractNumId="40">
    <w:nsid w:val="23F9C13C"/>
    <w:multiLevelType w:val="hybridMultilevel"/>
    <w:lvl w:ilvl="0">
      <w:lvlJc w:val="left"/>
      <w:lvlText w:val="%1."/>
      <w:numFmt w:val="decimal"/>
      <w:start w:val="10"/>
    </w:lvl>
  </w:abstractNum>
  <w:abstractNum w:abstractNumId="41">
    <w:nsid w:val="649BB77C"/>
    <w:multiLevelType w:val="hybridMultilevel"/>
    <w:lvl w:ilvl="0">
      <w:lvlJc w:val="left"/>
      <w:lvlText w:val="%1."/>
      <w:numFmt w:val="decimal"/>
      <w:start w:val="10"/>
    </w:lvl>
  </w:abstractNum>
  <w:abstractNum w:abstractNumId="42">
    <w:nsid w:val="275AC794"/>
    <w:multiLevelType w:val="hybridMultilevel"/>
    <w:lvl w:ilvl="0">
      <w:lvlJc w:val="left"/>
      <w:lvlText w:val="%1."/>
      <w:numFmt w:val="decimal"/>
      <w:start w:val="11"/>
    </w:lvl>
  </w:abstractNum>
  <w:abstractNum w:abstractNumId="43">
    <w:nsid w:val="39386575"/>
    <w:multiLevelType w:val="hybridMultilevel"/>
    <w:lvl w:ilvl="0">
      <w:lvlJc w:val="left"/>
      <w:lvlText w:val="%1."/>
      <w:numFmt w:val="decimal"/>
      <w:start w:val="11"/>
    </w:lvl>
  </w:abstractNum>
  <w:abstractNum w:abstractNumId="44">
    <w:nsid w:val="1CF10FD8"/>
    <w:multiLevelType w:val="hybridMultilevel"/>
    <w:lvl w:ilvl="0">
      <w:lvlJc w:val="left"/>
      <w:lvlText w:val="%1."/>
      <w:numFmt w:val="decimal"/>
      <w:start w:val="12"/>
    </w:lvl>
  </w:abstractNum>
  <w:abstractNum w:abstractNumId="45">
    <w:nsid w:val="180115BE"/>
    <w:multiLevelType w:val="hybridMultilevel"/>
    <w:lvl w:ilvl="0">
      <w:lvlJc w:val="left"/>
      <w:lvlText w:val="%1."/>
      <w:numFmt w:val="decimal"/>
      <w:start w:val="13"/>
    </w:lvl>
  </w:abstractNum>
  <w:abstractNum w:abstractNumId="46">
    <w:nsid w:val="235BA861"/>
    <w:multiLevelType w:val="hybridMultilevel"/>
    <w:lvl w:ilvl="0">
      <w:lvlJc w:val="left"/>
      <w:lvlText w:val="%1."/>
      <w:numFmt w:val="decimal"/>
      <w:start w:val="14"/>
    </w:lvl>
  </w:abstractNum>
  <w:abstractNum w:abstractNumId="47">
    <w:nsid w:val="47398C89"/>
    <w:multiLevelType w:val="hybridMultilevel"/>
    <w:lvl w:ilvl="0">
      <w:lvlJc w:val="left"/>
      <w:lvlText w:val="%1."/>
      <w:numFmt w:val="decimal"/>
      <w:start w:val="14"/>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lowerRoman"/>
      <w:start w:val="3"/>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upperLetter"/>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lvl w:ilvl="1">
      <w:lvlJc w:val="left"/>
      <w:lvlText w:val="*"/>
      <w:numFmt w:val="bullet"/>
      <w:start w:val="1"/>
    </w:lvl>
  </w:abstractNum>
  <w:abstractNum w:abstractNumId="60">
    <w:nsid w:val="2F305DEF"/>
    <w:multiLevelType w:val="hybridMultilevel"/>
    <w:lvl w:ilvl="0">
      <w:lvlJc w:val="left"/>
      <w:lvlText w:val="##"/>
      <w:numFmt w:val="bullet"/>
      <w:start w:val="1"/>
    </w:lvl>
    <w:lvl w:ilvl="1">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lvl w:ilvl="1">
      <w:lvlJc w:val="left"/>
      <w:lvlText w:val="***"/>
      <w:numFmt w:val="bullet"/>
      <w:start w:val="1"/>
    </w:lvl>
  </w:abstractNum>
  <w:abstractNum w:abstractNumId="67">
    <w:nsid w:val="100F8FCA"/>
    <w:multiLevelType w:val="hybridMultilevel"/>
    <w:lvl w:ilvl="0">
      <w:lvlJc w:val="left"/>
      <w:lvlText w:val="###"/>
      <w:numFmt w:val="bullet"/>
      <w:start w:val="1"/>
    </w:lvl>
    <w:lvl w:ilvl="1">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2019-12-13T21:02:54Z</dcterms:created>
  <dcterms:modified xsi:type="dcterms:W3CDTF">2019-12-13T21:02:54Z</dcterms:modified>
</cp:coreProperties>
</file>