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JUNE 3, 2003</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333-105664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SECURITIES AND EXCHANGE COMMISSION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144780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PRE-EFFECTIVE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FORM S-3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STEMCELLS, INC.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DELAWARE</w:t>
      </w:r>
    </w:p>
    <w:p>
      <w:pPr>
        <w:spacing w:after="0" w:line="1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2836</w:t>
      </w:r>
    </w:p>
    <w:p>
      <w:pPr>
        <w:spacing w:after="0" w:line="15"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(Primary Standard Industrial</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Classification Code Number)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94-3078125</w:t>
      </w:r>
    </w:p>
    <w:p>
      <w:pPr>
        <w:spacing w:after="0" w:line="15"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(I.R.S. Employer Identification No.)</w:t>
      </w:r>
    </w:p>
    <w:p>
      <w:pPr>
        <w:spacing w:after="0" w:line="416" w:lineRule="exact"/>
        <w:rPr>
          <w:sz w:val="20"/>
          <w:szCs w:val="20"/>
          <w:color w:val="auto"/>
        </w:rPr>
      </w:pPr>
    </w:p>
    <w:p>
      <w:pPr>
        <w:sectPr>
          <w:pgSz w:w="11900" w:h="16838" w:orient="portrait"/>
          <w:cols w:equalWidth="0" w:num="3">
            <w:col w:w="4200" w:space="720"/>
            <w:col w:w="2600" w:space="720"/>
            <w:col w:w="3180"/>
          </w:cols>
          <w:pgMar w:left="240" w:top="122" w:right="239"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3155 PORTER DRIVE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(650) 475-3100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(Address, including zip code, and telephone number, including area code, of Registrant’s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IRIS BREST, ESQ.</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STEMCELLS,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(650) 475-3100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(Name, address, including zip code, and telephone number, including area code, of agent for</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COPIES TO:</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GEOFFREY B. DAVIS, ESQ.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Ropes &amp; Gray LLP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5580" w:hanging="415"/>
        <w:spacing w:after="0"/>
        <w:tabs>
          <w:tab w:leader="none" w:pos="5580" w:val="left"/>
        </w:tabs>
        <w:numPr>
          <w:ilvl w:val="1"/>
          <w:numId w:val="1"/>
        </w:numPr>
        <w:rPr>
          <w:rFonts w:ascii="Arial" w:cs="Arial" w:eastAsia="Arial" w:hAnsi="Arial"/>
          <w:sz w:val="16"/>
          <w:szCs w:val="16"/>
          <w:color w:val="auto"/>
        </w:rPr>
      </w:pPr>
      <w:r>
        <w:rPr>
          <w:rFonts w:ascii="Arial" w:cs="Arial" w:eastAsia="Arial" w:hAnsi="Arial"/>
          <w:sz w:val="16"/>
          <w:szCs w:val="16"/>
          <w:color w:val="auto"/>
        </w:rPr>
        <w:t>951-7000</w:t>
      </w:r>
    </w:p>
    <w:p>
      <w:pPr>
        <w:spacing w:after="0" w:line="32" w:lineRule="exact"/>
        <w:rPr>
          <w:rFonts w:ascii="Arial" w:cs="Arial" w:eastAsia="Arial" w:hAnsi="Arial"/>
          <w:sz w:val="16"/>
          <w:szCs w:val="16"/>
          <w:color w:val="auto"/>
        </w:rPr>
      </w:pPr>
    </w:p>
    <w:p>
      <w:pPr>
        <w:ind w:left="5400" w:hanging="427"/>
        <w:spacing w:after="0"/>
        <w:tabs>
          <w:tab w:leader="none" w:pos="5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951-7050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210"/>
        <w:spacing w:after="0" w:line="268" w:lineRule="auto"/>
        <w:rPr>
          <w:sz w:val="20"/>
          <w:szCs w:val="20"/>
          <w:color w:val="auto"/>
        </w:rPr>
      </w:pPr>
      <w:r>
        <w:rPr>
          <w:rFonts w:ascii="Arial" w:cs="Arial" w:eastAsia="Arial" w:hAnsi="Arial"/>
          <w:sz w:val="18"/>
          <w:szCs w:val="18"/>
          <w:color w:val="auto"/>
        </w:rPr>
        <w:t>APPROXIMATE DATE OF COMMENCEMENT OF PROPOSED SALE TO THE PUBLIC: As soon as practicable after this Registration Statement becomes effective.</w:t>
      </w:r>
    </w:p>
    <w:p>
      <w:pPr>
        <w:spacing w:after="0" w:line="186" w:lineRule="exact"/>
        <w:rPr>
          <w:sz w:val="20"/>
          <w:szCs w:val="20"/>
          <w:color w:val="auto"/>
        </w:rPr>
      </w:pPr>
    </w:p>
    <w:p>
      <w:pPr>
        <w:ind w:right="100" w:firstLine="220"/>
        <w:spacing w:after="0" w:line="268"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186" w:lineRule="exact"/>
        <w:rPr>
          <w:sz w:val="20"/>
          <w:szCs w:val="20"/>
          <w:color w:val="auto"/>
        </w:rPr>
      </w:pPr>
    </w:p>
    <w:p>
      <w:pPr>
        <w:ind w:right="500" w:firstLine="220"/>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86" w:lineRule="exact"/>
        <w:rPr>
          <w:sz w:val="20"/>
          <w:szCs w:val="20"/>
          <w:color w:val="auto"/>
        </w:rPr>
      </w:pPr>
    </w:p>
    <w:p>
      <w:pPr>
        <w:ind w:right="760" w:firstLine="220"/>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86" w:lineRule="exact"/>
        <w:rPr>
          <w:sz w:val="20"/>
          <w:szCs w:val="20"/>
          <w:color w:val="auto"/>
        </w:rPr>
      </w:pPr>
    </w:p>
    <w:p>
      <w:pPr>
        <w:ind w:right="740" w:firstLine="220"/>
        <w:spacing w:after="0" w:line="268"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 delivery of the prospectus is expected to be made pursuant to Rule 434, please check the following box: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 OF REGISTRATION FEE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jc w:val="center"/>
              <w:ind w:right="304"/>
              <w:spacing w:after="0"/>
              <w:rPr>
                <w:sz w:val="20"/>
                <w:szCs w:val="20"/>
                <w:color w:val="auto"/>
              </w:rPr>
            </w:pPr>
            <w:r>
              <w:rPr>
                <w:rFonts w:ascii="Arial" w:cs="Arial" w:eastAsia="Arial" w:hAnsi="Arial"/>
                <w:sz w:val="14"/>
                <w:szCs w:val="14"/>
                <w:b w:val="1"/>
                <w:bCs w:val="1"/>
                <w:color w:val="auto"/>
              </w:rPr>
              <w:t>TITLE OF EACH</w:t>
            </w:r>
          </w:p>
        </w:tc>
        <w:tc>
          <w:tcPr>
            <w:tcW w:w="204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8"/>
              </w:rPr>
              <w:t>PROPOSED MAXIMUM</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8"/>
              </w:rPr>
              <w:t>PROPOSED MAXIMUM</w:t>
            </w:r>
          </w:p>
        </w:tc>
        <w:tc>
          <w:tcPr>
            <w:tcW w:w="1740" w:type="dxa"/>
            <w:vAlign w:val="bottom"/>
          </w:tcPr>
          <w:p>
            <w:pPr>
              <w:spacing w:after="0"/>
              <w:rPr>
                <w:sz w:val="14"/>
                <w:szCs w:val="14"/>
                <w:color w:val="auto"/>
              </w:rPr>
            </w:pPr>
          </w:p>
        </w:tc>
      </w:tr>
      <w:tr>
        <w:trPr>
          <w:trHeight w:val="149"/>
        </w:trPr>
        <w:tc>
          <w:tcPr>
            <w:tcW w:w="3000" w:type="dxa"/>
            <w:vAlign w:val="bottom"/>
          </w:tcPr>
          <w:p>
            <w:pPr>
              <w:jc w:val="center"/>
              <w:ind w:right="304"/>
              <w:spacing w:after="0" w:line="149" w:lineRule="exact"/>
              <w:rPr>
                <w:sz w:val="20"/>
                <w:szCs w:val="20"/>
                <w:color w:val="auto"/>
              </w:rPr>
            </w:pPr>
            <w:r>
              <w:rPr>
                <w:rFonts w:ascii="Arial" w:cs="Arial" w:eastAsia="Arial" w:hAnsi="Arial"/>
                <w:sz w:val="14"/>
                <w:szCs w:val="14"/>
                <w:b w:val="1"/>
                <w:bCs w:val="1"/>
                <w:color w:val="auto"/>
                <w:w w:val="94"/>
              </w:rPr>
              <w:t>CLASS OF SECURITIES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AMOUNT TO BE</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AGGREGATE</w:t>
            </w:r>
          </w:p>
        </w:tc>
        <w:tc>
          <w:tcPr>
            <w:tcW w:w="174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96"/>
              </w:rPr>
              <w:t>AMOUNT OF</w:t>
            </w:r>
          </w:p>
        </w:tc>
      </w:tr>
      <w:tr>
        <w:trPr>
          <w:trHeight w:val="153"/>
        </w:trPr>
        <w:tc>
          <w:tcPr>
            <w:tcW w:w="3000" w:type="dxa"/>
            <w:vAlign w:val="bottom"/>
          </w:tcPr>
          <w:p>
            <w:pPr>
              <w:jc w:val="center"/>
              <w:ind w:right="304"/>
              <w:spacing w:after="0" w:line="153" w:lineRule="exact"/>
              <w:rPr>
                <w:sz w:val="20"/>
                <w:szCs w:val="20"/>
                <w:color w:val="auto"/>
              </w:rPr>
            </w:pPr>
            <w:r>
              <w:rPr>
                <w:rFonts w:ascii="Arial" w:cs="Arial" w:eastAsia="Arial" w:hAnsi="Arial"/>
                <w:sz w:val="14"/>
                <w:szCs w:val="14"/>
                <w:b w:val="1"/>
                <w:bCs w:val="1"/>
                <w:color w:val="auto"/>
                <w:w w:val="97"/>
              </w:rPr>
              <w:t>TO BE REGISTERED</w:t>
            </w:r>
          </w:p>
        </w:tc>
        <w:tc>
          <w:tcPr>
            <w:tcW w:w="2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REGISTERED</w:t>
            </w:r>
          </w:p>
        </w:tc>
        <w:tc>
          <w:tcPr>
            <w:tcW w:w="2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PER SHARE (1)</w:t>
            </w:r>
          </w:p>
        </w:tc>
        <w:tc>
          <w:tcPr>
            <w:tcW w:w="2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OFFERING PRICE (1)</w:t>
            </w:r>
          </w:p>
        </w:tc>
        <w:tc>
          <w:tcPr>
            <w:tcW w:w="1740" w:type="dxa"/>
            <w:vAlign w:val="bottom"/>
          </w:tcPr>
          <w:p>
            <w:pPr>
              <w:jc w:val="center"/>
              <w:ind w:left="326"/>
              <w:spacing w:after="0" w:line="153" w:lineRule="exact"/>
              <w:rPr>
                <w:sz w:val="20"/>
                <w:szCs w:val="20"/>
                <w:color w:val="auto"/>
              </w:rPr>
            </w:pPr>
            <w:r>
              <w:rPr>
                <w:rFonts w:ascii="Arial" w:cs="Arial" w:eastAsia="Arial" w:hAnsi="Arial"/>
                <w:sz w:val="14"/>
                <w:szCs w:val="14"/>
                <w:b w:val="1"/>
                <w:bCs w:val="1"/>
                <w:color w:val="auto"/>
                <w:w w:val="97"/>
              </w:rPr>
              <w:t>REGISTRATION FEE</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Common Stock, par value $0.01 per</w:t>
            </w:r>
          </w:p>
        </w:tc>
        <w:tc>
          <w:tcPr>
            <w:tcW w:w="20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2"/>
        </w:trPr>
        <w:tc>
          <w:tcPr>
            <w:tcW w:w="3000" w:type="dxa"/>
            <w:vAlign w:val="bottom"/>
          </w:tcPr>
          <w:p>
            <w:pPr>
              <w:ind w:left="140"/>
              <w:spacing w:after="0"/>
              <w:rPr>
                <w:sz w:val="20"/>
                <w:szCs w:val="20"/>
                <w:color w:val="auto"/>
              </w:rPr>
            </w:pPr>
            <w:r>
              <w:rPr>
                <w:rFonts w:ascii="Arial" w:cs="Arial" w:eastAsia="Arial" w:hAnsi="Arial"/>
                <w:sz w:val="18"/>
                <w:szCs w:val="18"/>
                <w:color w:val="auto"/>
              </w:rPr>
              <w:t>share</w:t>
            </w:r>
          </w:p>
        </w:tc>
        <w:tc>
          <w:tcPr>
            <w:tcW w:w="2040" w:type="dxa"/>
            <w:vAlign w:val="bottom"/>
          </w:tcPr>
          <w:p>
            <w:pPr>
              <w:jc w:val="center"/>
              <w:spacing w:after="0"/>
              <w:rPr>
                <w:sz w:val="20"/>
                <w:szCs w:val="20"/>
                <w:color w:val="auto"/>
              </w:rPr>
            </w:pPr>
            <w:r>
              <w:rPr>
                <w:rFonts w:ascii="Arial" w:cs="Arial" w:eastAsia="Arial" w:hAnsi="Arial"/>
                <w:sz w:val="18"/>
                <w:szCs w:val="18"/>
                <w:color w:val="auto"/>
                <w:w w:val="86"/>
              </w:rPr>
              <w:t>7,250,000 shares</w:t>
            </w:r>
          </w:p>
        </w:tc>
        <w:tc>
          <w:tcPr>
            <w:tcW w:w="2320" w:type="dxa"/>
            <w:vAlign w:val="bottom"/>
          </w:tcPr>
          <w:p>
            <w:pPr>
              <w:jc w:val="right"/>
              <w:ind w:right="927"/>
              <w:spacing w:after="0"/>
              <w:rPr>
                <w:sz w:val="20"/>
                <w:szCs w:val="20"/>
                <w:color w:val="auto"/>
              </w:rPr>
            </w:pPr>
            <w:r>
              <w:rPr>
                <w:rFonts w:ascii="Arial" w:cs="Arial" w:eastAsia="Arial" w:hAnsi="Arial"/>
                <w:sz w:val="18"/>
                <w:szCs w:val="18"/>
                <w:color w:val="auto"/>
              </w:rPr>
              <w:t>$1.53</w:t>
            </w:r>
          </w:p>
        </w:tc>
        <w:tc>
          <w:tcPr>
            <w:tcW w:w="2320" w:type="dxa"/>
            <w:vAlign w:val="bottom"/>
          </w:tcPr>
          <w:p>
            <w:pPr>
              <w:jc w:val="right"/>
              <w:ind w:right="687"/>
              <w:spacing w:after="0"/>
              <w:rPr>
                <w:sz w:val="20"/>
                <w:szCs w:val="20"/>
                <w:color w:val="auto"/>
              </w:rPr>
            </w:pPr>
            <w:r>
              <w:rPr>
                <w:rFonts w:ascii="Arial" w:cs="Arial" w:eastAsia="Arial" w:hAnsi="Arial"/>
                <w:sz w:val="18"/>
                <w:szCs w:val="18"/>
                <w:color w:val="auto"/>
              </w:rPr>
              <w:t>$11,092,500</w:t>
            </w:r>
          </w:p>
        </w:tc>
        <w:tc>
          <w:tcPr>
            <w:tcW w:w="1740" w:type="dxa"/>
            <w:vAlign w:val="bottom"/>
          </w:tcPr>
          <w:p>
            <w:pPr>
              <w:jc w:val="right"/>
              <w:ind w:right="166"/>
              <w:spacing w:after="0"/>
              <w:rPr>
                <w:sz w:val="20"/>
                <w:szCs w:val="20"/>
                <w:color w:val="auto"/>
              </w:rPr>
            </w:pPr>
            <w:r>
              <w:rPr>
                <w:rFonts w:ascii="Arial" w:cs="Arial" w:eastAsia="Arial" w:hAnsi="Arial"/>
                <w:sz w:val="18"/>
                <w:szCs w:val="18"/>
                <w:color w:val="auto"/>
              </w:rPr>
              <w:t>$  898(2)</w:t>
            </w:r>
          </w:p>
        </w:tc>
      </w:tr>
    </w:tbl>
    <w:p>
      <w:pPr>
        <w:spacing w:after="0" w:line="210" w:lineRule="exact"/>
        <w:rPr>
          <w:sz w:val="20"/>
          <w:szCs w:val="20"/>
          <w:color w:val="auto"/>
        </w:rPr>
      </w:pPr>
    </w:p>
    <w:p>
      <w:pPr>
        <w:ind w:left="540" w:right="100" w:hanging="532"/>
        <w:spacing w:after="0" w:line="26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of the Securities Act of 1933, based on the average of the high and low prices as reported on the Nasdaq SmallCap Market on May 23, 2003.</w:t>
      </w:r>
    </w:p>
    <w:p>
      <w:pPr>
        <w:spacing w:after="0" w:line="185"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paid on May 29,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firstLine="216"/>
        <w:spacing w:after="0" w:line="256"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7,250,000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216"/>
        <w:spacing w:after="0" w:line="268" w:lineRule="auto"/>
        <w:rPr>
          <w:sz w:val="20"/>
          <w:szCs w:val="20"/>
          <w:color w:val="auto"/>
        </w:rPr>
      </w:pPr>
      <w:r>
        <w:rPr>
          <w:rFonts w:ascii="Arial" w:cs="Arial" w:eastAsia="Arial" w:hAnsi="Arial"/>
          <w:sz w:val="18"/>
          <w:szCs w:val="18"/>
          <w:color w:val="auto"/>
        </w:rPr>
        <w:t>The selling stockholder listed on page 9 of this prospectus or in an accompanying supplement to this prospectus are offering to sell up to 7,250,000 shares of our common stock.</w:t>
      </w:r>
    </w:p>
    <w:p>
      <w:pPr>
        <w:spacing w:after="0" w:line="186" w:lineRule="exact"/>
        <w:rPr>
          <w:sz w:val="20"/>
          <w:szCs w:val="20"/>
          <w:color w:val="auto"/>
        </w:rPr>
      </w:pPr>
    </w:p>
    <w:p>
      <w:pPr>
        <w:ind w:right="240" w:firstLine="220"/>
        <w:spacing w:after="0" w:line="268" w:lineRule="auto"/>
        <w:rPr>
          <w:sz w:val="20"/>
          <w:szCs w:val="20"/>
          <w:color w:val="auto"/>
        </w:rPr>
      </w:pPr>
      <w:r>
        <w:rPr>
          <w:rFonts w:ascii="Arial" w:cs="Arial" w:eastAsia="Arial" w:hAnsi="Arial"/>
          <w:sz w:val="18"/>
          <w:szCs w:val="18"/>
          <w:color w:val="auto"/>
        </w:rPr>
        <w:t>Our common stock is listed on the Nasdaq SmallCap Market under the symbol “STEM.” The last reported sale price for our common stock on the Nasdaq SmallCap Market on June 2, 2003 was $1.70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SECURITIES OFFERED HEREBY INVOLVE A HIGH DEGREE OF RISK.</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“RISK FACTORS” BEGINNING ON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firstLine="216"/>
        <w:spacing w:after="0" w:line="306" w:lineRule="auto"/>
        <w:rPr>
          <w:sz w:val="20"/>
          <w:szCs w:val="20"/>
          <w:color w:val="auto"/>
        </w:rPr>
      </w:pPr>
      <w:r>
        <w:rPr>
          <w:rFonts w:ascii="Arial" w:cs="Arial" w:eastAsia="Arial" w:hAnsi="Arial"/>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DATE OF THIS PROSPECTUS IS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5" w:name="page6"/>
    <w:bookmarkEnd w:id="5"/>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EXECUTIVE OFFICE</w:t>
        </w:r>
      </w:hyperlink>
    </w:p>
    <w:p>
      <w:pPr>
        <w:spacing w:after="0" w:line="238"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RISK FACTORS</w:t>
        </w:r>
      </w:hyperlink>
    </w:p>
    <w:p>
      <w:pPr>
        <w:spacing w:after="0" w:line="230"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USE OF PROCEEDS</w:t>
        </w:r>
      </w:hyperlink>
    </w:p>
    <w:p>
      <w:pPr>
        <w:spacing w:after="0" w:line="231"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SELLING STOCKHOLDER</w:t>
        </w:r>
      </w:hyperlink>
    </w:p>
    <w:p>
      <w:pPr>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PLAN OF DISTRIBUTION</w:t>
        </w:r>
      </w:hyperlink>
    </w:p>
    <w:p>
      <w:pPr>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LEGAL MATTERS</w:t>
        </w:r>
      </w:hyperlink>
    </w:p>
    <w:p>
      <w:pPr>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EXPERTS</w:t>
        </w:r>
      </w:hyperlink>
    </w:p>
    <w:p>
      <w:pPr>
        <w:spacing w:after="0" w:line="1" w:lineRule="exact"/>
        <w:rPr>
          <w:sz w:val="20"/>
          <w:szCs w:val="20"/>
          <w:color w:val="auto"/>
        </w:rPr>
      </w:pPr>
    </w:p>
    <w:p>
      <w:pPr>
        <w:ind w:right="4519"/>
        <w:spacing w:after="0" w:line="234"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WHERE YOU CAN FIND MORE INFORMATION</w:t>
        </w:r>
      </w:hyperlink>
      <w:r>
        <w:rPr>
          <w:rFonts w:ascii="Arial" w:cs="Arial" w:eastAsia="Arial" w:hAnsi="Arial"/>
          <w:sz w:val="22"/>
          <w:szCs w:val="22"/>
          <w:u w:val="single" w:color="auto"/>
          <w:color w:val="0000EE"/>
        </w:rPr>
        <w:t xml:space="preserve"> </w:t>
      </w:r>
      <w:hyperlink w:anchor="page21">
        <w:r>
          <w:rPr>
            <w:rFonts w:ascii="Arial" w:cs="Arial" w:eastAsia="Arial" w:hAnsi="Arial"/>
            <w:sz w:val="22"/>
            <w:szCs w:val="22"/>
            <w:u w:val="single" w:color="auto"/>
            <w:color w:val="0000EE"/>
          </w:rPr>
          <w:t>INCORPORATION OF DOCUMENTS BY REFERENCE</w:t>
        </w:r>
      </w:hyperlink>
      <w:r>
        <w:rPr>
          <w:rFonts w:ascii="Arial" w:cs="Arial" w:eastAsia="Arial" w:hAnsi="Arial"/>
          <w:sz w:val="22"/>
          <w:szCs w:val="22"/>
          <w:u w:val="single" w:color="auto"/>
          <w:color w:val="0000EE"/>
        </w:rPr>
        <w:t xml:space="preserve"> 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60" w:type="dxa"/>
            <w:vAlign w:val="bottom"/>
          </w:tcPr>
          <w:p>
            <w:pPr>
              <w:ind w:left="218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3"/>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EXECUTIVE OFFICE</w:t>
            </w: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RISK FACTORS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USE OF PROCEEDS</w:t>
            </w: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SELLING STOCKHOLDER</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PLAN OF DISTRIBUTION</w:t>
            </w: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LEGAL MATTERS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EXPERTS</w:t>
            </w: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INCORPORATION OF DOCUMENTS BY REFERENCE</w:t>
            </w: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EXECUTIVE OFFICE</w:t>
      </w:r>
    </w:p>
    <w:p>
      <w:pPr>
        <w:spacing w:after="0" w:line="225" w:lineRule="exact"/>
        <w:rPr>
          <w:sz w:val="20"/>
          <w:szCs w:val="20"/>
          <w:color w:val="auto"/>
        </w:rPr>
      </w:pPr>
    </w:p>
    <w:p>
      <w:pPr>
        <w:ind w:right="580" w:firstLine="220"/>
        <w:spacing w:after="0" w:line="332" w:lineRule="auto"/>
        <w:rPr>
          <w:sz w:val="20"/>
          <w:szCs w:val="20"/>
          <w:color w:val="auto"/>
        </w:rPr>
      </w:pPr>
      <w:r>
        <w:rPr>
          <w:rFonts w:ascii="Arial" w:cs="Arial" w:eastAsia="Arial" w:hAnsi="Arial"/>
          <w:sz w:val="16"/>
          <w:szCs w:val="16"/>
          <w:color w:val="auto"/>
        </w:rPr>
        <w:t>Our principal executive office is located at 3155 Porter Drive, Palo Alto, California 94304 and our telephone number is (650) 475-3100. We maintain a website on the Internet at WWW.STEMCELLSINC.COM. Our website, and the information contained therein, is not a part of this prospectus.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RISK FACTORS</w:t>
      </w:r>
    </w:p>
    <w:p>
      <w:pPr>
        <w:spacing w:after="0" w:line="225" w:lineRule="exact"/>
        <w:rPr>
          <w:sz w:val="20"/>
          <w:szCs w:val="20"/>
          <w:color w:val="auto"/>
        </w:rPr>
      </w:pPr>
    </w:p>
    <w:p>
      <w:pPr>
        <w:ind w:right="80" w:firstLine="216"/>
        <w:spacing w:after="0" w:line="255" w:lineRule="auto"/>
        <w:rPr>
          <w:sz w:val="20"/>
          <w:szCs w:val="20"/>
          <w:color w:val="auto"/>
        </w:rPr>
      </w:pPr>
      <w:r>
        <w:rPr>
          <w:rFonts w:ascii="Arial" w:cs="Arial" w:eastAsia="Arial" w:hAnsi="Arial"/>
          <w:sz w:val="18"/>
          <w:szCs w:val="18"/>
          <w:color w:val="auto"/>
        </w:rPr>
        <w:t>THE OFFERING INVOLVES A HIGH DEGREE OF RISK. YOU SHOULD CAREFULLY CONSIDER THE RISKS DESCRIBED BELOW AND THE OTHER INFORMATION IN THIS PROSPECTUS BEFORE MAKING AN INVESTMENT DECISION REGARDING STEMCELLS, INC. OUR BUSINESS, FINANCIAL CONDITION OR RESULTS OF OPERATIONS COULD BE MATERIALLY ADVERSELY AFFECTED IF ANY OF THESE RISKS ACTUALLY OCCUR. CONSEQUENTIALLY, THE TRADING PRICE OF OUR COMMON STOCK COULD DECLINE, RESULTING IN THE LOSS OF ALL OR PART OF YOUR INVESTMENT.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FINANCIAL SITUATION IS PRECARIOUS.</w:t>
      </w:r>
    </w:p>
    <w:p>
      <w:pPr>
        <w:spacing w:after="0" w:line="225" w:lineRule="exact"/>
        <w:rPr>
          <w:sz w:val="20"/>
          <w:szCs w:val="20"/>
          <w:color w:val="auto"/>
        </w:rPr>
      </w:pPr>
    </w:p>
    <w:p>
      <w:pPr>
        <w:ind w:firstLine="216"/>
        <w:spacing w:after="0" w:line="286" w:lineRule="auto"/>
        <w:rPr>
          <w:sz w:val="20"/>
          <w:szCs w:val="20"/>
          <w:color w:val="auto"/>
        </w:rPr>
      </w:pPr>
      <w:r>
        <w:rPr>
          <w:rFonts w:ascii="Arial" w:cs="Arial" w:eastAsia="Arial" w:hAnsi="Arial"/>
          <w:sz w:val="16"/>
          <w:szCs w:val="16"/>
          <w:color w:val="auto"/>
        </w:rPr>
        <w:t>We have incurred significant operating losses and negative cash flows since inception. We have not achieved profitability and may not be able to realize sufficient revenues to achieve or sustain profitability in the future. Although we have taken actions to reduce our expense rates over the last several quarters, we do not expect to be profitable in the next several years, but rather expect to incur additional operating losses. We have very limited liquidity and capital resources and must quickly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 Unless we obtain additional capital to sustain us on a longer-term basis, these conditions may raise doubt about our ability to continue as a going concern. Our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81" w:lineRule="exact"/>
        <w:rPr>
          <w:sz w:val="20"/>
          <w:szCs w:val="20"/>
          <w:color w:val="auto"/>
        </w:rPr>
      </w:pPr>
    </w:p>
    <w:p>
      <w:pPr>
        <w:ind w:firstLine="216"/>
        <w:spacing w:after="0" w:line="255" w:lineRule="auto"/>
        <w:rPr>
          <w:sz w:val="20"/>
          <w:szCs w:val="20"/>
          <w:color w:val="auto"/>
        </w:rPr>
      </w:pPr>
      <w:r>
        <w:rPr>
          <w:rFonts w:ascii="Arial" w:cs="Arial" w:eastAsia="Arial" w:hAnsi="Arial"/>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At this time, we only expect our capital resources to be sufficient to fund our operations into 2004. Lack of necessary funds may require us to delay, scale back or eliminate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some or all of our research and product development programs and/or our capital expenditures or to license our potential products or technologies to third parties.</w:t>
      </w:r>
    </w:p>
    <w:p>
      <w:pPr>
        <w:spacing w:after="0" w:line="260" w:lineRule="exact"/>
        <w:rPr>
          <w:sz w:val="20"/>
          <w:szCs w:val="20"/>
          <w:color w:val="auto"/>
        </w:rPr>
      </w:pPr>
    </w:p>
    <w:p>
      <w:pPr>
        <w:ind w:right="1360" w:firstLine="220"/>
        <w:spacing w:after="0" w:line="268" w:lineRule="auto"/>
        <w:rPr>
          <w:sz w:val="20"/>
          <w:szCs w:val="20"/>
          <w:color w:val="auto"/>
        </w:rPr>
      </w:pPr>
      <w:r>
        <w:rPr>
          <w:rFonts w:ascii="Arial" w:cs="Arial" w:eastAsia="Arial" w:hAnsi="Arial"/>
          <w:sz w:val="18"/>
          <w:szCs w:val="18"/>
          <w:color w:val="auto"/>
        </w:rPr>
        <w:t>OUR TECHNOLOGY IS AT AN EARLY STAGE OF DISCOVERY AND DEVELOPMENT, AND WE MAY FAIL TO DEVELOP ANY COMMERCIALLY ACCEPTABLE PRODUCTS.</w:t>
      </w:r>
    </w:p>
    <w:p>
      <w:pPr>
        <w:spacing w:after="0" w:line="186" w:lineRule="exact"/>
        <w:rPr>
          <w:sz w:val="20"/>
          <w:szCs w:val="20"/>
          <w:color w:val="auto"/>
        </w:rPr>
      </w:pPr>
    </w:p>
    <w:p>
      <w:pPr>
        <w:ind w:right="40" w:firstLine="220"/>
        <w:spacing w:after="0" w:line="259" w:lineRule="auto"/>
        <w:rPr>
          <w:sz w:val="20"/>
          <w:szCs w:val="20"/>
          <w:color w:val="auto"/>
        </w:rPr>
      </w:pPr>
      <w:r>
        <w:rPr>
          <w:rFonts w:ascii="Arial" w:cs="Arial" w:eastAsia="Arial" w:hAnsi="Arial"/>
          <w:sz w:val="18"/>
          <w:szCs w:val="18"/>
          <w:color w:val="auto"/>
        </w:rPr>
        <w:t>Our stem cell technology is at the early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194" w:lineRule="exact"/>
        <w:rPr>
          <w:sz w:val="20"/>
          <w:szCs w:val="20"/>
          <w:color w:val="auto"/>
        </w:rPr>
      </w:pPr>
    </w:p>
    <w:p>
      <w:pPr>
        <w:ind w:left="820" w:hanging="461"/>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survive and persist in the desired location;</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the intended therapeutic benefits;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properly integrate into existing tissue in the desired manner; or</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 therapeutic benefits equal to or better than the standard of treatment at the time of testing.</w:t>
      </w:r>
    </w:p>
    <w:p>
      <w:pPr>
        <w:spacing w:after="0" w:line="225" w:lineRule="exact"/>
        <w:rPr>
          <w:sz w:val="20"/>
          <w:szCs w:val="20"/>
          <w:color w:val="auto"/>
        </w:rPr>
      </w:pPr>
    </w:p>
    <w:p>
      <w:pPr>
        <w:ind w:right="120" w:firstLine="220"/>
        <w:spacing w:after="0" w:line="256" w:lineRule="auto"/>
        <w:rPr>
          <w:sz w:val="20"/>
          <w:szCs w:val="20"/>
          <w:color w:val="auto"/>
        </w:rPr>
      </w:pPr>
      <w:r>
        <w:rPr>
          <w:rFonts w:ascii="Arial" w:cs="Arial" w:eastAsia="Arial" w:hAnsi="Arial"/>
          <w:sz w:val="18"/>
          <w:szCs w:val="18"/>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w:t>
      </w:r>
    </w:p>
    <w:p>
      <w:pPr>
        <w:spacing w:after="0" w:line="197" w:lineRule="exact"/>
        <w:rPr>
          <w:sz w:val="20"/>
          <w:szCs w:val="20"/>
          <w:color w:val="auto"/>
        </w:rPr>
      </w:pPr>
    </w:p>
    <w:p>
      <w:pPr>
        <w:ind w:right="480" w:firstLine="220"/>
        <w:spacing w:after="0" w:line="332" w:lineRule="auto"/>
        <w:rPr>
          <w:sz w:val="20"/>
          <w:szCs w:val="20"/>
          <w:color w:val="auto"/>
        </w:rPr>
      </w:pPr>
      <w:r>
        <w:rPr>
          <w:rFonts w:ascii="Arial" w:cs="Arial" w:eastAsia="Arial" w:hAnsi="Arial"/>
          <w:sz w:val="16"/>
          <w:szCs w:val="16"/>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139" w:lineRule="exact"/>
        <w:rPr>
          <w:sz w:val="20"/>
          <w:szCs w:val="20"/>
          <w:color w:val="auto"/>
        </w:rPr>
      </w:pPr>
    </w:p>
    <w:p>
      <w:pPr>
        <w:ind w:right="100" w:firstLine="216"/>
        <w:spacing w:after="0" w:line="268" w:lineRule="auto"/>
        <w:rPr>
          <w:sz w:val="20"/>
          <w:szCs w:val="20"/>
          <w:color w:val="auto"/>
        </w:rPr>
      </w:pPr>
      <w:r>
        <w:rPr>
          <w:rFonts w:ascii="Arial" w:cs="Arial" w:eastAsia="Arial" w:hAnsi="Arial"/>
          <w:sz w:val="18"/>
          <w:szCs w:val="18"/>
          <w:color w:val="auto"/>
        </w:rPr>
        <w:t>WE HAVE PAYMENT OBLIGATIONS RESULTING FROM REAL PROPERTY OWNED OR LEASED BY US IN RHODE ISLAND, WHICH DIVERTS FUNDING FROM OUR STEM CELL RESEARCH AND DEVELOPMENT.</w:t>
      </w:r>
    </w:p>
    <w:p>
      <w:pPr>
        <w:spacing w:after="0" w:line="186" w:lineRule="exact"/>
        <w:rPr>
          <w:sz w:val="20"/>
          <w:szCs w:val="20"/>
          <w:color w:val="auto"/>
        </w:rPr>
      </w:pPr>
    </w:p>
    <w:p>
      <w:pPr>
        <w:ind w:right="60" w:firstLine="220"/>
        <w:spacing w:after="0" w:line="294" w:lineRule="auto"/>
        <w:rPr>
          <w:sz w:val="20"/>
          <w:szCs w:val="20"/>
          <w:color w:val="auto"/>
        </w:rPr>
      </w:pPr>
      <w:r>
        <w:rPr>
          <w:rFonts w:ascii="Arial" w:cs="Arial" w:eastAsia="Arial" w:hAnsi="Arial"/>
          <w:sz w:val="16"/>
          <w:szCs w:val="16"/>
          <w:color w:val="auto"/>
        </w:rPr>
        <w:t>Prior to our reorganization in 1999 and the consolidation of our business in California, we carried out our encapsulated cell therapy programs in Lincoln, Rhode Island, where we also had our administrative offices. Although we have vacated the Rhode Island facilities, we remain obligated to make lease payments and payments for operating costs of approximately $1,300,000 per year for our former science and administrative facility, which we have leased through June 30, 2013, and debt service payments and payments for operating costs of approximately $600,000 per year for our former encapsulated cell therapy pilot manufacturing facility, which we own. We have currently subleased a portion of the science and administrative facility, but</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cannot be sure that we will be able to do so for the entire duration of our obligation. We are seeking to sublease the remaining portion of the science and administrative facility. We have currently subleased the entire pilot manufacturing facility, but may not be able to sublease or sell the facility in the future once the current sublease agreements expire. These continuing costs significantly reduce our cash resources and adversely affect our ability to fund further development of our stem cell technology.</w:t>
      </w:r>
    </w:p>
    <w:p>
      <w:pPr>
        <w:spacing w:after="0" w:line="197" w:lineRule="exact"/>
        <w:rPr>
          <w:sz w:val="20"/>
          <w:szCs w:val="20"/>
          <w:color w:val="auto"/>
        </w:rPr>
      </w:pPr>
    </w:p>
    <w:p>
      <w:pPr>
        <w:ind w:right="40" w:firstLine="216"/>
        <w:spacing w:after="0" w:line="268" w:lineRule="auto"/>
        <w:rPr>
          <w:sz w:val="20"/>
          <w:szCs w:val="20"/>
          <w:color w:val="auto"/>
        </w:rPr>
      </w:pPr>
      <w:r>
        <w:rPr>
          <w:rFonts w:ascii="Arial" w:cs="Arial" w:eastAsia="Arial" w:hAnsi="Arial"/>
          <w:sz w:val="18"/>
          <w:szCs w:val="18"/>
          <w:color w:val="auto"/>
        </w:rPr>
        <w:t>WE MAY NEED BUT FAIL TO OBTAIN PARTNERS TO SUPPORT OUR STEM CELL DEVELOPMENT EFFORTS AND TO COMMERCIALIZE OUR TECHNOLOGY.</w:t>
      </w:r>
    </w:p>
    <w:p>
      <w:pPr>
        <w:spacing w:after="0" w:line="186" w:lineRule="exact"/>
        <w:rPr>
          <w:sz w:val="20"/>
          <w:szCs w:val="20"/>
          <w:color w:val="auto"/>
        </w:rPr>
      </w:pPr>
    </w:p>
    <w:p>
      <w:pPr>
        <w:ind w:right="140" w:firstLine="220"/>
        <w:spacing w:after="0" w:line="288" w:lineRule="auto"/>
        <w:rPr>
          <w:sz w:val="20"/>
          <w:szCs w:val="20"/>
          <w:color w:val="auto"/>
        </w:rPr>
      </w:pPr>
      <w:r>
        <w:rPr>
          <w:rFonts w:ascii="Arial" w:cs="Arial" w:eastAsia="Arial" w:hAnsi="Arial"/>
          <w:sz w:val="16"/>
          <w:szCs w:val="16"/>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A HISTORY OF OPERATING LOSSES AND WE MAY FAIL TO OBTAIN REVENUES OR BECOME PROFITABLE.</w:t>
      </w:r>
    </w:p>
    <w:p>
      <w:pPr>
        <w:spacing w:after="0" w:line="225" w:lineRule="exact"/>
        <w:rPr>
          <w:sz w:val="20"/>
          <w:szCs w:val="20"/>
          <w:color w:val="auto"/>
        </w:rPr>
      </w:pPr>
    </w:p>
    <w:p>
      <w:pPr>
        <w:ind w:right="20" w:firstLine="216"/>
        <w:spacing w:after="0" w:line="314" w:lineRule="auto"/>
        <w:rPr>
          <w:sz w:val="20"/>
          <w:szCs w:val="20"/>
          <w:color w:val="auto"/>
        </w:rPr>
      </w:pPr>
      <w:r>
        <w:rPr>
          <w:rFonts w:ascii="Arial" w:cs="Arial" w:eastAsia="Arial" w:hAnsi="Arial"/>
          <w:sz w:val="15"/>
          <w:szCs w:val="15"/>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only one current research grant for our stem cell technology, and we may not obtain any such agreements or additional grants in the future or receive any revenues from them.</w:t>
      </w:r>
    </w:p>
    <w:p>
      <w:pPr>
        <w:spacing w:after="0" w:line="159"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IF WE ARE UNABLE TO PROTECT OUR PATENTS AND PROPRIETARY RIGHTS, OUR BUSINESS, FINANCIAL CONDITION AND RESULTS OF OPERATION WILL BE HARMED.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216"/>
        <w:spacing w:after="0" w:line="285" w:lineRule="auto"/>
        <w:rPr>
          <w:sz w:val="20"/>
          <w:szCs w:val="20"/>
          <w:color w:val="auto"/>
        </w:rPr>
      </w:pPr>
      <w:r>
        <w:rPr>
          <w:rFonts w:ascii="Arial" w:cs="Arial" w:eastAsia="Arial" w:hAnsi="Arial"/>
          <w:sz w:val="16"/>
          <w:szCs w:val="16"/>
          <w:color w:val="auto"/>
        </w:rPr>
        <w:t>We own or license a number of patents and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We cannot be certain that we were the first to make the inventions covered by each of our pending patent applications or that we were the first to file patent applications for such inventions because patent applications are secret until patents are issued in the United States or until the applications are published in foreign countries, and because publication of discoveries in the scientific or patent literature often lags behind actual discoveries.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 Further, patents issue for a limited term and our patents may expire before we utilize them profitably.</w:t>
      </w:r>
    </w:p>
    <w:p>
      <w:pPr>
        <w:spacing w:after="0" w:line="182" w:lineRule="exact"/>
        <w:rPr>
          <w:sz w:val="20"/>
          <w:szCs w:val="20"/>
          <w:color w:val="auto"/>
        </w:rPr>
      </w:pPr>
    </w:p>
    <w:p>
      <w:pPr>
        <w:ind w:right="40" w:firstLine="220"/>
        <w:spacing w:after="0" w:line="254" w:lineRule="auto"/>
        <w:rPr>
          <w:sz w:val="20"/>
          <w:szCs w:val="20"/>
          <w:color w:val="auto"/>
        </w:rPr>
      </w:pPr>
      <w:r>
        <w:rPr>
          <w:rFonts w:ascii="Arial" w:cs="Arial" w:eastAsia="Arial" w:hAnsi="Arial"/>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198" w:lineRule="exact"/>
        <w:rPr>
          <w:sz w:val="20"/>
          <w:szCs w:val="20"/>
          <w:color w:val="auto"/>
        </w:rPr>
      </w:pPr>
    </w:p>
    <w:p>
      <w:pPr>
        <w:ind w:right="220" w:firstLine="220"/>
        <w:spacing w:after="0" w:line="268" w:lineRule="auto"/>
        <w:rPr>
          <w:sz w:val="20"/>
          <w:szCs w:val="20"/>
          <w:color w:val="auto"/>
        </w:rPr>
      </w:pPr>
      <w:r>
        <w:rPr>
          <w:rFonts w:ascii="Arial" w:cs="Arial" w:eastAsia="Arial" w:hAnsi="Arial"/>
          <w:sz w:val="18"/>
          <w:szCs w:val="18"/>
          <w:color w:val="auto"/>
        </w:rPr>
        <w:t>IF OTHERS ARE FIRST TO DISCOVER AND PATENT THE STEM CELLS WE ARE SEEKING TO DISCOVER, WE COULD BE BLOCKED FROM FURTHER WORK ON THOSE STEM CELLS.</w:t>
      </w:r>
    </w:p>
    <w:p>
      <w:pPr>
        <w:spacing w:after="0" w:line="186" w:lineRule="exact"/>
        <w:rPr>
          <w:sz w:val="20"/>
          <w:szCs w:val="20"/>
          <w:color w:val="auto"/>
        </w:rPr>
      </w:pPr>
    </w:p>
    <w:p>
      <w:pPr>
        <w:jc w:val="both"/>
        <w:ind w:right="660" w:firstLine="220"/>
        <w:spacing w:after="0" w:line="259" w:lineRule="auto"/>
        <w:rPr>
          <w:sz w:val="20"/>
          <w:szCs w:val="20"/>
          <w:color w:val="auto"/>
        </w:rPr>
      </w:pPr>
      <w:r>
        <w:rPr>
          <w:rFonts w:ascii="Arial" w:cs="Arial" w:eastAsia="Arial" w:hAnsi="Arial"/>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220"/>
        <w:spacing w:after="0" w:line="268" w:lineRule="auto"/>
        <w:rPr>
          <w:sz w:val="20"/>
          <w:szCs w:val="20"/>
          <w:color w:val="auto"/>
        </w:rPr>
      </w:pPr>
      <w:r>
        <w:rPr>
          <w:rFonts w:ascii="Arial" w:cs="Arial" w:eastAsia="Arial" w:hAnsi="Arial"/>
          <w:sz w:val="18"/>
          <w:szCs w:val="18"/>
          <w:color w:val="auto"/>
        </w:rPr>
        <w:t>IF WE ARE UNABLE TO OBTAIN NECESSARY LICENSES TO THIRD PARTY PATENTS AND OTHER RIGHTS, WE MAY NOT BE ABLE TO COMMERCIALLY DEVELOP OUR EXPECTED PRODUCTS.</w:t>
      </w:r>
    </w:p>
    <w:p>
      <w:pPr>
        <w:spacing w:after="0" w:line="186" w:lineRule="exact"/>
        <w:rPr>
          <w:sz w:val="20"/>
          <w:szCs w:val="20"/>
          <w:color w:val="auto"/>
        </w:rPr>
      </w:pPr>
    </w:p>
    <w:p>
      <w:pPr>
        <w:ind w:right="100" w:firstLine="210"/>
        <w:spacing w:after="0" w:line="294" w:lineRule="auto"/>
        <w:rPr>
          <w:sz w:val="20"/>
          <w:szCs w:val="20"/>
          <w:color w:val="auto"/>
        </w:rPr>
      </w:pPr>
      <w:r>
        <w:rPr>
          <w:rFonts w:ascii="Arial" w:cs="Arial" w:eastAsia="Arial" w:hAnsi="Arial"/>
          <w:sz w:val="16"/>
          <w:szCs w:val="16"/>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w:t>
      </w:r>
    </w:p>
    <w:p>
      <w:pPr>
        <w:spacing w:after="0" w:line="170" w:lineRule="exact"/>
        <w:rPr>
          <w:sz w:val="20"/>
          <w:szCs w:val="20"/>
          <w:color w:val="auto"/>
        </w:rPr>
      </w:pPr>
    </w:p>
    <w:p>
      <w:pPr>
        <w:ind w:right="180" w:firstLine="216"/>
        <w:spacing w:after="0" w:line="256" w:lineRule="auto"/>
        <w:rPr>
          <w:sz w:val="20"/>
          <w:szCs w:val="20"/>
          <w:color w:val="auto"/>
        </w:rPr>
      </w:pPr>
      <w:r>
        <w:rPr>
          <w:rFonts w:ascii="Arial" w:cs="Arial" w:eastAsia="Arial" w:hAnsi="Arial"/>
          <w:sz w:val="18"/>
          <w:szCs w:val="18"/>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COMPETE WITH COMPANIES THAT HAVE SIGNIFICANT ADVANTAGES OVER US.</w:t>
      </w:r>
    </w:p>
    <w:p>
      <w:pPr>
        <w:spacing w:after="0" w:line="225" w:lineRule="exact"/>
        <w:rPr>
          <w:sz w:val="20"/>
          <w:szCs w:val="20"/>
          <w:color w:val="auto"/>
        </w:rPr>
      </w:pPr>
    </w:p>
    <w:p>
      <w:pPr>
        <w:ind w:right="20" w:firstLine="216"/>
        <w:spacing w:after="0" w:line="307" w:lineRule="auto"/>
        <w:rPr>
          <w:sz w:val="20"/>
          <w:szCs w:val="20"/>
          <w:color w:val="auto"/>
        </w:rPr>
      </w:pPr>
      <w:r>
        <w:rPr>
          <w:rFonts w:ascii="Arial" w:cs="Arial" w:eastAsia="Arial" w:hAnsi="Arial"/>
          <w:sz w:val="15"/>
          <w:szCs w:val="15"/>
          <w:color w:val="auto"/>
        </w:rPr>
        <w:t>The market for therapeutic products that address degenerative diseases is large and competition is intense. For example, while we believe that our neural stem cells may have application to Parkinson’s disease, we have no clinical program directed toward that disease at this time. More than twenty companies worldwide, including Merck, Roche, Cephalon, Schering AG and Pharmacia Corp., have at least one clinical trial for Parkinson’s disease in progress at some phase, and some have more than one. At least seven companies already have products on the market. We expect competition to increase. In general, we believe that our most significant competitors will be fully integrated pharmaceutical companies and more established biotechnology companies, such as Biogen, Inc., Genzyme and Celgene. These companies already produce or are developing treatments for degenerative diseases that are not stem cell-based,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other companies, some of which are smaller and may be privately owned, including CellFactors, Diacrin, Geron, Athersys, Titan Pharmaceutricals, Vesta Therapeutics, Layton Bioscience Inc., NueralStem Biopharmaceuticals, NeuroNova, and ReNeuron and with universities and other research institutions who are developing treatments for degenerative diseases that are stem cell-based.</w:t>
      </w:r>
    </w:p>
    <w:p>
      <w:pPr>
        <w:spacing w:after="0" w:line="166" w:lineRule="exact"/>
        <w:rPr>
          <w:sz w:val="20"/>
          <w:szCs w:val="20"/>
          <w:color w:val="auto"/>
        </w:rPr>
      </w:pPr>
    </w:p>
    <w:p>
      <w:pPr>
        <w:ind w:right="500" w:firstLine="220"/>
        <w:spacing w:after="0" w:line="268" w:lineRule="auto"/>
        <w:rPr>
          <w:sz w:val="20"/>
          <w:szCs w:val="20"/>
          <w:color w:val="auto"/>
        </w:rPr>
      </w:pPr>
      <w:r>
        <w:rPr>
          <w:rFonts w:ascii="Arial" w:cs="Arial" w:eastAsia="Arial" w:hAnsi="Arial"/>
          <w:sz w:val="18"/>
          <w:szCs w:val="18"/>
          <w:color w:val="auto"/>
        </w:rPr>
        <w:t>Our competitors may succeed in developing technologies and products that are more effective than the ones we are developing, or that would render our technology obsolete or non-competitive.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firstLine="216"/>
        <w:spacing w:after="0" w:line="306" w:lineRule="auto"/>
        <w:rPr>
          <w:sz w:val="20"/>
          <w:szCs w:val="20"/>
          <w:color w:val="auto"/>
        </w:rPr>
      </w:pPr>
      <w:r>
        <w:rPr>
          <w:rFonts w:ascii="Arial" w:cs="Arial" w:eastAsia="Arial" w:hAnsi="Arial"/>
          <w:sz w:val="16"/>
          <w:szCs w:val="16"/>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161" w:lineRule="exact"/>
        <w:rPr>
          <w:sz w:val="20"/>
          <w:szCs w:val="20"/>
          <w:color w:val="auto"/>
        </w:rPr>
      </w:pPr>
    </w:p>
    <w:p>
      <w:pPr>
        <w:ind w:right="120" w:firstLine="220"/>
        <w:spacing w:after="0" w:line="268" w:lineRule="auto"/>
        <w:rPr>
          <w:sz w:val="20"/>
          <w:szCs w:val="20"/>
          <w:color w:val="auto"/>
        </w:rPr>
      </w:pPr>
      <w:r>
        <w:rPr>
          <w:rFonts w:ascii="Arial" w:cs="Arial" w:eastAsia="Arial" w:hAnsi="Arial"/>
          <w:sz w:val="18"/>
          <w:szCs w:val="18"/>
          <w:color w:val="auto"/>
        </w:rPr>
        <w:t>DEVELOPMENT OF OUR TECHNOLOGY IS SUBJECT TO AND RESTRICTED BY EXTENSIVE GOVERNMENT REGULATION, WHICH COULD IMPEDE OUR BUSINESS.</w:t>
      </w:r>
    </w:p>
    <w:p>
      <w:pPr>
        <w:spacing w:after="0" w:line="186" w:lineRule="exact"/>
        <w:rPr>
          <w:sz w:val="20"/>
          <w:szCs w:val="20"/>
          <w:color w:val="auto"/>
        </w:rPr>
      </w:pPr>
    </w:p>
    <w:p>
      <w:pPr>
        <w:ind w:right="100" w:firstLine="220"/>
        <w:spacing w:after="0" w:line="291" w:lineRule="auto"/>
        <w:rPr>
          <w:sz w:val="20"/>
          <w:szCs w:val="20"/>
          <w:color w:val="auto"/>
        </w:rPr>
      </w:pPr>
      <w:r>
        <w:rPr>
          <w:rFonts w:ascii="Arial" w:cs="Arial" w:eastAsia="Arial" w:hAnsi="Arial"/>
          <w:sz w:val="16"/>
          <w:szCs w:val="16"/>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174" w:lineRule="exact"/>
        <w:rPr>
          <w:sz w:val="20"/>
          <w:szCs w:val="20"/>
          <w:color w:val="auto"/>
        </w:rPr>
      </w:pPr>
    </w:p>
    <w:p>
      <w:pPr>
        <w:ind w:firstLine="216"/>
        <w:spacing w:after="0" w:line="294" w:lineRule="auto"/>
        <w:rPr>
          <w:sz w:val="20"/>
          <w:szCs w:val="20"/>
          <w:color w:val="auto"/>
        </w:rPr>
      </w:pPr>
      <w:r>
        <w:rPr>
          <w:rFonts w:ascii="Arial" w:cs="Arial" w:eastAsia="Arial" w:hAnsi="Arial"/>
          <w:sz w:val="16"/>
          <w:szCs w:val="16"/>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170" w:lineRule="exact"/>
        <w:rPr>
          <w:sz w:val="20"/>
          <w:szCs w:val="20"/>
          <w:color w:val="auto"/>
        </w:rPr>
      </w:pPr>
    </w:p>
    <w:p>
      <w:pPr>
        <w:ind w:right="80" w:firstLine="210"/>
        <w:spacing w:after="0" w:line="290" w:lineRule="auto"/>
        <w:rPr>
          <w:sz w:val="20"/>
          <w:szCs w:val="20"/>
          <w:color w:val="auto"/>
        </w:rPr>
      </w:pPr>
      <w:r>
        <w:rPr>
          <w:rFonts w:ascii="Arial" w:cs="Arial" w:eastAsia="Arial" w:hAnsi="Arial"/>
          <w:sz w:val="16"/>
          <w:szCs w:val="16"/>
          <w:color w:val="auto"/>
        </w:rPr>
        <w:t>Although we do not use embryonic stem cells, government regulation and threatened regulation of embryonic tissue may lead outstanding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172" w:lineRule="exact"/>
        <w:rPr>
          <w:sz w:val="20"/>
          <w:szCs w:val="20"/>
          <w:color w:val="auto"/>
        </w:rPr>
      </w:pPr>
    </w:p>
    <w:p>
      <w:pPr>
        <w:ind w:right="120" w:firstLine="216"/>
        <w:spacing w:after="0" w:line="259" w:lineRule="auto"/>
        <w:rPr>
          <w:sz w:val="20"/>
          <w:szCs w:val="20"/>
          <w:color w:val="auto"/>
        </w:rPr>
      </w:pPr>
      <w:r>
        <w:rPr>
          <w:rFonts w:ascii="Arial" w:cs="Arial" w:eastAsia="Arial" w:hAnsi="Arial"/>
          <w:sz w:val="18"/>
          <w:szCs w:val="18"/>
          <w:color w:val="auto"/>
        </w:rPr>
        <w:t>We may apply for status under the Orphan Drug Act for some of our therapies to gain a seven year period of marketing exclusivity for those therapies. The U.S. Congress in the past has considered, and in the future again may consider, legislation that would restrict the extent and duration of the market exclusivity of an orphan drug. If enacted, such legislation could prevent</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us from obtaining some or all of the benefits of the existing statute even if we were to apply for and be granted orphan drug status with respect to a potential product.</w:t>
      </w:r>
    </w:p>
    <w:p>
      <w:pPr>
        <w:spacing w:after="0" w:line="186" w:lineRule="exact"/>
        <w:rPr>
          <w:sz w:val="20"/>
          <w:szCs w:val="20"/>
          <w:color w:val="auto"/>
        </w:rPr>
      </w:pPr>
    </w:p>
    <w:p>
      <w:pPr>
        <w:ind w:right="80" w:firstLine="220"/>
        <w:spacing w:after="0" w:line="332" w:lineRule="auto"/>
        <w:rPr>
          <w:sz w:val="20"/>
          <w:szCs w:val="20"/>
          <w:color w:val="auto"/>
        </w:rPr>
      </w:pPr>
      <w:r>
        <w:rPr>
          <w:rFonts w:ascii="Arial" w:cs="Arial" w:eastAsia="Arial" w:hAnsi="Arial"/>
          <w:sz w:val="16"/>
          <w:szCs w:val="16"/>
          <w:color w:val="auto"/>
        </w:rPr>
        <w:t>IF WE LOSE THE SERVICES OF KEY PERSONNEL OR ARE UNABLE TO ATTRACT AND RETAIN ADDITIONAL QUALIFIED PERSONNEL, WE MAY HAVE TO DELAY, REDUCE OR ELIMINATE SOME OR ALL OF OUR RESEARCH AND DEVELOPMENT PROGRAMS.</w:t>
      </w:r>
    </w:p>
    <w:p>
      <w:pPr>
        <w:spacing w:after="0" w:line="139" w:lineRule="exact"/>
        <w:rPr>
          <w:sz w:val="20"/>
          <w:szCs w:val="20"/>
          <w:color w:val="auto"/>
        </w:rPr>
      </w:pPr>
    </w:p>
    <w:p>
      <w:pPr>
        <w:ind w:right="120" w:firstLine="216"/>
        <w:spacing w:after="0" w:line="254" w:lineRule="auto"/>
        <w:rPr>
          <w:sz w:val="20"/>
          <w:szCs w:val="20"/>
          <w:color w:val="auto"/>
        </w:rPr>
      </w:pPr>
      <w:r>
        <w:rPr>
          <w:rFonts w:ascii="Arial" w:cs="Arial" w:eastAsia="Arial" w:hAnsi="Arial"/>
          <w:sz w:val="18"/>
          <w:szCs w:val="18"/>
          <w:color w:val="auto"/>
        </w:rPr>
        <w:t>We are highly dependent on the principal members of our management and scientific staff and some of our outside consultants, including the members of our scientific advisory board, our chief executive officer, our vice president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198" w:lineRule="exact"/>
        <w:rPr>
          <w:sz w:val="20"/>
          <w:szCs w:val="20"/>
          <w:color w:val="auto"/>
        </w:rPr>
      </w:pPr>
    </w:p>
    <w:p>
      <w:pPr>
        <w:ind w:right="740" w:firstLine="220"/>
        <w:spacing w:after="0" w:line="268" w:lineRule="auto"/>
        <w:rPr>
          <w:sz w:val="20"/>
          <w:szCs w:val="20"/>
          <w:color w:val="auto"/>
        </w:rPr>
      </w:pPr>
      <w:r>
        <w:rPr>
          <w:rFonts w:ascii="Arial" w:cs="Arial" w:eastAsia="Arial" w:hAnsi="Arial"/>
          <w:sz w:val="18"/>
          <w:szCs w:val="18"/>
          <w:color w:val="auto"/>
        </w:rPr>
        <w:t>SINCE HEALTH CARE INSURERS AND OTHER ORGANIZATIONS MAY NOT PAY FOR OUR PRODUCTS OR MAY IMPOSE LIMITS ON REIMBURSEMENTS, OUR ABILITY TO BECOME PROFITABLE MAY BE REDUCED.</w:t>
      </w:r>
    </w:p>
    <w:p>
      <w:pPr>
        <w:spacing w:after="0" w:line="186" w:lineRule="exact"/>
        <w:rPr>
          <w:sz w:val="20"/>
          <w:szCs w:val="20"/>
          <w:color w:val="auto"/>
        </w:rPr>
      </w:pPr>
    </w:p>
    <w:p>
      <w:pPr>
        <w:ind w:right="140" w:firstLine="220"/>
        <w:spacing w:after="0" w:line="288" w:lineRule="auto"/>
        <w:rPr>
          <w:sz w:val="20"/>
          <w:szCs w:val="20"/>
          <w:color w:val="auto"/>
        </w:rPr>
      </w:pPr>
      <w:r>
        <w:rPr>
          <w:rFonts w:ascii="Arial" w:cs="Arial" w:eastAsia="Arial" w:hAnsi="Arial"/>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174" w:lineRule="exact"/>
        <w:rPr>
          <w:sz w:val="20"/>
          <w:szCs w:val="20"/>
          <w:color w:val="auto"/>
        </w:rPr>
      </w:pPr>
    </w:p>
    <w:p>
      <w:pPr>
        <w:ind w:right="40" w:firstLine="220"/>
        <w:spacing w:after="0" w:line="255" w:lineRule="auto"/>
        <w:rPr>
          <w:sz w:val="20"/>
          <w:szCs w:val="20"/>
          <w:color w:val="auto"/>
        </w:rPr>
      </w:pPr>
      <w:r>
        <w:rPr>
          <w:rFonts w:ascii="Arial" w:cs="Arial" w:eastAsia="Arial" w:hAnsi="Arial"/>
          <w:sz w:val="18"/>
          <w:szCs w:val="18"/>
          <w:color w:val="auto"/>
        </w:rPr>
        <w:t>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216"/>
        <w:spacing w:after="0" w:line="268" w:lineRule="auto"/>
        <w:rPr>
          <w:sz w:val="20"/>
          <w:szCs w:val="20"/>
          <w:color w:val="auto"/>
        </w:rPr>
      </w:pPr>
      <w:r>
        <w:rPr>
          <w:rFonts w:ascii="Arial" w:cs="Arial" w:eastAsia="Arial" w:hAnsi="Arial"/>
          <w:sz w:val="18"/>
          <w:szCs w:val="18"/>
          <w:color w:val="auto"/>
        </w:rPr>
        <w:t>WE HAVE LIMITED LIQUIDITY AND CAPITAL RESOURCES AND MAY NOT OBTAIN THE SIGNIFICANT CAPITAL RESOURCES WE WILL NEED TO SUSTAIN OUR RESEARCH AND DEVELOPMENT EFFORTS.</w:t>
      </w:r>
    </w:p>
    <w:p>
      <w:pPr>
        <w:spacing w:after="0" w:line="186" w:lineRule="exact"/>
        <w:rPr>
          <w:sz w:val="20"/>
          <w:szCs w:val="20"/>
          <w:color w:val="auto"/>
        </w:rPr>
      </w:pPr>
    </w:p>
    <w:p>
      <w:pPr>
        <w:ind w:right="40" w:firstLine="216"/>
        <w:spacing w:after="0" w:line="294" w:lineRule="auto"/>
        <w:rPr>
          <w:sz w:val="20"/>
          <w:szCs w:val="20"/>
          <w:color w:val="auto"/>
        </w:rPr>
      </w:pPr>
      <w:r>
        <w:rPr>
          <w:rFonts w:ascii="Arial" w:cs="Arial" w:eastAsia="Arial" w:hAnsi="Arial"/>
          <w:sz w:val="16"/>
          <w:szCs w:val="16"/>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170" w:lineRule="exact"/>
        <w:rPr>
          <w:sz w:val="20"/>
          <w:szCs w:val="20"/>
          <w:color w:val="auto"/>
        </w:rPr>
      </w:pPr>
    </w:p>
    <w:p>
      <w:pPr>
        <w:ind w:right="20" w:firstLine="220"/>
        <w:spacing w:after="0" w:line="294" w:lineRule="auto"/>
        <w:rPr>
          <w:sz w:val="20"/>
          <w:szCs w:val="20"/>
          <w:color w:val="auto"/>
        </w:rPr>
      </w:pPr>
      <w:r>
        <w:rPr>
          <w:rFonts w:ascii="Arial" w:cs="Arial" w:eastAsia="Arial" w:hAnsi="Arial"/>
          <w:sz w:val="16"/>
          <w:szCs w:val="16"/>
          <w:color w:val="auto"/>
        </w:rPr>
        <w:t>If we are unable to draw down on our existing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 that governs our existing equity line.</w:t>
      </w:r>
    </w:p>
    <w:p>
      <w:pPr>
        <w:spacing w:after="0" w:line="170" w:lineRule="exact"/>
        <w:rPr>
          <w:sz w:val="20"/>
          <w:szCs w:val="20"/>
          <w:color w:val="auto"/>
        </w:rPr>
      </w:pPr>
    </w:p>
    <w:p>
      <w:pPr>
        <w:ind w:right="220" w:firstLine="216"/>
        <w:spacing w:after="0" w:line="268" w:lineRule="auto"/>
        <w:rPr>
          <w:sz w:val="20"/>
          <w:szCs w:val="20"/>
          <w:color w:val="auto"/>
        </w:rPr>
      </w:pPr>
      <w:r>
        <w:rPr>
          <w:rFonts w:ascii="Arial" w:cs="Arial" w:eastAsia="Arial" w:hAnsi="Arial"/>
          <w:sz w:val="18"/>
          <w:szCs w:val="18"/>
          <w:color w:val="auto"/>
        </w:rPr>
        <w:t>WE MAY BE DELISTED FROM THE NASDAQ SMALLCAP MARKET IF WE DO NOT MEET THE MAINTENANCE CRITERIA, WHICH COULD ELIMINATE THE TRADING MARKET FOR OUR COMMON STOCK.</w:t>
      </w:r>
    </w:p>
    <w:p>
      <w:pPr>
        <w:spacing w:after="0" w:line="186" w:lineRule="exact"/>
        <w:rPr>
          <w:sz w:val="20"/>
          <w:szCs w:val="20"/>
          <w:color w:val="auto"/>
        </w:rPr>
      </w:pPr>
    </w:p>
    <w:p>
      <w:pPr>
        <w:ind w:right="40" w:firstLine="220"/>
        <w:spacing w:after="0" w:line="286" w:lineRule="auto"/>
        <w:rPr>
          <w:sz w:val="20"/>
          <w:szCs w:val="20"/>
          <w:color w:val="auto"/>
        </w:rPr>
      </w:pPr>
      <w:r>
        <w:rPr>
          <w:rFonts w:ascii="Arial" w:cs="Arial" w:eastAsia="Arial" w:hAnsi="Arial"/>
          <w:sz w:val="16"/>
          <w:szCs w:val="16"/>
          <w:color w:val="auto"/>
        </w:rPr>
        <w:t>Our common stock is quoted on the Nasdaq SmallCap Market. In order to continue to be included in the Nasdaq SmallCap Market, a company must meet Nasdaq’s maintenance criteria. The maintenance criteria most applicable to us requires a minimum bid price of $1.00 per share and, additionally, we must maintain $2.5 million in stockholders’ equity. At March 31, 2003 our stockholders’ equity was $1,208,611 which was not in compliance with the minimum stockholders’ equity requirement for continued listing on the Nasdaq SmallCap Market. As a result of the agreement on April 9, 2003 with The Riverview Group, LLC, to convert 2,000 shares of its 3% convertible preferred shares with a face value of $2,000,000 into 2,521,042 shares of common stock and the May 15, 2003 issuance of 4,000,000 shares of common stock and warrants to purchase 1,898,000 shares of common stock to The Riverview Group for total consideration of $6.5 million, we expect to regain compliance with the minimum stockholders’ equity requirement for continued listing on the Nasdaq SmallCap Market. However, it would be the decision of Nasdaq’s Listing Qualifications Panel whether we have regained compliance with the minimum stockholders’ equity requirement for continued listing on the Nasdaq SmallCap Market. Failure to meet these maintenance criteria may result in the delisting of our common stock from the Nasdaq SmallCap Market. The delisting of our common stock from the Nasdaq SmallCap Market (should we fail to meet its continued listing requirements) could adversely affect the market price and market liquidity of our common stock. If our common stock were delisted, in order to have our common stock relisted on the Nasdaq SmallCap Market we would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be required to meet the criteria for initial listing, which are more stringent than the maintenance criteria. In addition, if we were delisted from the Nasdaq SmallCap Market, trading, if any, of our common stock would thereafter have to be conducted in the over-the-counter market on the “pink sheets” or, if available, the NASD’s “Electronic Bulletin Board.” In such an event, an investor could find it more difficult to dispose of, or to obtain accurate quotations as to the market value of, our common stock, which could further severely limit the market liquidity of our common stock and the ability of investors to trade our common stock.</w:t>
      </w:r>
    </w:p>
    <w:p>
      <w:pPr>
        <w:spacing w:after="0" w:line="167" w:lineRule="exact"/>
        <w:rPr>
          <w:sz w:val="20"/>
          <w:szCs w:val="20"/>
          <w:color w:val="auto"/>
        </w:rPr>
      </w:pPr>
    </w:p>
    <w:p>
      <w:pPr>
        <w:ind w:right="40" w:firstLine="220"/>
        <w:spacing w:after="0" w:line="256" w:lineRule="auto"/>
        <w:rPr>
          <w:sz w:val="20"/>
          <w:szCs w:val="20"/>
          <w:color w:val="auto"/>
        </w:rPr>
      </w:pPr>
      <w:r>
        <w:rPr>
          <w:rFonts w:ascii="Arial" w:cs="Arial" w:eastAsia="Arial" w:hAnsi="Arial"/>
          <w:sz w:val="18"/>
          <w:szCs w:val="18"/>
          <w:color w:val="auto"/>
        </w:rPr>
        <w:t>If our common stock were delisted from the Nasdaq SmallCap Market, we would not be able to draw down any additional funds on our existing equity line, and we also might be required to pay damages to holders of our common stock under agreements we previously entered into with them in connection with equity financings. Finally, if our common stock were removed from listing on the Nasdaq SmallCap Market, it might become more difficult for us to raise funds through the sale of our common stock or securities convertible into our common stock.</w:t>
      </w:r>
    </w:p>
    <w:p>
      <w:pPr>
        <w:spacing w:after="0" w:line="197" w:lineRule="exact"/>
        <w:rPr>
          <w:sz w:val="20"/>
          <w:szCs w:val="20"/>
          <w:color w:val="auto"/>
        </w:rPr>
      </w:pPr>
    </w:p>
    <w:p>
      <w:pPr>
        <w:ind w:right="840" w:firstLine="216"/>
        <w:spacing w:after="0" w:line="268" w:lineRule="auto"/>
        <w:rPr>
          <w:sz w:val="20"/>
          <w:szCs w:val="20"/>
          <w:color w:val="auto"/>
        </w:rPr>
      </w:pPr>
      <w:r>
        <w:rPr>
          <w:rFonts w:ascii="Arial" w:cs="Arial" w:eastAsia="Arial" w:hAnsi="Arial"/>
          <w:sz w:val="18"/>
          <w:szCs w:val="18"/>
          <w:color w:val="auto"/>
        </w:rPr>
        <w:t>THE SALE AND ISSUANCE OF THE 3% CUMULATIVE CONVERTIBLE PREFERRED STOCK WILL HAVE AN IMPACT TO EARNINGS AVAILABLE TO COMMON STOCKHOLDERS.</w:t>
      </w:r>
    </w:p>
    <w:p>
      <w:pPr>
        <w:spacing w:after="0" w:line="186" w:lineRule="exact"/>
        <w:rPr>
          <w:sz w:val="20"/>
          <w:szCs w:val="20"/>
          <w:color w:val="auto"/>
        </w:rPr>
      </w:pPr>
    </w:p>
    <w:p>
      <w:pPr>
        <w:ind w:right="20" w:firstLine="220"/>
        <w:spacing w:after="0" w:line="298" w:lineRule="auto"/>
        <w:rPr>
          <w:sz w:val="20"/>
          <w:szCs w:val="20"/>
          <w:color w:val="auto"/>
        </w:rPr>
      </w:pPr>
      <w:r>
        <w:rPr>
          <w:rFonts w:ascii="Arial" w:cs="Arial" w:eastAsia="Arial" w:hAnsi="Arial"/>
          <w:sz w:val="16"/>
          <w:szCs w:val="16"/>
          <w:color w:val="auto"/>
        </w:rPr>
        <w:t>Of the proceeds from our sale of the 3% cumulative convertible preferred stock in 2001, approximately $3.1 million was allocated to the common stock warrants and the conversion feature included with the subscription agreements, and was reflected as an increase to additional paid-in capital and a decrease to the 3% cumulative convertible preferred stock. This $3.1 million is being accreted to the preferred stock over the term of the redemption period. This accretion, along with the preferred stock dividends, will increase the net loss (reduce the net income) available to common stockholders.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USE OF PROCEEDS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not receive any of the proceeds from the resale of shares offered by the selling stockholder under this 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SELLING STOCKHOLDER</w:t>
      </w:r>
    </w:p>
    <w:p>
      <w:pPr>
        <w:spacing w:after="0" w:line="225" w:lineRule="exact"/>
        <w:rPr>
          <w:sz w:val="20"/>
          <w:szCs w:val="20"/>
          <w:color w:val="auto"/>
        </w:rPr>
      </w:pPr>
    </w:p>
    <w:p>
      <w:pPr>
        <w:ind w:right="340" w:firstLine="216"/>
        <w:spacing w:after="0" w:line="268" w:lineRule="auto"/>
        <w:rPr>
          <w:sz w:val="20"/>
          <w:szCs w:val="20"/>
          <w:color w:val="auto"/>
        </w:rPr>
      </w:pPr>
      <w:r>
        <w:rPr>
          <w:rFonts w:ascii="Arial" w:cs="Arial" w:eastAsia="Arial" w:hAnsi="Arial"/>
          <w:sz w:val="18"/>
          <w:szCs w:val="18"/>
          <w:color w:val="auto"/>
        </w:rPr>
        <w:t>The Riverview Group, LLC, a wholly owned subsidiary of Millennium Partners, L.P., will be selling shares in this offering. The Riverview Group initially acquired such shares in connection with two separate transactions.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 Cumulative Convertible Preferred Stock</w:t>
      </w:r>
    </w:p>
    <w:p>
      <w:pPr>
        <w:spacing w:after="0" w:line="231" w:lineRule="exact"/>
        <w:rPr>
          <w:sz w:val="20"/>
          <w:szCs w:val="20"/>
          <w:color w:val="auto"/>
        </w:rPr>
      </w:pPr>
    </w:p>
    <w:p>
      <w:pPr>
        <w:jc w:val="both"/>
        <w:ind w:right="100" w:firstLine="220"/>
        <w:spacing w:after="0" w:line="298" w:lineRule="auto"/>
        <w:rPr>
          <w:sz w:val="20"/>
          <w:szCs w:val="20"/>
          <w:color w:val="auto"/>
        </w:rPr>
      </w:pPr>
      <w:r>
        <w:rPr>
          <w:rFonts w:ascii="Arial" w:cs="Arial" w:eastAsia="Arial" w:hAnsi="Arial"/>
          <w:sz w:val="16"/>
          <w:szCs w:val="16"/>
          <w:color w:val="auto"/>
        </w:rPr>
        <w:t>On December 4, 2001, we issued 5,000 shares of redeemable 3% Cumulative Convertible Preferred Stock to The Riverview Group. The preferred stock was convertible into shares of our common stock at a conversion price of $2.00 per share of common stock. Also on December 4, 2001, we issued to The Riverview Group a warrant to purchase 350,877 shares of our common stock at a price of $3.42 per share. The warrant expires on December 4, 2005. The Riverview Group is not permitted to convert the preferred stock or exercise the warrant to the extent that,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following the conversion or exercise, Millennium and/or The Riverview Group would have aggregate beneficial ownership of our common stock in excess of 9.99%. The final closing price on the NASDAQ National Market of our common stock on December 4, 2001 was $2.90 per share. For accounting purposes, the value of the conversion feature of the preferred stock and the warrant was treated as a deemed dividend to holders as of December 4, 2001, and we will reflect the deemed dividend as an adjustment to net income (loss) applicable to common stockholders. On December 4, 2001, we also entered into a Registration Rights Agreement with The Riverview Group, under which we agreed to register for resale the shares of common stock issuable upon conversion of the preferred stock. Pursuant to that agreement, in January 2002 we filed a registration statement on Form S-3, registering 3,851,002 shares of common stock for resale by The Riverview Group.</w:t>
      </w:r>
    </w:p>
    <w:p>
      <w:pPr>
        <w:spacing w:after="0" w:line="201" w:lineRule="exact"/>
        <w:rPr>
          <w:sz w:val="20"/>
          <w:szCs w:val="20"/>
          <w:color w:val="auto"/>
        </w:rPr>
      </w:pPr>
    </w:p>
    <w:p>
      <w:pPr>
        <w:ind w:right="20" w:firstLine="220"/>
        <w:spacing w:after="0" w:line="254" w:lineRule="auto"/>
        <w:rPr>
          <w:sz w:val="20"/>
          <w:szCs w:val="20"/>
          <w:color w:val="auto"/>
        </w:rPr>
      </w:pPr>
      <w:r>
        <w:rPr>
          <w:rFonts w:ascii="Arial" w:cs="Arial" w:eastAsia="Arial" w:hAnsi="Arial"/>
          <w:sz w:val="18"/>
          <w:szCs w:val="18"/>
          <w:color w:val="auto"/>
        </w:rPr>
        <w:t>On April 9, 2003, we agreed with The Riverview Group to reduce the conversion price of the preferred stock to $.80 per share for a short period of time, with The Riverview Group agreeing to immediately convert 2,000 shares of preferred stock at the reduced price. Upon conversion of the 2,000 shares of preferred stock, The Riverview Group received 2,521,042 shares of common stock, including accrued and unpaid dividends. As a result of the change in the conversion price, we will record a deemed dividend to preferred shareholders of approximately $1,000,000 in the second quarter of 2003. The conversion price on the remaining 2,000 shares of preferred stock is still $2.00 per share of common stock, subject to adjustment for stock splits, dividends, distributions, reclassifications and similar events.</w:t>
      </w:r>
    </w:p>
    <w:p>
      <w:pPr>
        <w:spacing w:after="0" w:line="198" w:lineRule="exact"/>
        <w:rPr>
          <w:sz w:val="20"/>
          <w:szCs w:val="20"/>
          <w:color w:val="auto"/>
        </w:rPr>
      </w:pPr>
    </w:p>
    <w:p>
      <w:pPr>
        <w:ind w:right="80" w:firstLine="220"/>
        <w:spacing w:after="0" w:line="256" w:lineRule="auto"/>
        <w:rPr>
          <w:sz w:val="20"/>
          <w:szCs w:val="20"/>
          <w:color w:val="auto"/>
        </w:rPr>
      </w:pPr>
      <w:r>
        <w:rPr>
          <w:rFonts w:ascii="Arial" w:cs="Arial" w:eastAsia="Arial" w:hAnsi="Arial"/>
          <w:sz w:val="18"/>
          <w:szCs w:val="18"/>
          <w:color w:val="auto"/>
        </w:rPr>
        <w:t>Pursuant to the agreement of April 9, 2003, as amended, and the December 4, 2001 Registration Rights Agreement, we are filing this additional registration statement, registering for resale 1,250,000 shares of common stock issuable upon conversion of the preferred stock because the registration statement filed in January 2002 is no longer adequate to cover all of the shares of common stock issuable upon conversion of the preferred stock held by The Riverview Group and any dividends paid with respect to the preferred stock in common stock.</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Common Stock and Warrant Financing</w:t>
      </w:r>
    </w:p>
    <w:p>
      <w:pPr>
        <w:spacing w:after="0" w:line="231" w:lineRule="exact"/>
        <w:rPr>
          <w:sz w:val="20"/>
          <w:szCs w:val="20"/>
          <w:color w:val="auto"/>
        </w:rPr>
      </w:pPr>
    </w:p>
    <w:p>
      <w:pPr>
        <w:ind w:right="80" w:firstLine="220"/>
        <w:spacing w:after="0" w:line="254" w:lineRule="auto"/>
        <w:rPr>
          <w:sz w:val="20"/>
          <w:szCs w:val="20"/>
          <w:color w:val="auto"/>
        </w:rPr>
      </w:pPr>
      <w:r>
        <w:rPr>
          <w:rFonts w:ascii="Arial" w:cs="Arial" w:eastAsia="Arial" w:hAnsi="Arial"/>
          <w:sz w:val="18"/>
          <w:szCs w:val="18"/>
          <w:color w:val="auto"/>
        </w:rPr>
        <w:t>On May 7, 2003 we entered into a stock purchase agreement with The Riverview Group to issue 4,000,000 shares of common stock and a warrant to purchase 1,898,000 shares of common stock at $1.50 per share for total consideration of $6.5 million. The warrant is exercisable through May 15, 2005. The Riverview Group is not permitted to exercise the warrant to the extent that, following such exercise, Millennium and/or The Riverview Group would have aggregate beneficial ownership of our common stock in excess of 9.99%. We issued the shares of common stock and the warrant in exchange for the $6.5 million on May 15, 2003. In a Registration Rights Agreement dated as of May 15, 2003, we agreed to register 6,000,000 shares of common stock for resale by The Riverview Group in connection with this transaction.</w:t>
      </w:r>
    </w:p>
    <w:p>
      <w:pPr>
        <w:spacing w:after="0" w:line="198" w:lineRule="exact"/>
        <w:rPr>
          <w:sz w:val="20"/>
          <w:szCs w:val="20"/>
          <w:color w:val="auto"/>
        </w:rPr>
      </w:pPr>
    </w:p>
    <w:p>
      <w:pPr>
        <w:ind w:right="180" w:firstLine="216"/>
        <w:spacing w:after="0" w:line="306" w:lineRule="auto"/>
        <w:rPr>
          <w:sz w:val="20"/>
          <w:szCs w:val="20"/>
          <w:color w:val="auto"/>
        </w:rPr>
      </w:pPr>
      <w:r>
        <w:rPr>
          <w:rFonts w:ascii="Arial" w:cs="Arial" w:eastAsia="Arial" w:hAnsi="Arial"/>
          <w:sz w:val="16"/>
          <w:szCs w:val="16"/>
          <w:color w:val="auto"/>
        </w:rPr>
        <w:t>The following table shows information regarding the beneficial ownership of our capital stock for the selling stockholder prior to and after this offering assuming it sells all of the shares. We have determined beneficial ownership in the table in accordance with the rules of the Securities Exchange Commission as more specifically described in the notes below. In computing the number of shares beneficially owned by the selling stockholder we have deemed</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be outstanding shares of common stock issuable under warrants held by the selling stockholder which are currently exercisable or will become exercisable within 60 days of the date of this prospectus. To our knowledge, the selling stockholder possesses sole voting and investment power with respect to all shares of common stock shown as beneficially owned by it.</w:t>
      </w:r>
    </w:p>
    <w:p>
      <w:pPr>
        <w:spacing w:after="0" w:line="200" w:lineRule="exact"/>
        <w:rPr>
          <w:sz w:val="20"/>
          <w:szCs w:val="20"/>
          <w:color w:val="auto"/>
        </w:rPr>
      </w:pPr>
    </w:p>
    <w:p>
      <w:pPr>
        <w:spacing w:after="0" w:line="22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6"/>
              </w:rPr>
              <w:t>SHARES OF COMMON</w:t>
            </w: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STOCK BENEFICIALLY</w:t>
            </w: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SHARES OF COMMON STOCK</w:t>
            </w:r>
          </w:p>
        </w:tc>
      </w:tr>
      <w:tr>
        <w:trPr>
          <w:trHeight w:val="149"/>
        </w:trPr>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 BEFORE</w:t>
            </w: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NUMBER OF</w:t>
            </w:r>
          </w:p>
        </w:tc>
        <w:tc>
          <w:tcPr>
            <w:tcW w:w="140" w:type="dxa"/>
            <w:vAlign w:val="bottom"/>
          </w:tcPr>
          <w:p>
            <w:pPr>
              <w:spacing w:after="0"/>
              <w:rPr>
                <w:sz w:val="12"/>
                <w:szCs w:val="12"/>
                <w:color w:val="auto"/>
              </w:rPr>
            </w:pPr>
          </w:p>
        </w:tc>
        <w:tc>
          <w:tcPr>
            <w:tcW w:w="2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BENEFICIALLY OWNED AFTER</w:t>
            </w:r>
          </w:p>
        </w:tc>
      </w:tr>
      <w:tr>
        <w:trPr>
          <w:trHeight w:val="174"/>
        </w:trPr>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7"/>
              </w:rPr>
              <w:t>THIS OFFERING</w:t>
            </w:r>
          </w:p>
        </w:tc>
        <w:tc>
          <w:tcPr>
            <w:tcW w:w="12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SHARES OF</w:t>
            </w:r>
          </w:p>
        </w:tc>
        <w:tc>
          <w:tcPr>
            <w:tcW w:w="140" w:type="dxa"/>
            <w:vAlign w:val="bottom"/>
          </w:tcPr>
          <w:p>
            <w:pPr>
              <w:spacing w:after="0"/>
              <w:rPr>
                <w:sz w:val="15"/>
                <w:szCs w:val="15"/>
                <w:color w:val="auto"/>
              </w:rPr>
            </w:pP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THIS OFFERING (4)</w:t>
            </w:r>
          </w:p>
        </w:tc>
      </w:tr>
      <w:tr>
        <w:trPr>
          <w:trHeight w:val="95"/>
        </w:trPr>
        <w:tc>
          <w:tcPr>
            <w:tcW w:w="1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r>
      <w:tr>
        <w:trPr>
          <w:trHeight w:val="237"/>
        </w:trPr>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1100" w:type="dxa"/>
            <w:vAlign w:val="bottom"/>
          </w:tcPr>
          <w:p>
            <w:pPr>
              <w:spacing w:after="0"/>
              <w:rPr>
                <w:sz w:val="20"/>
                <w:szCs w:val="20"/>
                <w:color w:val="auto"/>
              </w:rPr>
            </w:pPr>
          </w:p>
        </w:tc>
      </w:tr>
      <w:tr>
        <w:trPr>
          <w:trHeight w:val="174"/>
        </w:trPr>
        <w:tc>
          <w:tcPr>
            <w:tcW w:w="21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SELLING STOCKHOLDER</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5"/>
              </w:rPr>
              <w:t>NUMBER OF SHARES</w:t>
            </w:r>
          </w:p>
        </w:tc>
        <w:tc>
          <w:tcPr>
            <w:tcW w:w="12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6"/>
              </w:rPr>
              <w:t>STOCK OFFERED</w:t>
            </w:r>
          </w:p>
        </w:tc>
        <w:tc>
          <w:tcPr>
            <w:tcW w:w="1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SHARES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r>
      <w:tr>
        <w:trPr>
          <w:trHeight w:val="149"/>
        </w:trPr>
        <w:tc>
          <w:tcPr>
            <w:tcW w:w="198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69"/>
        </w:trPr>
        <w:tc>
          <w:tcPr>
            <w:tcW w:w="2100" w:type="dxa"/>
            <w:vAlign w:val="bottom"/>
            <w:gridSpan w:val="2"/>
          </w:tcPr>
          <w:p>
            <w:pPr>
              <w:spacing w:after="0"/>
              <w:rPr>
                <w:sz w:val="20"/>
                <w:szCs w:val="20"/>
                <w:color w:val="auto"/>
              </w:rPr>
            </w:pPr>
            <w:r>
              <w:rPr>
                <w:rFonts w:ascii="Arial" w:cs="Arial" w:eastAsia="Arial" w:hAnsi="Arial"/>
                <w:sz w:val="18"/>
                <w:szCs w:val="18"/>
                <w:color w:val="auto"/>
                <w:w w:val="98"/>
              </w:rPr>
              <w:t>The Riverview Group, LLC</w:t>
            </w: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2"/>
        </w:trPr>
        <w:tc>
          <w:tcPr>
            <w:tcW w:w="1980" w:type="dxa"/>
            <w:vAlign w:val="bottom"/>
          </w:tcPr>
          <w:p>
            <w:pPr>
              <w:ind w:lef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20" w:type="dxa"/>
            <w:vAlign w:val="bottom"/>
          </w:tcPr>
          <w:p>
            <w:pPr>
              <w:jc w:val="right"/>
              <w:ind w:right="429"/>
              <w:spacing w:after="0"/>
              <w:rPr>
                <w:sz w:val="20"/>
                <w:szCs w:val="20"/>
                <w:color w:val="auto"/>
              </w:rPr>
            </w:pPr>
            <w:r>
              <w:rPr>
                <w:rFonts w:ascii="Arial" w:cs="Arial" w:eastAsia="Arial" w:hAnsi="Arial"/>
                <w:sz w:val="18"/>
                <w:szCs w:val="18"/>
                <w:color w:val="auto"/>
              </w:rPr>
              <w:t>7,441,115(2)</w:t>
            </w:r>
          </w:p>
        </w:tc>
        <w:tc>
          <w:tcPr>
            <w:tcW w:w="1960" w:type="dxa"/>
            <w:vAlign w:val="bottom"/>
            <w:gridSpan w:val="2"/>
          </w:tcPr>
          <w:p>
            <w:pPr>
              <w:jc w:val="right"/>
              <w:ind w:right="332"/>
              <w:spacing w:after="0"/>
              <w:rPr>
                <w:sz w:val="20"/>
                <w:szCs w:val="20"/>
                <w:color w:val="auto"/>
              </w:rPr>
            </w:pPr>
            <w:r>
              <w:rPr>
                <w:rFonts w:ascii="Arial" w:cs="Arial" w:eastAsia="Arial" w:hAnsi="Arial"/>
                <w:sz w:val="18"/>
                <w:szCs w:val="18"/>
                <w:color w:val="auto"/>
              </w:rPr>
              <w:t>7,250,000(3)</w:t>
            </w:r>
          </w:p>
        </w:tc>
        <w:tc>
          <w:tcPr>
            <w:tcW w:w="136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191,115</w:t>
            </w:r>
          </w:p>
        </w:tc>
        <w:tc>
          <w:tcPr>
            <w:tcW w:w="1100" w:type="dxa"/>
            <w:vAlign w:val="bottom"/>
          </w:tcPr>
          <w:p>
            <w:pPr>
              <w:jc w:val="right"/>
              <w:ind w:right="222"/>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class.</w:t>
      </w:r>
    </w:p>
    <w:p>
      <w:pPr>
        <w:spacing w:after="0" w:line="225" w:lineRule="exact"/>
        <w:rPr>
          <w:sz w:val="20"/>
          <w:szCs w:val="20"/>
          <w:color w:val="auto"/>
        </w:rPr>
      </w:pPr>
    </w:p>
    <w:p>
      <w:pPr>
        <w:ind w:left="540" w:right="400" w:hanging="532"/>
        <w:spacing w:after="0" w:line="268"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address of The Riverview Group, LLC is 666 Fifth Avenue, New York, New York 10103. The Riverview Group is a wholly owned subsidiary of Millennium Partners, L.P.</w:t>
      </w:r>
    </w:p>
    <w:p>
      <w:pPr>
        <w:spacing w:after="0" w:line="185" w:lineRule="exact"/>
        <w:rPr>
          <w:rFonts w:ascii="Arial" w:cs="Arial" w:eastAsia="Arial" w:hAnsi="Arial"/>
          <w:sz w:val="18"/>
          <w:szCs w:val="18"/>
          <w:color w:val="auto"/>
        </w:rPr>
      </w:pPr>
    </w:p>
    <w:p>
      <w:pPr>
        <w:ind w:left="540" w:right="80" w:hanging="532"/>
        <w:spacing w:after="0" w:line="287"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4,000,000 shares of outstanding common stock, which is the number of shares owned by either Millennium or The Riverview Group as reported on a Schedule 13G/A filed with the Securities and Exchange Commission by Millennium on May 27, 2003; plus 2,441,115 shares of common stock issuable upon exercise of warrants held by either Millennium or The Riverview Group; plus 1,000,000 shares of common stock issuable upon conversion of 2,000 shares of 3% Cumulative Convertible Preferred Stock owned by The Riverview Group. These totals include the shares of common stock and the warrant to purchase 1,898,000 shares of common stock issued to The Riverview Group on May 15, 2003. In determining how many shares of common stock are issuable upon conversion of the outstanding 3% Cumulative Convertible Preferred Stock and upon exercise of all of the outstanding warrants, we have not taken into consideration the application of the 9.99% limitations contained in such securities, which prevents The Riverview Group and Millennium from exercising warrants or converting such preferred stock to the extent that, following such exercise or conversion, Millennium and/or The Riverview Group would have aggregate beneficial ownership in excess of 9.99%. Millennium and The Riverview Group expressly disclaim beneficial ownership of the shares of common stock issuable upon conversion of the preferred stock or exercise of the warrants.</w:t>
      </w:r>
    </w:p>
    <w:p>
      <w:pPr>
        <w:spacing w:after="0" w:line="176" w:lineRule="exact"/>
        <w:rPr>
          <w:rFonts w:ascii="Arial" w:cs="Arial" w:eastAsia="Arial" w:hAnsi="Arial"/>
          <w:sz w:val="16"/>
          <w:szCs w:val="16"/>
          <w:color w:val="auto"/>
        </w:rPr>
      </w:pPr>
    </w:p>
    <w:p>
      <w:pPr>
        <w:ind w:left="540" w:right="20" w:hanging="532"/>
        <w:spacing w:after="0" w:line="303" w:lineRule="auto"/>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As described above, as part of the April 9, 2003 agreement with The Riverview Group, as amended, and as required by the Registration Rights Agreement we entered into with The Riverview Group on December 4, 2001, we agreed to register for resale 1,250,000 shares of common stock and we agreed to register for resale 6,000,000 shares of common stock pursuant to the Registration Rights Agreement we entered into with The Riverview Group on</w:t>
      </w:r>
    </w:p>
    <w:p>
      <w:pPr>
        <w:spacing w:after="0" w:line="1" w:lineRule="exact"/>
        <w:rPr>
          <w:rFonts w:ascii="Arial" w:cs="Arial" w:eastAsia="Arial" w:hAnsi="Arial"/>
          <w:sz w:val="15"/>
          <w:szCs w:val="15"/>
          <w:color w:val="auto"/>
        </w:rPr>
      </w:pPr>
    </w:p>
    <w:p>
      <w:pPr>
        <w:ind w:left="540" w:right="20"/>
        <w:spacing w:after="0" w:line="261" w:lineRule="auto"/>
        <w:rPr>
          <w:rFonts w:ascii="Arial" w:cs="Arial" w:eastAsia="Arial" w:hAnsi="Arial"/>
          <w:sz w:val="15"/>
          <w:szCs w:val="15"/>
          <w:color w:val="auto"/>
        </w:rPr>
      </w:pPr>
      <w:r>
        <w:rPr>
          <w:rFonts w:ascii="Arial" w:cs="Arial" w:eastAsia="Arial" w:hAnsi="Arial"/>
          <w:sz w:val="18"/>
          <w:szCs w:val="18"/>
          <w:color w:val="auto"/>
        </w:rPr>
        <w:t>May 15, 2003. Pursuant to these Registration Rights Agreements, we have agreed to register for resale by The Riverview Group a number of shares that is greater than the number of shares being acquired by The Riverview Group in the transactions described herein.</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40" w:right="10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table assumes that the selling stockholder sells all of the shares offered by this prospectus and that the selling stockholder does not acquire additional shares of common stock before the completion of this offering.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PLAN OF DISTRIBUTION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not receive any of the proceeds from the sale by the selling stockholder of the common stock offered hereby.</w:t>
      </w:r>
    </w:p>
    <w:p>
      <w:pPr>
        <w:spacing w:after="0" w:line="225" w:lineRule="exact"/>
        <w:rPr>
          <w:sz w:val="20"/>
          <w:szCs w:val="20"/>
          <w:color w:val="auto"/>
        </w:rPr>
      </w:pPr>
    </w:p>
    <w:p>
      <w:pPr>
        <w:ind w:right="700" w:firstLine="216"/>
        <w:spacing w:after="0" w:line="268" w:lineRule="auto"/>
        <w:rPr>
          <w:sz w:val="20"/>
          <w:szCs w:val="20"/>
          <w:color w:val="auto"/>
        </w:rPr>
      </w:pPr>
      <w:r>
        <w:rPr>
          <w:rFonts w:ascii="Arial" w:cs="Arial" w:eastAsia="Arial" w:hAnsi="Arial"/>
          <w:sz w:val="18"/>
          <w:szCs w:val="18"/>
          <w:color w:val="auto"/>
        </w:rPr>
        <w:t>The shares of the common stock offered hereby may be sold from time to time by the selling stockholder, or by pledgees, donees, transferees or other successors in interest:</w:t>
      </w:r>
    </w:p>
    <w:p>
      <w:pPr>
        <w:spacing w:after="0" w:line="186" w:lineRule="exact"/>
        <w:rPr>
          <w:sz w:val="20"/>
          <w:szCs w:val="20"/>
          <w:color w:val="auto"/>
        </w:rPr>
      </w:pPr>
    </w:p>
    <w:p>
      <w:pPr>
        <w:ind w:left="820" w:hanging="461"/>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directly to one or more other purchasers;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agents on a best-efforts basis;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a combination of any such methods of sale; or</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manner permitted by law.</w:t>
      </w:r>
    </w:p>
    <w:p>
      <w:pPr>
        <w:spacing w:after="0" w:line="225" w:lineRule="exact"/>
        <w:rPr>
          <w:sz w:val="20"/>
          <w:szCs w:val="20"/>
          <w:color w:val="auto"/>
        </w:rPr>
      </w:pPr>
    </w:p>
    <w:p>
      <w:pPr>
        <w:ind w:right="100" w:firstLine="220"/>
        <w:spacing w:after="0" w:line="332" w:lineRule="auto"/>
        <w:rPr>
          <w:sz w:val="20"/>
          <w:szCs w:val="20"/>
          <w:color w:val="auto"/>
        </w:rPr>
      </w:pPr>
      <w:r>
        <w:rPr>
          <w:rFonts w:ascii="Arial" w:cs="Arial" w:eastAsia="Arial" w:hAnsi="Arial"/>
          <w:sz w:val="16"/>
          <w:szCs w:val="16"/>
          <w:color w:val="auto"/>
        </w:rPr>
        <w:t>Such sales may be made on one or more exchanges or in the over-the-counter market, or otherwise at prices and at terms then prevailing or at prices related to the then current market price, or in privately negotiated transactions. The shares may be sold by one or more of the following:</w:t>
      </w:r>
    </w:p>
    <w:p>
      <w:pPr>
        <w:spacing w:after="0" w:line="139" w:lineRule="exact"/>
        <w:rPr>
          <w:sz w:val="20"/>
          <w:szCs w:val="20"/>
          <w:color w:val="auto"/>
        </w:rPr>
      </w:pPr>
    </w:p>
    <w:p>
      <w:pPr>
        <w:ind w:left="820" w:right="380" w:hanging="461"/>
        <w:spacing w:after="0" w:line="26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block trade in which the broker or dealer so engaged will attempt to sell the shares as agent but may position and resell a portion of the block as principal to facilitate the transaction;</w:t>
      </w:r>
    </w:p>
    <w:p>
      <w:pPr>
        <w:spacing w:after="0" w:line="185"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account pursuant to this prospectus;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such exchange;</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privately negotiated transactions without a broker or dealer; and</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manner permitted by law.</w:t>
      </w:r>
    </w:p>
    <w:p>
      <w:pPr>
        <w:spacing w:after="0" w:line="225"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In effecting sales, brokers or dealers engaged by the selling stockholder may arrange for other brokers or dealers to participate. Brokers or dealers will receive commissions or discounts from the selling stockholder in amounts to be negotiated prior to the sale. In addition, any</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securities covered by this prospectus which qualify for sale pursuant to Rule 144 under the Securities Act of 1933 may be sold under Rule 144 rather than pursuant to this prospectus.</w:t>
      </w:r>
    </w:p>
    <w:p>
      <w:pPr>
        <w:spacing w:after="0" w:line="186" w:lineRule="exact"/>
        <w:rPr>
          <w:sz w:val="20"/>
          <w:szCs w:val="20"/>
          <w:color w:val="auto"/>
        </w:rPr>
      </w:pPr>
    </w:p>
    <w:p>
      <w:pPr>
        <w:ind w:right="160" w:firstLine="220"/>
        <w:spacing w:after="0" w:line="268" w:lineRule="auto"/>
        <w:rPr>
          <w:sz w:val="20"/>
          <w:szCs w:val="20"/>
          <w:color w:val="auto"/>
        </w:rPr>
      </w:pPr>
      <w:r>
        <w:rPr>
          <w:rFonts w:ascii="Arial" w:cs="Arial" w:eastAsia="Arial" w:hAnsi="Arial"/>
          <w:sz w:val="18"/>
          <w:szCs w:val="18"/>
          <w:color w:val="auto"/>
        </w:rPr>
        <w:t>In addition, the selling stockholder may engage in short sales and other transactions in the common stock or derivatives thereof, and may pledge, sell, deliver or otherwise transfer the common stock offered under this prospectus in connection with such transactions.</w:t>
      </w:r>
    </w:p>
    <w:p>
      <w:pPr>
        <w:spacing w:after="0" w:line="186" w:lineRule="exact"/>
        <w:rPr>
          <w:sz w:val="20"/>
          <w:szCs w:val="20"/>
          <w:color w:val="auto"/>
        </w:rPr>
      </w:pPr>
    </w:p>
    <w:p>
      <w:pPr>
        <w:ind w:right="80" w:firstLine="220"/>
        <w:spacing w:after="0" w:line="370" w:lineRule="auto"/>
        <w:rPr>
          <w:sz w:val="20"/>
          <w:szCs w:val="20"/>
          <w:color w:val="auto"/>
        </w:rPr>
      </w:pPr>
      <w:r>
        <w:rPr>
          <w:rFonts w:ascii="Arial" w:cs="Arial" w:eastAsia="Arial" w:hAnsi="Arial"/>
          <w:sz w:val="15"/>
          <w:szCs w:val="15"/>
          <w:color w:val="auto"/>
        </w:rPr>
        <w:t>If we are notified by the selling stockholder that a material arrangement has been entered into with a broker-dealer for the sale of shares through a block trade, special offering, exchange distribution or secondary distribution, or a purchase by a broker-dealer as a principal, a supplemental prospectus will be filed listing:</w:t>
      </w:r>
    </w:p>
    <w:p>
      <w:pPr>
        <w:spacing w:after="0" w:line="116" w:lineRule="exact"/>
        <w:rPr>
          <w:sz w:val="20"/>
          <w:szCs w:val="20"/>
          <w:color w:val="auto"/>
        </w:rPr>
      </w:pPr>
    </w:p>
    <w:p>
      <w:pPr>
        <w:ind w:left="820" w:hanging="46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of each selling stockholder and of the participating broker-dealer(s);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involved;</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at which such shares were sold;</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commissions paid or discounts or concessions allowed to such broker-dealer(s), where applicable; and</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facts material to the transaction.</w:t>
      </w:r>
    </w:p>
    <w:p>
      <w:pPr>
        <w:spacing w:after="0" w:line="225" w:lineRule="exact"/>
        <w:rPr>
          <w:sz w:val="20"/>
          <w:szCs w:val="20"/>
          <w:color w:val="auto"/>
        </w:rPr>
      </w:pPr>
    </w:p>
    <w:p>
      <w:pPr>
        <w:ind w:right="320" w:firstLine="216"/>
        <w:spacing w:after="0" w:line="268" w:lineRule="auto"/>
        <w:rPr>
          <w:sz w:val="20"/>
          <w:szCs w:val="20"/>
          <w:color w:val="auto"/>
        </w:rPr>
      </w:pPr>
      <w:r>
        <w:rPr>
          <w:rFonts w:ascii="Arial" w:cs="Arial" w:eastAsia="Arial" w:hAnsi="Arial"/>
          <w:sz w:val="18"/>
          <w:szCs w:val="18"/>
          <w:color w:val="auto"/>
        </w:rPr>
        <w:t>We have agreed to pay the cost of registering the shares covered by this prospectus and the costs of preparing this prospectus and the registration statement under which it is filed.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and the selling stockholder have agreed to indemnify one another against certain liabilities, including liabilities arising under the Securities Act.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LEGAL MATTERS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validity of the shares of our common stock offered hereby will be passed upon for us by Ropes &amp; Gray LLP, Boston, Massachusetts.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EXPERTS</w:t>
      </w:r>
    </w:p>
    <w:p>
      <w:pPr>
        <w:spacing w:after="0" w:line="225" w:lineRule="exact"/>
        <w:rPr>
          <w:sz w:val="20"/>
          <w:szCs w:val="20"/>
          <w:color w:val="auto"/>
        </w:rPr>
      </w:pPr>
    </w:p>
    <w:p>
      <w:pPr>
        <w:ind w:right="20" w:firstLine="220"/>
        <w:spacing w:after="0" w:line="255" w:lineRule="auto"/>
        <w:rPr>
          <w:sz w:val="20"/>
          <w:szCs w:val="20"/>
          <w:color w:val="auto"/>
        </w:rPr>
      </w:pPr>
      <w:r>
        <w:rPr>
          <w:rFonts w:ascii="Arial" w:cs="Arial" w:eastAsia="Arial" w:hAnsi="Arial"/>
          <w:sz w:val="18"/>
          <w:szCs w:val="18"/>
          <w:color w:val="auto"/>
        </w:rPr>
        <w:t>Ernst &amp; Young LLP, independent auditors, have audited our consolidated financial statements included in our Annual Report on Form 10-K for the year ended December 31, 2002, as set forth in their report (which contains an explanatory paragraph describing conditions that raise substantial doubt about the company’s ability to continue as a going concern as described in Note 1 to the consolidated financial statements),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WHERE YOU CAN FIND MORE INFORMATION</w:t>
      </w:r>
    </w:p>
    <w:p>
      <w:pPr>
        <w:spacing w:after="0" w:line="225" w:lineRule="exact"/>
        <w:rPr>
          <w:sz w:val="20"/>
          <w:szCs w:val="20"/>
          <w:color w:val="auto"/>
        </w:rPr>
      </w:pPr>
    </w:p>
    <w:p>
      <w:pPr>
        <w:ind w:right="20" w:firstLine="216"/>
        <w:spacing w:after="0" w:line="308" w:lineRule="auto"/>
        <w:rPr>
          <w:sz w:val="20"/>
          <w:szCs w:val="20"/>
          <w:color w:val="auto"/>
        </w:rPr>
      </w:pPr>
      <w:r>
        <w:rPr>
          <w:rFonts w:ascii="Arial" w:cs="Arial" w:eastAsia="Arial" w:hAnsi="Arial"/>
          <w:sz w:val="15"/>
          <w:szCs w:val="15"/>
          <w:color w:val="auto"/>
        </w:rPr>
        <w:t>We have filed with the SEC a registration statement on Form S-3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INCORPORATION OF DOCUMENTS BY REFERENCE</w:t>
      </w:r>
    </w:p>
    <w:p>
      <w:pPr>
        <w:spacing w:after="0" w:line="225" w:lineRule="exact"/>
        <w:rPr>
          <w:sz w:val="20"/>
          <w:szCs w:val="20"/>
          <w:color w:val="auto"/>
        </w:rPr>
      </w:pPr>
    </w:p>
    <w:p>
      <w:pPr>
        <w:ind w:right="20" w:firstLine="216"/>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it, which means that we can disclose information important to you by referring you to those documents. The information incorporated by reference is considered to be a part of this prospectus, and information that we later file with the SEC will automatically update and supersede this information. Accordingly, we incorporate by reference the following documents we filed with the SEC pursuant to Section 13 of the Securities Exchange Act of 1934:</w:t>
      </w:r>
    </w:p>
    <w:p>
      <w:pPr>
        <w:spacing w:after="0" w:line="197" w:lineRule="exact"/>
        <w:rPr>
          <w:sz w:val="20"/>
          <w:szCs w:val="20"/>
          <w:color w:val="auto"/>
        </w:rPr>
      </w:pPr>
    </w:p>
    <w:p>
      <w:pPr>
        <w:ind w:left="820" w:hanging="46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2002 (filed March 31, 2003);</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2003 (filed May 15, 2003);</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20" w:hanging="46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Proxy Statement for the Annual Meeting of Stockholders held on May 29, 2003 (filed April 22, 2003);</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20" w:right="420" w:hanging="461"/>
        <w:spacing w:after="0" w:line="268"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Reports on Form 8-K dated April 9, 2003 (filed April 15, 2003), May 7, 2003 (filed May 13, 2003) and May 15, 2003 (filed May 15, 2003).</w:t>
      </w:r>
    </w:p>
    <w:p>
      <w:pPr>
        <w:spacing w:after="0" w:line="185" w:lineRule="exact"/>
        <w:rPr>
          <w:rFonts w:ascii="Arial" w:cs="Arial" w:eastAsia="Arial" w:hAnsi="Arial"/>
          <w:sz w:val="18"/>
          <w:szCs w:val="18"/>
          <w:color w:val="auto"/>
        </w:rPr>
      </w:pPr>
    </w:p>
    <w:p>
      <w:pPr>
        <w:ind w:left="820" w:right="180" w:hanging="461"/>
        <w:spacing w:after="0" w:line="332"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8-A filed with the SEC pursuant to Section 12 of the Securities Exchange Act of 1934 and all amendments thereto and reports filed for the purpose of updating such description; and</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right="320" w:hanging="461"/>
        <w:spacing w:after="0" w:line="259"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documents filed by us with the SEC pursuant to the Securities Exchange Act of 1934 after the date of this prospectus and before the offering of common stock is completed (other than portions of such documents described in paragraphs (i), (k) and (1) of Item 402 of Regulation S-K promulgated by the SEC).</w:t>
      </w:r>
    </w:p>
    <w:p>
      <w:pPr>
        <w:spacing w:after="0" w:line="194" w:lineRule="exact"/>
        <w:rPr>
          <w:sz w:val="20"/>
          <w:szCs w:val="20"/>
          <w:color w:val="auto"/>
        </w:rPr>
      </w:pPr>
    </w:p>
    <w:p>
      <w:pPr>
        <w:ind w:right="380" w:firstLine="216"/>
        <w:spacing w:after="0" w:line="335" w:lineRule="auto"/>
        <w:rPr>
          <w:sz w:val="20"/>
          <w:szCs w:val="20"/>
          <w:color w:val="auto"/>
        </w:rPr>
      </w:pPr>
      <w:r>
        <w:rPr>
          <w:rFonts w:ascii="Arial" w:cs="Arial" w:eastAsia="Arial" w:hAnsi="Arial"/>
          <w:sz w:val="15"/>
          <w:szCs w:val="15"/>
          <w:color w:val="auto"/>
        </w:rPr>
        <w:t>These documents are or will be available for inspection or copying at the locations identified above under the caption “Where You Can Find More Information.” We will provide without charge to each person to whom this prospectus is delivered, upon written or oral request, a copy of any and all of the documents that have been incorporated by reference in this prospectus (other than exhibits to those documents). You should direct requests for documents to:</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3155 Porter Drive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Telephone number: (650) 475-3100</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 NOT REQUIRED IN PROSPECTUS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ITEM 14. OTHER EXPENSES OF ISSUANCE AND DISTRIBUTION.</w:t>
      </w:r>
    </w:p>
    <w:p>
      <w:pPr>
        <w:spacing w:after="0" w:line="225" w:lineRule="exact"/>
        <w:rPr>
          <w:sz w:val="20"/>
          <w:szCs w:val="20"/>
          <w:color w:val="auto"/>
        </w:rPr>
      </w:pPr>
    </w:p>
    <w:p>
      <w:pPr>
        <w:ind w:right="460" w:firstLine="216"/>
        <w:spacing w:after="0" w:line="268" w:lineRule="auto"/>
        <w:rPr>
          <w:sz w:val="20"/>
          <w:szCs w:val="20"/>
          <w:color w:val="auto"/>
        </w:rPr>
      </w:pPr>
      <w:r>
        <w:rPr>
          <w:rFonts w:ascii="Arial" w:cs="Arial" w:eastAsia="Arial" w:hAnsi="Arial"/>
          <w:sz w:val="18"/>
          <w:szCs w:val="18"/>
          <w:color w:val="auto"/>
        </w:rPr>
        <w:t>The following table sets forth the costs and expenses payable by the Registrant in connection with the sale of the securities being registered. All amounts shown are estimates except the SEC registration fee.</w:t>
      </w:r>
    </w:p>
    <w:p>
      <w:pPr>
        <w:spacing w:after="0" w:line="200" w:lineRule="exact"/>
        <w:rPr>
          <w:sz w:val="20"/>
          <w:szCs w:val="20"/>
          <w:color w:val="auto"/>
        </w:rPr>
      </w:pPr>
    </w:p>
    <w:p>
      <w:pPr>
        <w:spacing w:after="0" w:line="237"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SEC registration fee</w:t>
            </w: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898</w:t>
            </w:r>
          </w:p>
        </w:tc>
        <w:tc>
          <w:tcPr>
            <w:tcW w:w="18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Legal fees and expenses</w:t>
            </w: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30,000</w:t>
            </w:r>
          </w:p>
        </w:tc>
        <w:tc>
          <w:tcPr>
            <w:tcW w:w="18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18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Miscellaneous</w:t>
            </w: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EEEEEE"/>
          </w:tcPr>
          <w:p>
            <w:pPr>
              <w:spacing w:after="0"/>
              <w:rPr>
                <w:sz w:val="18"/>
                <w:szCs w:val="18"/>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43,898</w:t>
            </w:r>
          </w:p>
        </w:tc>
        <w:tc>
          <w:tcPr>
            <w:tcW w:w="180" w:type="dxa"/>
            <w:vAlign w:val="bottom"/>
          </w:tcPr>
          <w:p>
            <w:pPr>
              <w:spacing w:after="0"/>
              <w:rPr>
                <w:sz w:val="19"/>
                <w:szCs w:val="19"/>
                <w:color w:val="auto"/>
              </w:rPr>
            </w:pPr>
          </w:p>
        </w:tc>
      </w:tr>
      <w:tr>
        <w:trPr>
          <w:trHeight w:val="98"/>
        </w:trPr>
        <w:tc>
          <w:tcPr>
            <w:tcW w:w="3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61"/>
        </w:trPr>
        <w:tc>
          <w:tcPr>
            <w:tcW w:w="3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ITEM 15. INDEMNIFICATION OF DIRECTORS AND OFFICERS.</w:t>
      </w:r>
    </w:p>
    <w:p>
      <w:pPr>
        <w:spacing w:after="0" w:line="225" w:lineRule="exact"/>
        <w:rPr>
          <w:sz w:val="20"/>
          <w:szCs w:val="20"/>
          <w:color w:val="auto"/>
        </w:rPr>
      </w:pPr>
    </w:p>
    <w:p>
      <w:pPr>
        <w:ind w:right="20" w:firstLine="220"/>
        <w:spacing w:after="0" w:line="286" w:lineRule="auto"/>
        <w:rPr>
          <w:sz w:val="20"/>
          <w:szCs w:val="20"/>
          <w:color w:val="auto"/>
        </w:rPr>
      </w:pPr>
      <w:r>
        <w:rPr>
          <w:rFonts w:ascii="Arial" w:cs="Arial" w:eastAsia="Arial" w:hAnsi="Arial"/>
          <w:sz w:val="16"/>
          <w:szCs w:val="16"/>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81" w:lineRule="exact"/>
        <w:rPr>
          <w:sz w:val="20"/>
          <w:szCs w:val="20"/>
          <w:color w:val="auto"/>
        </w:rPr>
      </w:pPr>
    </w:p>
    <w:p>
      <w:pPr>
        <w:ind w:right="80" w:firstLine="220"/>
        <w:spacing w:after="0" w:line="294" w:lineRule="auto"/>
        <w:rPr>
          <w:sz w:val="20"/>
          <w:szCs w:val="20"/>
          <w:color w:val="auto"/>
        </w:rPr>
      </w:pPr>
      <w:r>
        <w:rPr>
          <w:rFonts w:ascii="Arial" w:cs="Arial" w:eastAsia="Arial" w:hAnsi="Arial"/>
          <w:sz w:val="16"/>
          <w:szCs w:val="16"/>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indemnify or advance expenses to any person in connection with any action, suit, proceeding, claim or counterclaim initiated by or on behalf of such person. The indemnification provided for in Section Ten is expressly not exclusive of any other rights to which those seeking indemnification may be entitled under any by-law, agreement or vote of directors or stockholders or otherwise, and shall inure to the benefit of the heirs and legal representatives of such persons.</w:t>
      </w:r>
    </w:p>
    <w:p>
      <w:pPr>
        <w:spacing w:after="0" w:line="161" w:lineRule="exact"/>
        <w:rPr>
          <w:sz w:val="20"/>
          <w:szCs w:val="20"/>
          <w:color w:val="auto"/>
        </w:rPr>
      </w:pPr>
    </w:p>
    <w:p>
      <w:pPr>
        <w:ind w:right="80" w:firstLine="220"/>
        <w:spacing w:after="0" w:line="332" w:lineRule="auto"/>
        <w:rPr>
          <w:sz w:val="20"/>
          <w:szCs w:val="20"/>
          <w:color w:val="auto"/>
        </w:rPr>
      </w:pPr>
      <w:r>
        <w:rPr>
          <w:rFonts w:ascii="Arial" w:cs="Arial" w:eastAsia="Arial" w:hAnsi="Arial"/>
          <w:sz w:val="16"/>
          <w:szCs w:val="16"/>
          <w:color w:val="auto"/>
        </w:rPr>
        <w:t>Section 145(8)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obtained insurance covering our directors and officers against certain liabilities.</w:t>
      </w:r>
    </w:p>
    <w:p>
      <w:pPr>
        <w:spacing w:after="0" w:line="225" w:lineRule="exact"/>
        <w:rPr>
          <w:sz w:val="20"/>
          <w:szCs w:val="20"/>
          <w:color w:val="auto"/>
        </w:rPr>
      </w:pPr>
    </w:p>
    <w:p>
      <w:pPr>
        <w:ind w:right="60" w:firstLine="220"/>
        <w:spacing w:after="0" w:line="283" w:lineRule="auto"/>
        <w:rPr>
          <w:sz w:val="20"/>
          <w:szCs w:val="20"/>
          <w:color w:val="auto"/>
        </w:rPr>
      </w:pPr>
      <w:r>
        <w:rPr>
          <w:rFonts w:ascii="Arial" w:cs="Arial" w:eastAsia="Arial" w:hAnsi="Arial"/>
          <w:sz w:val="16"/>
          <w:szCs w:val="16"/>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w:t>
      </w:r>
    </w:p>
    <w:p>
      <w:pPr>
        <w:spacing w:after="0" w:line="3" w:lineRule="exact"/>
        <w:rPr>
          <w:sz w:val="20"/>
          <w:szCs w:val="20"/>
          <w:color w:val="auto"/>
        </w:rPr>
      </w:pPr>
    </w:p>
    <w:p>
      <w:pPr>
        <w:ind w:right="140" w:firstLine="8"/>
        <w:spacing w:after="0" w:line="261" w:lineRule="auto"/>
        <w:tabs>
          <w:tab w:leader="none" w:pos="2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92" w:lineRule="exact"/>
        <w:rPr>
          <w:sz w:val="20"/>
          <w:szCs w:val="20"/>
          <w:color w:val="auto"/>
        </w:rPr>
      </w:pPr>
    </w:p>
    <w:p>
      <w:pPr>
        <w:ind w:right="20" w:firstLine="220"/>
        <w:spacing w:after="0" w:line="256" w:lineRule="auto"/>
        <w:rPr>
          <w:sz w:val="20"/>
          <w:szCs w:val="20"/>
          <w:color w:val="auto"/>
        </w:rPr>
      </w:pPr>
      <w:r>
        <w:rPr>
          <w:rFonts w:ascii="Arial" w:cs="Arial" w:eastAsia="Arial" w:hAnsi="Arial"/>
          <w:sz w:val="18"/>
          <w:szCs w:val="18"/>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16. EXHIBITS AND FINANCIAL STATEMENT SCHEDULES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 The following exhibits are filed as part of this registration statement:</w:t>
      </w:r>
    </w:p>
    <w:p>
      <w:pPr>
        <w:spacing w:after="0" w:line="200" w:lineRule="exact"/>
        <w:rPr>
          <w:sz w:val="20"/>
          <w:szCs w:val="20"/>
          <w:color w:val="auto"/>
        </w:rPr>
      </w:pP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5"/>
                <w:szCs w:val="15"/>
                <w:color w:val="auto"/>
              </w:rPr>
            </w:pPr>
          </w:p>
        </w:tc>
        <w:tc>
          <w:tcPr>
            <w:tcW w:w="8100" w:type="dxa"/>
            <w:vAlign w:val="bottom"/>
          </w:tcPr>
          <w:p>
            <w:pPr>
              <w:ind w:left="35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100" w:type="dxa"/>
            <w:vAlign w:val="bottom"/>
            <w:tcBorders>
              <w:bottom w:val="single" w:sz="8" w:color="808080"/>
            </w:tcBorders>
          </w:tcPr>
          <w:p>
            <w:pPr>
              <w:spacing w:after="0"/>
              <w:rPr>
                <w:sz w:val="8"/>
                <w:szCs w:val="8"/>
                <w:color w:val="auto"/>
              </w:rPr>
            </w:pPr>
          </w:p>
        </w:tc>
      </w:tr>
      <w:tr>
        <w:trPr>
          <w:trHeight w:val="316"/>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Restated Certificate of Incorporation of the Registrant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Amended and Restated By-Laws of the Registrant.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Specimen Common Stock Certificate.</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4.2++++</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w w:val="96"/>
              </w:rPr>
              <w:t>Form of Warrant Certificate issued to a certain purchaser of the Registrant’s Common Stock in April 1995.</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4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5"/>
                <w:szCs w:val="15"/>
                <w:color w:val="auto"/>
              </w:rPr>
            </w:pPr>
          </w:p>
        </w:tc>
        <w:tc>
          <w:tcPr>
            <w:tcW w:w="8100" w:type="dxa"/>
            <w:vAlign w:val="bottom"/>
          </w:tcPr>
          <w:p>
            <w:pPr>
              <w:ind w:left="35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100" w:type="dxa"/>
            <w:vAlign w:val="bottom"/>
            <w:tcBorders>
              <w:bottom w:val="single" w:sz="8" w:color="808080"/>
            </w:tcBorders>
          </w:tcPr>
          <w:p>
            <w:pPr>
              <w:spacing w:after="0"/>
              <w:rPr>
                <w:sz w:val="8"/>
                <w:szCs w:val="8"/>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4.3X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to Purchase Common Stock—Mark Angelo.</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4.4X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to Purchase Common Stock—Robert Farrell.</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4.5X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to Purchase Common Stock—Joseph Donahue.</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4.6X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to Purchase Common Stock—Hunter Singer.</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4.7X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to Purchase Common Stock—May Davis.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4.8X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Common Stock Purchase Warrant.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4.9X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Callable Warrant, dated July 31, 2000, issued to Millennium Partners,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4.10XXX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w w:val="88"/>
              </w:rPr>
              <w:t>Registration Rights Agreement dated as of May 10, 2001 between the Company and Sativum Investments Limited.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4.11XXX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dated May 10, 2001, to Purchase Common Stock issued to Sativum Investments Limited.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4.12XXX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dated May 10, 2001, to Purchase Common Stock issued to Pacific Crest Securities, Inc.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4.13XXX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dated May 10, 2001, to Purchase Common Stock issued to Granite Financial Group, Inc.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4.14XXX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Callable Warrant, dated June 21, 2001, issued to Millennium Partners,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4.15XXX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Common Stock Purchase Warrant, Class A, dated June 21, 2001, issued to Millennium Partners, L.P.</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4.16[**]</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w w:val="92"/>
              </w:rPr>
              <w:t>Certificate of Designations of the Powers, Preferences and Relative, Participating, Optional and Other Special</w:t>
            </w:r>
          </w:p>
        </w:tc>
      </w:tr>
      <w:tr>
        <w:trPr>
          <w:trHeight w:val="216"/>
        </w:trPr>
        <w:tc>
          <w:tcPr>
            <w:tcW w:w="840" w:type="dxa"/>
            <w:vAlign w:val="bottom"/>
          </w:tcPr>
          <w:p>
            <w:pPr>
              <w:spacing w:after="0"/>
              <w:rPr>
                <w:sz w:val="18"/>
                <w:szCs w:val="18"/>
                <w:color w:val="auto"/>
              </w:rPr>
            </w:pP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w w:val="92"/>
              </w:rPr>
              <w:t>Rights of Preferred Stock and Qualifications, Limitations and Restrictions Thereof of 3* Cumulative Convertible</w:t>
            </w:r>
          </w:p>
        </w:tc>
      </w:tr>
      <w:tr>
        <w:trPr>
          <w:trHeight w:val="222"/>
        </w:trPr>
        <w:tc>
          <w:tcPr>
            <w:tcW w:w="840" w:type="dxa"/>
            <w:vAlign w:val="bottom"/>
          </w:tcPr>
          <w:p>
            <w:pPr>
              <w:spacing w:after="0"/>
              <w:rPr>
                <w:sz w:val="19"/>
                <w:szCs w:val="19"/>
                <w:color w:val="auto"/>
              </w:rPr>
            </w:pP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Preferred Stock for StemCells, Inc.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4.17[**]</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to Purchase Common Stock—Riverview Group, L.L.C.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w w:val="98"/>
              </w:rPr>
              <w:t>4.18XXXX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to Purchase Common Stock—Cantor Fitzgerald &amp; Co.</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4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740" w:type="dxa"/>
            <w:vAlign w:val="bottom"/>
          </w:tcPr>
          <w:p>
            <w:pPr>
              <w:ind w:left="32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120" w:type="dxa"/>
            <w:vAlign w:val="bottom"/>
            <w:tcBorders>
              <w:bottom w:val="single" w:sz="8" w:color="808080"/>
            </w:tcBorders>
            <w:gridSpan w:val="2"/>
          </w:tcPr>
          <w:p>
            <w:pPr>
              <w:spacing w:after="0"/>
              <w:rPr>
                <w:sz w:val="8"/>
                <w:szCs w:val="8"/>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4.19[X]</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rPr>
              <w:t>Form of Warrant to Purchase Common Stock – Riverview Group, LLC.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5.1[XXX]</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rPr>
              <w:t>Opinion of Ropes &amp; Gray LLP.</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w w:val="97"/>
              </w:rPr>
              <w:t>Amendment to Registration Rights dated as of February 14, 1992 among the Registrant and certain of its</w:t>
            </w:r>
          </w:p>
        </w:tc>
      </w:tr>
      <w:tr>
        <w:trPr>
          <w:trHeight w:val="222"/>
        </w:trPr>
        <w:tc>
          <w:tcPr>
            <w:tcW w:w="840" w:type="dxa"/>
            <w:vAlign w:val="bottom"/>
          </w:tcPr>
          <w:p>
            <w:pPr>
              <w:spacing w:after="0"/>
              <w:rPr>
                <w:sz w:val="19"/>
                <w:szCs w:val="19"/>
                <w:color w:val="auto"/>
              </w:rPr>
            </w:pP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rPr>
              <w:t>stockholders.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rPr>
              <w:t>Form of at-will Employment Agreement between the Registrant and most of its employees.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w w:val="89"/>
              </w:rPr>
              <w:t>Form of Agreement for Consulting Services between the Registrant and members of its Scientific Advisory Hoard.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rPr>
              <w:t>Form of Nondisclosure Agreement between the Registrant and its Contractors.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w w:val="92"/>
              </w:rPr>
              <w:t>Master Lease and Warrant Agreement dated April 23, 1991 between the Registrant and PacifiCorp Credit, Inc.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w w:val="89"/>
              </w:rPr>
              <w:t>1988</w:t>
            </w:r>
          </w:p>
        </w:tc>
        <w:tc>
          <w:tcPr>
            <w:tcW w:w="7740" w:type="dxa"/>
            <w:vAlign w:val="bottom"/>
          </w:tcPr>
          <w:p>
            <w:pPr>
              <w:spacing w:after="0"/>
              <w:rPr>
                <w:sz w:val="20"/>
                <w:szCs w:val="20"/>
                <w:color w:val="auto"/>
              </w:rPr>
            </w:pPr>
            <w:r>
              <w:rPr>
                <w:rFonts w:ascii="Arial" w:cs="Arial" w:eastAsia="Arial" w:hAnsi="Arial"/>
                <w:sz w:val="18"/>
                <w:szCs w:val="18"/>
                <w:color w:val="auto"/>
              </w:rPr>
              <w:t>Stock Option Plan.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w w:val="89"/>
              </w:rPr>
              <w:t>1992</w:t>
            </w:r>
          </w:p>
        </w:tc>
        <w:tc>
          <w:tcPr>
            <w:tcW w:w="7740" w:type="dxa"/>
            <w:vAlign w:val="bottom"/>
          </w:tcPr>
          <w:p>
            <w:pPr>
              <w:spacing w:after="0"/>
              <w:rPr>
                <w:sz w:val="20"/>
                <w:szCs w:val="20"/>
                <w:color w:val="auto"/>
              </w:rPr>
            </w:pPr>
            <w:r>
              <w:rPr>
                <w:rFonts w:ascii="Arial" w:cs="Arial" w:eastAsia="Arial" w:hAnsi="Arial"/>
                <w:sz w:val="18"/>
                <w:szCs w:val="18"/>
                <w:color w:val="auto"/>
              </w:rPr>
              <w:t>Equity Incentive Plan.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w w:val="89"/>
              </w:rPr>
              <w:t>1992</w:t>
            </w:r>
          </w:p>
        </w:tc>
        <w:tc>
          <w:tcPr>
            <w:tcW w:w="7740" w:type="dxa"/>
            <w:vAlign w:val="bottom"/>
          </w:tcPr>
          <w:p>
            <w:pPr>
              <w:spacing w:after="0"/>
              <w:rPr>
                <w:sz w:val="20"/>
                <w:szCs w:val="20"/>
                <w:color w:val="auto"/>
              </w:rPr>
            </w:pPr>
            <w:r>
              <w:rPr>
                <w:rFonts w:ascii="Arial" w:cs="Arial" w:eastAsia="Arial" w:hAnsi="Arial"/>
                <w:sz w:val="18"/>
                <w:szCs w:val="18"/>
                <w:color w:val="auto"/>
              </w:rPr>
              <w:t>Stock Option Plan for Non-Employee Directors.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w w:val="89"/>
              </w:rPr>
              <w:t>1992</w:t>
            </w:r>
          </w:p>
        </w:tc>
        <w:tc>
          <w:tcPr>
            <w:tcW w:w="7740" w:type="dxa"/>
            <w:vAlign w:val="bottom"/>
          </w:tcPr>
          <w:p>
            <w:pPr>
              <w:spacing w:after="0"/>
              <w:rPr>
                <w:sz w:val="20"/>
                <w:szCs w:val="20"/>
                <w:color w:val="auto"/>
              </w:rPr>
            </w:pPr>
            <w:r>
              <w:rPr>
                <w:rFonts w:ascii="Arial" w:cs="Arial" w:eastAsia="Arial" w:hAnsi="Arial"/>
                <w:sz w:val="18"/>
                <w:szCs w:val="18"/>
                <w:color w:val="auto"/>
              </w:rPr>
              <w:t>Employee Stock Purchase Plan.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rPr>
              <w:t>Research Agreement dated as of March 16, 1994 between NeuroSpheres, Ltd. and Registrant.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w w:val="88"/>
              </w:rPr>
              <w:t>Term Loan Agreement dated as of September 30, 1994 between The First National Bank of Boston and Registrant.</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w w:val="88"/>
              </w:rPr>
              <w:t>Lease Agreement between the Registrant and Rhode Island Industrial Facilities Corporation, dated as of August 1,</w:t>
            </w:r>
          </w:p>
        </w:tc>
      </w:tr>
      <w:tr>
        <w:trPr>
          <w:trHeight w:val="222"/>
        </w:trPr>
        <w:tc>
          <w:tcPr>
            <w:tcW w:w="84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w w:val="79"/>
              </w:rPr>
              <w:t>1992.</w:t>
            </w:r>
          </w:p>
        </w:tc>
        <w:tc>
          <w:tcPr>
            <w:tcW w:w="7740" w:type="dxa"/>
            <w:vAlign w:val="bottom"/>
          </w:tcPr>
          <w:p>
            <w:pPr>
              <w:spacing w:after="0"/>
              <w:rPr>
                <w:sz w:val="19"/>
                <w:szCs w:val="19"/>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10.15++</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w w:val="90"/>
              </w:rPr>
              <w:t>First Amendment to Lease Agreement between Registrant and The Rhode Island Industrial Facilities Corporation</w:t>
            </w:r>
          </w:p>
        </w:tc>
      </w:tr>
      <w:tr>
        <w:trPr>
          <w:trHeight w:val="222"/>
        </w:trPr>
        <w:tc>
          <w:tcPr>
            <w:tcW w:w="840" w:type="dxa"/>
            <w:vAlign w:val="bottom"/>
          </w:tcPr>
          <w:p>
            <w:pPr>
              <w:spacing w:after="0"/>
              <w:rPr>
                <w:sz w:val="19"/>
                <w:szCs w:val="19"/>
                <w:color w:val="auto"/>
              </w:rPr>
            </w:pP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rPr>
              <w:t>dated as of September 15, 1994.</w:t>
            </w:r>
          </w:p>
        </w:tc>
      </w:tr>
    </w:tbl>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5"/>
                <w:szCs w:val="15"/>
                <w:color w:val="auto"/>
              </w:rPr>
            </w:pPr>
          </w:p>
        </w:tc>
        <w:tc>
          <w:tcPr>
            <w:tcW w:w="8000" w:type="dxa"/>
            <w:vAlign w:val="bottom"/>
          </w:tcPr>
          <w:p>
            <w:pPr>
              <w:ind w:left="35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00" w:type="dxa"/>
            <w:vAlign w:val="bottom"/>
            <w:tcBorders>
              <w:bottom w:val="single" w:sz="8" w:color="808080"/>
            </w:tcBorders>
          </w:tcPr>
          <w:p>
            <w:pPr>
              <w:spacing w:after="0"/>
              <w:rPr>
                <w:sz w:val="8"/>
                <w:szCs w:val="8"/>
                <w:color w:val="auto"/>
              </w:rPr>
            </w:pPr>
          </w:p>
        </w:tc>
      </w:tr>
      <w:tr>
        <w:trPr>
          <w:trHeight w:val="316"/>
        </w:trPr>
        <w:tc>
          <w:tcPr>
            <w:tcW w:w="980" w:type="dxa"/>
            <w:vAlign w:val="bottom"/>
          </w:tcPr>
          <w:p>
            <w:pPr>
              <w:spacing w:after="0"/>
              <w:rPr>
                <w:sz w:val="20"/>
                <w:szCs w:val="20"/>
                <w:color w:val="auto"/>
              </w:rPr>
            </w:pPr>
            <w:r>
              <w:rPr>
                <w:rFonts w:ascii="Arial" w:cs="Arial" w:eastAsia="Arial" w:hAnsi="Arial"/>
                <w:sz w:val="18"/>
                <w:szCs w:val="18"/>
                <w:color w:val="auto"/>
                <w:w w:val="94"/>
              </w:rPr>
              <w:t>10.17**++++</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w w:val="89"/>
              </w:rPr>
              <w:t>Development, Marketing and License Agreement, dated as of March 30, 1995 between Registrant and Astra AB.</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10.18++++</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w w:val="89"/>
              </w:rPr>
              <w:t>Form of Unit Purchase Agreement to be executed by the purchasers of the Common Stock and Warrants offered</w:t>
            </w:r>
          </w:p>
        </w:tc>
      </w:tr>
      <w:tr>
        <w:trPr>
          <w:trHeight w:val="222"/>
        </w:trPr>
        <w:tc>
          <w:tcPr>
            <w:tcW w:w="980" w:type="dxa"/>
            <w:vAlign w:val="bottom"/>
          </w:tcPr>
          <w:p>
            <w:pPr>
              <w:spacing w:after="0"/>
              <w:rPr>
                <w:sz w:val="19"/>
                <w:szCs w:val="19"/>
                <w:color w:val="auto"/>
              </w:rPr>
            </w:pP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in April 1995.</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10.19+++</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w w:val="88"/>
              </w:rPr>
              <w:t>Form of Common Stock Purchase Agreement to be executed among the Registrant and certain purchasers of the</w:t>
            </w:r>
          </w:p>
        </w:tc>
      </w:tr>
      <w:tr>
        <w:trPr>
          <w:trHeight w:val="222"/>
        </w:trPr>
        <w:tc>
          <w:tcPr>
            <w:tcW w:w="980" w:type="dxa"/>
            <w:vAlign w:val="bottom"/>
          </w:tcPr>
          <w:p>
            <w:pPr>
              <w:spacing w:after="0"/>
              <w:rPr>
                <w:sz w:val="19"/>
                <w:szCs w:val="19"/>
                <w:color w:val="auto"/>
              </w:rPr>
            </w:pP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Registrant’s Common Stock.</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10.22###</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w w:val="91"/>
              </w:rPr>
              <w:t>Lease Agreement dated as of November 21, 1997 by and between Hub RI Properties Trust, as Landlord, and</w:t>
            </w:r>
          </w:p>
        </w:tc>
      </w:tr>
      <w:tr>
        <w:trPr>
          <w:trHeight w:val="222"/>
        </w:trPr>
        <w:tc>
          <w:tcPr>
            <w:tcW w:w="980" w:type="dxa"/>
            <w:vAlign w:val="bottom"/>
          </w:tcPr>
          <w:p>
            <w:pPr>
              <w:spacing w:after="0"/>
              <w:rPr>
                <w:sz w:val="19"/>
                <w:szCs w:val="19"/>
                <w:color w:val="auto"/>
              </w:rPr>
            </w:pP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CytoTherapeutics, Inc., as Tenant.</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10.24!!</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w w:val="89"/>
              </w:rPr>
              <w:t>CTI individual stockholders option agreement dated as of July 10, 1996 among the Company and the individuals</w:t>
            </w:r>
          </w:p>
        </w:tc>
      </w:tr>
      <w:tr>
        <w:trPr>
          <w:trHeight w:val="222"/>
        </w:trPr>
        <w:tc>
          <w:tcPr>
            <w:tcW w:w="980" w:type="dxa"/>
            <w:vAlign w:val="bottom"/>
          </w:tcPr>
          <w:p>
            <w:pPr>
              <w:spacing w:after="0"/>
              <w:rPr>
                <w:sz w:val="19"/>
                <w:szCs w:val="19"/>
                <w:color w:val="auto"/>
              </w:rPr>
            </w:pP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listed therein.</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10.25!!</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w w:val="90"/>
              </w:rPr>
              <w:t>CTI Valoria option agreement dated of July 10, 1996 between the Company and the Societe Financiers Valoria</w:t>
            </w:r>
          </w:p>
        </w:tc>
      </w:tr>
      <w:tr>
        <w:trPr>
          <w:trHeight w:val="222"/>
        </w:trPr>
        <w:tc>
          <w:tcPr>
            <w:tcW w:w="980" w:type="dxa"/>
            <w:vAlign w:val="bottom"/>
          </w:tcPr>
          <w:p>
            <w:pPr>
              <w:spacing w:after="0"/>
              <w:rPr>
                <w:sz w:val="19"/>
                <w:szCs w:val="19"/>
                <w:color w:val="auto"/>
              </w:rPr>
            </w:pP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SA.</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10.26!!!</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w w:val="96"/>
              </w:rPr>
              <w:t>Term Loan Agreement dated as of October 22, 1996 between The First National Bank of Boston and the</w:t>
            </w:r>
          </w:p>
        </w:tc>
      </w:tr>
      <w:tr>
        <w:trPr>
          <w:trHeight w:val="222"/>
        </w:trPr>
        <w:tc>
          <w:tcPr>
            <w:tcW w:w="980" w:type="dxa"/>
            <w:vAlign w:val="bottom"/>
          </w:tcPr>
          <w:p>
            <w:pPr>
              <w:spacing w:after="0"/>
              <w:rPr>
                <w:sz w:val="19"/>
                <w:szCs w:val="19"/>
                <w:color w:val="auto"/>
              </w:rPr>
            </w:pP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Registrant.</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10.27***</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w w:val="93"/>
              </w:rPr>
              <w:t>Agreement and Plan of Merger dated as of August 13, 1997 among StemCells, Inc., the Registrant and CTI</w:t>
            </w:r>
          </w:p>
        </w:tc>
      </w:tr>
      <w:tr>
        <w:trPr>
          <w:trHeight w:val="222"/>
        </w:trPr>
        <w:tc>
          <w:tcPr>
            <w:tcW w:w="980" w:type="dxa"/>
            <w:vAlign w:val="bottom"/>
          </w:tcPr>
          <w:p>
            <w:pPr>
              <w:spacing w:after="0"/>
              <w:rPr>
                <w:sz w:val="19"/>
                <w:szCs w:val="19"/>
                <w:color w:val="auto"/>
              </w:rPr>
            </w:pP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Acquisition Corp.</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10.28***</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w w:val="95"/>
              </w:rPr>
              <w:t>Consulting Agreement dated as of September 25, 1997 between Dr. Irving Weissman and the Registrant.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10.29###</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Letter Agreement among each of Dr. Irving Weissman and Dr. Fred H. Gage and the Registrant.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10.32****</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StemCells, Inc. 1996 Stock Option Plan.</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10.33****</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1997 StemCells Research Stock Option Plan (the “1997 Plan”).</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10.34****</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Form of Performance-Based Incentive Option Agreement issued under the 1997 Plan.</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1340" w:type="dxa"/>
            <w:vAlign w:val="bottom"/>
          </w:tcPr>
          <w:p>
            <w:pPr>
              <w:ind w:left="380"/>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5"/>
                <w:szCs w:val="15"/>
                <w:color w:val="auto"/>
              </w:rPr>
            </w:pPr>
          </w:p>
        </w:tc>
        <w:tc>
          <w:tcPr>
            <w:tcW w:w="7600" w:type="dxa"/>
            <w:vAlign w:val="bottom"/>
          </w:tcPr>
          <w:p>
            <w:pPr>
              <w:ind w:left="33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3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7600" w:type="dxa"/>
            <w:vAlign w:val="bottom"/>
            <w:tcBorders>
              <w:bottom w:val="single" w:sz="8" w:color="808080"/>
            </w:tcBorders>
          </w:tcPr>
          <w:p>
            <w:pPr>
              <w:spacing w:after="0"/>
              <w:rPr>
                <w:sz w:val="8"/>
                <w:szCs w:val="8"/>
                <w:color w:val="auto"/>
              </w:rPr>
            </w:pPr>
          </w:p>
        </w:tc>
      </w:tr>
      <w:tr>
        <w:trPr>
          <w:trHeight w:val="316"/>
        </w:trPr>
        <w:tc>
          <w:tcPr>
            <w:tcW w:w="1340" w:type="dxa"/>
            <w:vAlign w:val="bottom"/>
          </w:tcPr>
          <w:p>
            <w:pPr>
              <w:spacing w:after="0"/>
              <w:rPr>
                <w:sz w:val="20"/>
                <w:szCs w:val="20"/>
                <w:color w:val="auto"/>
              </w:rPr>
            </w:pPr>
            <w:r>
              <w:rPr>
                <w:rFonts w:ascii="Arial" w:cs="Arial" w:eastAsia="Arial" w:hAnsi="Arial"/>
                <w:sz w:val="18"/>
                <w:szCs w:val="18"/>
                <w:color w:val="auto"/>
              </w:rPr>
              <w:t>10.35###</w:t>
            </w: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w w:val="89"/>
              </w:rPr>
              <w:t>Employment Agreement dated as of September 25, 1997 between Dr. Richard M. Rose and the Registrant.</w:t>
            </w:r>
          </w:p>
        </w:tc>
      </w:tr>
      <w:tr>
        <w:trPr>
          <w:trHeight w:val="426"/>
        </w:trPr>
        <w:tc>
          <w:tcPr>
            <w:tcW w:w="1340" w:type="dxa"/>
            <w:vAlign w:val="bottom"/>
          </w:tcPr>
          <w:p>
            <w:pPr>
              <w:spacing w:after="0"/>
              <w:rPr>
                <w:sz w:val="20"/>
                <w:szCs w:val="20"/>
                <w:color w:val="auto"/>
              </w:rPr>
            </w:pPr>
            <w:r>
              <w:rPr>
                <w:rFonts w:ascii="Arial" w:cs="Arial" w:eastAsia="Arial" w:hAnsi="Arial"/>
                <w:sz w:val="18"/>
                <w:szCs w:val="18"/>
                <w:color w:val="auto"/>
              </w:rPr>
              <w:t>10.38[*]</w:t>
            </w: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w w:val="97"/>
              </w:rPr>
              <w:t>Rights Agreement, dated as of July 27, 1998 between Bank Boston, N.A. as Rights Agent and the</w:t>
            </w:r>
          </w:p>
        </w:tc>
      </w:tr>
      <w:tr>
        <w:trPr>
          <w:trHeight w:val="222"/>
        </w:trPr>
        <w:tc>
          <w:tcPr>
            <w:tcW w:w="1340" w:type="dxa"/>
            <w:vAlign w:val="bottom"/>
          </w:tcPr>
          <w:p>
            <w:pPr>
              <w:spacing w:after="0"/>
              <w:rPr>
                <w:sz w:val="19"/>
                <w:szCs w:val="19"/>
                <w:color w:val="auto"/>
              </w:rPr>
            </w:pP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rPr>
              <w:t>Registrant.</w:t>
            </w:r>
          </w:p>
        </w:tc>
      </w:tr>
      <w:tr>
        <w:trPr>
          <w:trHeight w:val="426"/>
        </w:trPr>
        <w:tc>
          <w:tcPr>
            <w:tcW w:w="1340" w:type="dxa"/>
            <w:vAlign w:val="bottom"/>
          </w:tcPr>
          <w:p>
            <w:pPr>
              <w:spacing w:after="0"/>
              <w:rPr>
                <w:sz w:val="20"/>
                <w:szCs w:val="20"/>
                <w:color w:val="auto"/>
              </w:rPr>
            </w:pPr>
            <w:r>
              <w:rPr>
                <w:rFonts w:ascii="Arial" w:cs="Arial" w:eastAsia="Arial" w:hAnsi="Arial"/>
                <w:sz w:val="18"/>
                <w:szCs w:val="18"/>
                <w:color w:val="auto"/>
              </w:rPr>
              <w:t>10.40%**</w:t>
            </w: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w w:val="94"/>
              </w:rPr>
              <w:t>Consulting Services Agreement dated as of July 27, 1998, as amended December 19, 1998 between</w:t>
            </w:r>
          </w:p>
        </w:tc>
      </w:tr>
      <w:tr>
        <w:trPr>
          <w:trHeight w:val="222"/>
        </w:trPr>
        <w:tc>
          <w:tcPr>
            <w:tcW w:w="1340" w:type="dxa"/>
            <w:vAlign w:val="bottom"/>
          </w:tcPr>
          <w:p>
            <w:pPr>
              <w:spacing w:after="0"/>
              <w:rPr>
                <w:sz w:val="19"/>
                <w:szCs w:val="19"/>
                <w:color w:val="auto"/>
              </w:rPr>
            </w:pP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rPr>
              <w:t>Dr. John J. Schwartz and the Registrant.</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10.41%**</w:t>
            </w: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w w:val="98"/>
              </w:rPr>
              <w:t>Letter Agreement dated as of December 19, 1998 between John J. Schwartz and the Registrant.</w:t>
            </w:r>
          </w:p>
        </w:tc>
      </w:tr>
      <w:tr>
        <w:trPr>
          <w:trHeight w:val="426"/>
        </w:trPr>
        <w:tc>
          <w:tcPr>
            <w:tcW w:w="1340" w:type="dxa"/>
            <w:vAlign w:val="bottom"/>
          </w:tcPr>
          <w:p>
            <w:pPr>
              <w:spacing w:after="0"/>
              <w:rPr>
                <w:sz w:val="20"/>
                <w:szCs w:val="20"/>
                <w:color w:val="auto"/>
              </w:rPr>
            </w:pPr>
            <w:r>
              <w:rPr>
                <w:rFonts w:ascii="Arial" w:cs="Arial" w:eastAsia="Arial" w:hAnsi="Arial"/>
                <w:sz w:val="18"/>
                <w:szCs w:val="18"/>
                <w:color w:val="auto"/>
              </w:rPr>
              <w:t>10.42%**</w:t>
            </w: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w w:val="97"/>
              </w:rPr>
              <w:t>License Agreement dated as of October 27, 1998 between The Scripps Research Institute and the</w:t>
            </w:r>
          </w:p>
        </w:tc>
      </w:tr>
      <w:tr>
        <w:trPr>
          <w:trHeight w:val="222"/>
        </w:trPr>
        <w:tc>
          <w:tcPr>
            <w:tcW w:w="1340" w:type="dxa"/>
            <w:vAlign w:val="bottom"/>
          </w:tcPr>
          <w:p>
            <w:pPr>
              <w:spacing w:after="0"/>
              <w:rPr>
                <w:sz w:val="19"/>
                <w:szCs w:val="19"/>
                <w:color w:val="auto"/>
              </w:rPr>
            </w:pP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rPr>
              <w:t>Registrant.</w:t>
            </w:r>
          </w:p>
        </w:tc>
      </w:tr>
      <w:tr>
        <w:trPr>
          <w:trHeight w:val="426"/>
        </w:trPr>
        <w:tc>
          <w:tcPr>
            <w:tcW w:w="1340" w:type="dxa"/>
            <w:vAlign w:val="bottom"/>
          </w:tcPr>
          <w:p>
            <w:pPr>
              <w:spacing w:after="0"/>
              <w:rPr>
                <w:sz w:val="20"/>
                <w:szCs w:val="20"/>
                <w:color w:val="auto"/>
              </w:rPr>
            </w:pPr>
            <w:r>
              <w:rPr>
                <w:rFonts w:ascii="Arial" w:cs="Arial" w:eastAsia="Arial" w:hAnsi="Arial"/>
                <w:sz w:val="18"/>
                <w:szCs w:val="18"/>
                <w:color w:val="auto"/>
              </w:rPr>
              <w:t>10.43%**</w:t>
            </w: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w w:val="97"/>
              </w:rPr>
              <w:t>License Agreement dated as of October 27, 1998 between The Scripps Research Institute and the</w:t>
            </w:r>
          </w:p>
        </w:tc>
      </w:tr>
      <w:tr>
        <w:trPr>
          <w:trHeight w:val="222"/>
        </w:trPr>
        <w:tc>
          <w:tcPr>
            <w:tcW w:w="1340" w:type="dxa"/>
            <w:vAlign w:val="bottom"/>
          </w:tcPr>
          <w:p>
            <w:pPr>
              <w:spacing w:after="0"/>
              <w:rPr>
                <w:sz w:val="19"/>
                <w:szCs w:val="19"/>
                <w:color w:val="auto"/>
              </w:rPr>
            </w:pP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rPr>
              <w:t>Registrant.</w:t>
            </w:r>
          </w:p>
        </w:tc>
      </w:tr>
      <w:tr>
        <w:trPr>
          <w:trHeight w:val="426"/>
        </w:trPr>
        <w:tc>
          <w:tcPr>
            <w:tcW w:w="1340" w:type="dxa"/>
            <w:vAlign w:val="bottom"/>
          </w:tcPr>
          <w:p>
            <w:pPr>
              <w:spacing w:after="0"/>
              <w:rPr>
                <w:sz w:val="20"/>
                <w:szCs w:val="20"/>
                <w:color w:val="auto"/>
              </w:rPr>
            </w:pPr>
            <w:r>
              <w:rPr>
                <w:rFonts w:ascii="Arial" w:cs="Arial" w:eastAsia="Arial" w:hAnsi="Arial"/>
                <w:sz w:val="18"/>
                <w:szCs w:val="18"/>
                <w:color w:val="auto"/>
              </w:rPr>
              <w:t>10.44%%**</w:t>
            </w: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w w:val="94"/>
              </w:rPr>
              <w:t>License Agreement dated as of November 20, 1998 between The Scripps Research Institute and the</w:t>
            </w:r>
          </w:p>
        </w:tc>
      </w:tr>
      <w:tr>
        <w:trPr>
          <w:trHeight w:val="222"/>
        </w:trPr>
        <w:tc>
          <w:tcPr>
            <w:tcW w:w="1340" w:type="dxa"/>
            <w:vAlign w:val="bottom"/>
          </w:tcPr>
          <w:p>
            <w:pPr>
              <w:spacing w:after="0"/>
              <w:rPr>
                <w:sz w:val="19"/>
                <w:szCs w:val="19"/>
                <w:color w:val="auto"/>
              </w:rPr>
            </w:pP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rPr>
              <w:t>Registrant.</w:t>
            </w:r>
          </w:p>
        </w:tc>
      </w:tr>
      <w:tr>
        <w:trPr>
          <w:trHeight w:val="426"/>
        </w:trPr>
        <w:tc>
          <w:tcPr>
            <w:tcW w:w="1340" w:type="dxa"/>
            <w:vAlign w:val="bottom"/>
          </w:tcPr>
          <w:p>
            <w:pPr>
              <w:spacing w:after="0"/>
              <w:rPr>
                <w:sz w:val="20"/>
                <w:szCs w:val="20"/>
                <w:color w:val="auto"/>
              </w:rPr>
            </w:pPr>
            <w:r>
              <w:rPr>
                <w:rFonts w:ascii="Arial" w:cs="Arial" w:eastAsia="Arial" w:hAnsi="Arial"/>
                <w:sz w:val="18"/>
                <w:szCs w:val="18"/>
                <w:color w:val="auto"/>
              </w:rPr>
              <w:t>10.45%%**</w:t>
            </w: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w w:val="88"/>
              </w:rPr>
              <w:t>Purchase Agreement and License Agreement dated as of December 29, 1999 between Neurotech S.A. and</w:t>
            </w:r>
          </w:p>
        </w:tc>
      </w:tr>
      <w:tr>
        <w:trPr>
          <w:trHeight w:val="222"/>
        </w:trPr>
        <w:tc>
          <w:tcPr>
            <w:tcW w:w="1340" w:type="dxa"/>
            <w:vAlign w:val="bottom"/>
          </w:tcPr>
          <w:p>
            <w:pPr>
              <w:spacing w:after="0"/>
              <w:rPr>
                <w:sz w:val="19"/>
                <w:szCs w:val="19"/>
                <w:color w:val="auto"/>
              </w:rPr>
            </w:pP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rPr>
              <w:t>the Registrant.</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10.46%%%%**</w:t>
            </w: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w w:val="91"/>
              </w:rPr>
              <w:t>License Agreement, dated as of June 1999, between The Scripps Research Institute and the Registrant.</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10.47X</w:t>
            </w: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w w:val="90"/>
              </w:rPr>
              <w:t>Form of Registration Rights Agreement, dated as of July 31, 2000, between StemCells, Inc. and investors.</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10.48X</w:t>
            </w: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w w:val="89"/>
              </w:rPr>
              <w:t>Subscription Agreement, dated as of July 31, 2000, between StemCells, Inc. and Millennium Partners, L.P.</w:t>
            </w:r>
          </w:p>
        </w:tc>
      </w:tr>
      <w:tr>
        <w:trPr>
          <w:trHeight w:val="426"/>
        </w:trPr>
        <w:tc>
          <w:tcPr>
            <w:tcW w:w="1340" w:type="dxa"/>
            <w:vAlign w:val="bottom"/>
          </w:tcPr>
          <w:p>
            <w:pPr>
              <w:spacing w:after="0"/>
              <w:rPr>
                <w:sz w:val="20"/>
                <w:szCs w:val="20"/>
                <w:color w:val="auto"/>
              </w:rPr>
            </w:pPr>
            <w:r>
              <w:rPr>
                <w:rFonts w:ascii="Arial" w:cs="Arial" w:eastAsia="Arial" w:hAnsi="Arial"/>
                <w:sz w:val="18"/>
                <w:szCs w:val="18"/>
                <w:color w:val="auto"/>
              </w:rPr>
              <w:t>10.49XXX</w:t>
            </w: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w w:val="94"/>
              </w:rPr>
              <w:t>Common Stock Purchase Agreement, dated as of May 10, 2001, between the Company and Sativum</w:t>
            </w:r>
          </w:p>
        </w:tc>
      </w:tr>
      <w:tr>
        <w:trPr>
          <w:trHeight w:val="222"/>
        </w:trPr>
        <w:tc>
          <w:tcPr>
            <w:tcW w:w="1340" w:type="dxa"/>
            <w:vAlign w:val="bottom"/>
          </w:tcPr>
          <w:p>
            <w:pPr>
              <w:spacing w:after="0"/>
              <w:rPr>
                <w:sz w:val="19"/>
                <w:szCs w:val="19"/>
                <w:color w:val="auto"/>
              </w:rPr>
            </w:pP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rPr>
              <w:t>Investments Limited.</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5"/>
                <w:szCs w:val="15"/>
                <w:color w:val="auto"/>
              </w:rPr>
            </w:pPr>
          </w:p>
        </w:tc>
        <w:tc>
          <w:tcPr>
            <w:tcW w:w="8100" w:type="dxa"/>
            <w:vAlign w:val="bottom"/>
          </w:tcPr>
          <w:p>
            <w:pPr>
              <w:ind w:left="35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100" w:type="dxa"/>
            <w:vAlign w:val="bottom"/>
            <w:tcBorders>
              <w:bottom w:val="single" w:sz="8" w:color="808080"/>
            </w:tcBorders>
          </w:tcPr>
          <w:p>
            <w:pPr>
              <w:spacing w:after="0"/>
              <w:rPr>
                <w:sz w:val="8"/>
                <w:szCs w:val="8"/>
                <w:color w:val="auto"/>
              </w:rPr>
            </w:pPr>
          </w:p>
        </w:tc>
      </w:tr>
      <w:tr>
        <w:trPr>
          <w:trHeight w:val="309"/>
        </w:trPr>
        <w:tc>
          <w:tcPr>
            <w:tcW w:w="860" w:type="dxa"/>
            <w:vAlign w:val="bottom"/>
          </w:tcPr>
          <w:p>
            <w:pPr>
              <w:spacing w:after="0"/>
              <w:rPr>
                <w:sz w:val="20"/>
                <w:szCs w:val="20"/>
                <w:color w:val="auto"/>
              </w:rPr>
            </w:pPr>
            <w:r>
              <w:rPr>
                <w:rFonts w:ascii="Arial" w:cs="Arial" w:eastAsia="Arial" w:hAnsi="Arial"/>
                <w:sz w:val="18"/>
                <w:szCs w:val="18"/>
                <w:color w:val="auto"/>
              </w:rPr>
              <w:t>10.50XXX</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w w:val="91"/>
              </w:rPr>
              <w:t>Escrow Agreement, dated as of May 10, 2001, among the Company, Sativum Investments Limited and Epstein,</w:t>
            </w:r>
          </w:p>
        </w:tc>
      </w:tr>
      <w:tr>
        <w:trPr>
          <w:trHeight w:val="222"/>
        </w:trPr>
        <w:tc>
          <w:tcPr>
            <w:tcW w:w="860" w:type="dxa"/>
            <w:vAlign w:val="bottom"/>
          </w:tcPr>
          <w:p>
            <w:pPr>
              <w:spacing w:after="0"/>
              <w:rPr>
                <w:sz w:val="19"/>
                <w:szCs w:val="19"/>
                <w:color w:val="auto"/>
              </w:rPr>
            </w:pP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Becker &amp; Green, P.C.</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10.51XX</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License Agreement, dated as of October 30, 2000, between the Company and Neuro Spheres Ltd.</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10.52XX</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Letter Agreement, dated January 2, 2001, between the Company and Martin McGlynn.</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10.53XX</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w w:val="97"/>
              </w:rPr>
              <w:t>Lease, dated February 1, 2001, between the Board of Trustees of Stanford University and the Company.</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10.54XXX</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w w:val="88"/>
              </w:rPr>
              <w:t>Registration Rights Agreement, dated as of June 21, 2001, by and between the Company and Millennium Partners,</w:t>
            </w:r>
          </w:p>
        </w:tc>
      </w:tr>
      <w:tr>
        <w:trPr>
          <w:trHeight w:val="222"/>
        </w:trPr>
        <w:tc>
          <w:tcPr>
            <w:tcW w:w="860" w:type="dxa"/>
            <w:vAlign w:val="bottom"/>
          </w:tcPr>
          <w:p>
            <w:pPr>
              <w:spacing w:after="0"/>
              <w:rPr>
                <w:sz w:val="19"/>
                <w:szCs w:val="19"/>
                <w:color w:val="auto"/>
              </w:rPr>
            </w:pP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L.P.</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10.55XXX</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w w:val="89"/>
              </w:rPr>
              <w:t>Subscription Agreement, dated as of June 21, 2001, by and between the Company and Millennium Partners, L.P.</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w w:val="90"/>
              </w:rPr>
              <w:t>10.56%%%</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2001 Equity Incentive Plan.</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10.57[**]</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w w:val="93"/>
              </w:rPr>
              <w:t>Subscription Agreement dated as of December 4, 2001 between StemCells, Inc. and Riverview Group, L.L.C.</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10.58[**]</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w w:val="93"/>
              </w:rPr>
              <w:t>Registration Rights Agreement dated as of December 4, 2001 between StemCells, Inc. and Riverview Group,</w:t>
            </w:r>
          </w:p>
        </w:tc>
      </w:tr>
      <w:tr>
        <w:trPr>
          <w:trHeight w:val="222"/>
        </w:trPr>
        <w:tc>
          <w:tcPr>
            <w:tcW w:w="860" w:type="dxa"/>
            <w:vAlign w:val="bottom"/>
          </w:tcPr>
          <w:p>
            <w:pPr>
              <w:spacing w:after="0"/>
              <w:rPr>
                <w:sz w:val="19"/>
                <w:szCs w:val="19"/>
                <w:color w:val="auto"/>
              </w:rPr>
            </w:pP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L.L.C.</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10.59[**]</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Agreement dated as of December 4, 2001 between StemCells, Inc. and Millennium Partners, L.P.</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10.60[**]</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w w:val="88"/>
              </w:rPr>
              <w:t>Agreement dated as of December 4, 2001 among StemCells, Inc., Millennium Partners, L.P. and Riverview Group,</w:t>
            </w:r>
          </w:p>
        </w:tc>
      </w:tr>
      <w:tr>
        <w:trPr>
          <w:trHeight w:val="222"/>
        </w:trPr>
        <w:tc>
          <w:tcPr>
            <w:tcW w:w="860" w:type="dxa"/>
            <w:vAlign w:val="bottom"/>
          </w:tcPr>
          <w:p>
            <w:pPr>
              <w:spacing w:after="0"/>
              <w:rPr>
                <w:sz w:val="19"/>
                <w:szCs w:val="19"/>
                <w:color w:val="auto"/>
              </w:rPr>
            </w:pP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L.L.C.</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10.61[***]</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Agreement dated as of April 9, 2003 between StemCells, Inc. and Riverview Group, L.L.C.</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10.62[X]</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w w:val="92"/>
              </w:rPr>
              <w:t>Form of Registration Rights Agreement dated as of May 15, 2003 between StemCells, Inc. and The Riverview</w:t>
            </w:r>
          </w:p>
        </w:tc>
      </w:tr>
      <w:tr>
        <w:trPr>
          <w:trHeight w:val="222"/>
        </w:trPr>
        <w:tc>
          <w:tcPr>
            <w:tcW w:w="860" w:type="dxa"/>
            <w:vAlign w:val="bottom"/>
          </w:tcPr>
          <w:p>
            <w:pPr>
              <w:spacing w:after="0"/>
              <w:rPr>
                <w:sz w:val="19"/>
                <w:szCs w:val="19"/>
                <w:color w:val="auto"/>
              </w:rPr>
            </w:pP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Group, LLC</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94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5"/>
                <w:szCs w:val="15"/>
                <w:color w:val="auto"/>
              </w:rPr>
            </w:pPr>
          </w:p>
        </w:tc>
        <w:tc>
          <w:tcPr>
            <w:tcW w:w="8020" w:type="dxa"/>
            <w:vAlign w:val="bottom"/>
          </w:tcPr>
          <w:p>
            <w:pPr>
              <w:ind w:left="35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20" w:type="dxa"/>
            <w:vAlign w:val="bottom"/>
            <w:tcBorders>
              <w:bottom w:val="single" w:sz="8" w:color="808080"/>
            </w:tcBorders>
          </w:tcPr>
          <w:p>
            <w:pPr>
              <w:spacing w:after="0"/>
              <w:rPr>
                <w:sz w:val="8"/>
                <w:szCs w:val="8"/>
                <w:color w:val="auto"/>
              </w:rPr>
            </w:pPr>
          </w:p>
        </w:tc>
      </w:tr>
      <w:tr>
        <w:trPr>
          <w:trHeight w:val="309"/>
        </w:trPr>
        <w:tc>
          <w:tcPr>
            <w:tcW w:w="940" w:type="dxa"/>
            <w:vAlign w:val="bottom"/>
          </w:tcPr>
          <w:p>
            <w:pPr>
              <w:spacing w:after="0"/>
              <w:rPr>
                <w:sz w:val="20"/>
                <w:szCs w:val="20"/>
                <w:color w:val="auto"/>
              </w:rPr>
            </w:pPr>
            <w:r>
              <w:rPr>
                <w:rFonts w:ascii="Arial" w:cs="Arial" w:eastAsia="Arial" w:hAnsi="Arial"/>
                <w:sz w:val="18"/>
                <w:szCs w:val="18"/>
                <w:color w:val="auto"/>
              </w:rPr>
              <w:t>10.63[XX]</w:t>
            </w:r>
          </w:p>
        </w:tc>
        <w:tc>
          <w:tcPr>
            <w:tcW w:w="8540" w:type="dxa"/>
            <w:vAlign w:val="bottom"/>
            <w:gridSpan w:val="2"/>
          </w:tcPr>
          <w:p>
            <w:pPr>
              <w:ind w:left="520"/>
              <w:spacing w:after="0"/>
              <w:rPr>
                <w:sz w:val="20"/>
                <w:szCs w:val="20"/>
                <w:color w:val="auto"/>
              </w:rPr>
            </w:pPr>
            <w:r>
              <w:rPr>
                <w:rFonts w:ascii="Arial" w:cs="Arial" w:eastAsia="Arial" w:hAnsi="Arial"/>
                <w:sz w:val="18"/>
                <w:szCs w:val="18"/>
                <w:color w:val="auto"/>
                <w:w w:val="92"/>
              </w:rPr>
              <w:t>Securities Purchase Agreement dated as of May 7, 2003 between StemCells, Inc. and The Riverview Group,</w:t>
            </w:r>
          </w:p>
        </w:tc>
      </w:tr>
      <w:tr>
        <w:trPr>
          <w:trHeight w:val="222"/>
        </w:trPr>
        <w:tc>
          <w:tcPr>
            <w:tcW w:w="940" w:type="dxa"/>
            <w:vAlign w:val="bottom"/>
          </w:tcPr>
          <w:p>
            <w:pPr>
              <w:spacing w:after="0"/>
              <w:rPr>
                <w:sz w:val="19"/>
                <w:szCs w:val="19"/>
                <w:color w:val="auto"/>
              </w:rPr>
            </w:pPr>
          </w:p>
        </w:tc>
        <w:tc>
          <w:tcPr>
            <w:tcW w:w="8540" w:type="dxa"/>
            <w:vAlign w:val="bottom"/>
            <w:gridSpan w:val="2"/>
          </w:tcPr>
          <w:p>
            <w:pPr>
              <w:ind w:left="520"/>
              <w:spacing w:after="0"/>
              <w:rPr>
                <w:sz w:val="20"/>
                <w:szCs w:val="20"/>
                <w:color w:val="auto"/>
              </w:rPr>
            </w:pPr>
            <w:r>
              <w:rPr>
                <w:rFonts w:ascii="Arial" w:cs="Arial" w:eastAsia="Arial" w:hAnsi="Arial"/>
                <w:sz w:val="18"/>
                <w:szCs w:val="18"/>
                <w:color w:val="auto"/>
              </w:rPr>
              <w:t>LLC.</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21.1X</w:t>
            </w:r>
          </w:p>
        </w:tc>
        <w:tc>
          <w:tcPr>
            <w:tcW w:w="8540" w:type="dxa"/>
            <w:vAlign w:val="bottom"/>
            <w:gridSpan w:val="2"/>
          </w:tcPr>
          <w:p>
            <w:pPr>
              <w:ind w:left="52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8540" w:type="dxa"/>
            <w:vAlign w:val="bottom"/>
            <w:gridSpan w:val="2"/>
          </w:tcPr>
          <w:p>
            <w:pPr>
              <w:ind w:left="520"/>
              <w:spacing w:after="0"/>
              <w:rPr>
                <w:sz w:val="20"/>
                <w:szCs w:val="20"/>
                <w:color w:val="auto"/>
              </w:rPr>
            </w:pPr>
            <w:r>
              <w:rPr>
                <w:rFonts w:ascii="Arial" w:cs="Arial" w:eastAsia="Arial" w:hAnsi="Arial"/>
                <w:sz w:val="18"/>
                <w:szCs w:val="18"/>
                <w:color w:val="auto"/>
              </w:rPr>
              <w:t>Consent of Ernst &amp; Young LLP, Independent Auditors.</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23.2[XXX]</w:t>
            </w:r>
          </w:p>
        </w:tc>
        <w:tc>
          <w:tcPr>
            <w:tcW w:w="8540" w:type="dxa"/>
            <w:vAlign w:val="bottom"/>
            <w:gridSpan w:val="2"/>
          </w:tcPr>
          <w:p>
            <w:pPr>
              <w:ind w:left="520"/>
              <w:spacing w:after="0"/>
              <w:rPr>
                <w:sz w:val="20"/>
                <w:szCs w:val="20"/>
                <w:color w:val="auto"/>
              </w:rPr>
            </w:pPr>
            <w:r>
              <w:rPr>
                <w:rFonts w:ascii="Arial" w:cs="Arial" w:eastAsia="Arial" w:hAnsi="Arial"/>
                <w:sz w:val="18"/>
                <w:szCs w:val="18"/>
                <w:color w:val="auto"/>
              </w:rPr>
              <w:t>Consent of Ropes &amp; Gray LLP (included in the form of opinion filed as Exhibit 5.1).</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24.1[XXX]</w:t>
            </w:r>
          </w:p>
        </w:tc>
        <w:tc>
          <w:tcPr>
            <w:tcW w:w="8540" w:type="dxa"/>
            <w:vAlign w:val="bottom"/>
            <w:gridSpan w:val="2"/>
          </w:tcPr>
          <w:p>
            <w:pPr>
              <w:ind w:left="520"/>
              <w:spacing w:after="0"/>
              <w:rPr>
                <w:sz w:val="20"/>
                <w:szCs w:val="20"/>
                <w:color w:val="auto"/>
              </w:rPr>
            </w:pPr>
            <w:r>
              <w:rPr>
                <w:rFonts w:ascii="Arial" w:cs="Arial" w:eastAsia="Arial" w:hAnsi="Arial"/>
                <w:sz w:val="18"/>
                <w:szCs w:val="18"/>
                <w:color w:val="auto"/>
              </w:rPr>
              <w:t>Power of Attorney pursuant to which amendments to this registration statement may be filed.</w:t>
            </w:r>
          </w:p>
        </w:tc>
      </w:tr>
      <w:tr>
        <w:trPr>
          <w:trHeight w:val="426"/>
        </w:trPr>
        <w:tc>
          <w:tcPr>
            <w:tcW w:w="940" w:type="dxa"/>
            <w:vAlign w:val="bottom"/>
          </w:tcPr>
          <w:p>
            <w:pPr>
              <w:spacing w:after="0"/>
              <w:rPr>
                <w:sz w:val="20"/>
                <w:szCs w:val="20"/>
                <w:color w:val="auto"/>
              </w:rPr>
            </w:pPr>
            <w:r>
              <w:rPr>
                <w:rFonts w:ascii="Arial" w:cs="Arial" w:eastAsia="Arial" w:hAnsi="Arial"/>
                <w:sz w:val="18"/>
                <w:szCs w:val="18"/>
                <w:color w:val="auto"/>
              </w:rPr>
              <w:t>99.1XX</w:t>
            </w:r>
          </w:p>
        </w:tc>
        <w:tc>
          <w:tcPr>
            <w:tcW w:w="8540" w:type="dxa"/>
            <w:vAlign w:val="bottom"/>
            <w:gridSpan w:val="2"/>
          </w:tcPr>
          <w:p>
            <w:pPr>
              <w:ind w:left="520"/>
              <w:spacing w:after="0"/>
              <w:rPr>
                <w:sz w:val="20"/>
                <w:szCs w:val="20"/>
                <w:color w:val="auto"/>
              </w:rPr>
            </w:pPr>
            <w:r>
              <w:rPr>
                <w:rFonts w:ascii="Arial" w:cs="Arial" w:eastAsia="Arial" w:hAnsi="Arial"/>
                <w:sz w:val="18"/>
                <w:szCs w:val="18"/>
                <w:color w:val="auto"/>
                <w:w w:val="89"/>
              </w:rPr>
              <w:t>Side Letter, dated March 17, 2001, between the Company and Oleh S. Hnatiuk regarding NeuroSpheres License</w:t>
            </w:r>
          </w:p>
        </w:tc>
      </w:tr>
      <w:tr>
        <w:trPr>
          <w:trHeight w:val="222"/>
        </w:trPr>
        <w:tc>
          <w:tcPr>
            <w:tcW w:w="940" w:type="dxa"/>
            <w:vAlign w:val="bottom"/>
          </w:tcPr>
          <w:p>
            <w:pPr>
              <w:spacing w:after="0"/>
              <w:rPr>
                <w:sz w:val="19"/>
                <w:szCs w:val="19"/>
                <w:color w:val="auto"/>
              </w:rPr>
            </w:pPr>
          </w:p>
        </w:tc>
        <w:tc>
          <w:tcPr>
            <w:tcW w:w="8540" w:type="dxa"/>
            <w:vAlign w:val="bottom"/>
            <w:gridSpan w:val="2"/>
          </w:tcPr>
          <w:p>
            <w:pPr>
              <w:ind w:left="520"/>
              <w:spacing w:after="0"/>
              <w:rPr>
                <w:sz w:val="20"/>
                <w:szCs w:val="20"/>
                <w:color w:val="auto"/>
              </w:rPr>
            </w:pPr>
            <w:r>
              <w:rPr>
                <w:rFonts w:ascii="Arial" w:cs="Arial" w:eastAsia="Arial" w:hAnsi="Arial"/>
                <w:sz w:val="18"/>
                <w:szCs w:val="18"/>
                <w:color w:val="auto"/>
              </w:rPr>
              <w:t>Agreement, dated October 30, 2000.</w:t>
            </w:r>
          </w:p>
        </w:tc>
      </w:tr>
    </w:tbl>
    <w:p>
      <w:pPr>
        <w:spacing w:after="0" w:line="237" w:lineRule="exact"/>
        <w:rPr>
          <w:sz w:val="20"/>
          <w:szCs w:val="20"/>
          <w:color w:val="auto"/>
        </w:rPr>
      </w:pPr>
    </w:p>
    <w:p>
      <w:pPr>
        <w:ind w:left="1620" w:right="360" w:hanging="1612"/>
        <w:spacing w:after="0" w:line="268" w:lineRule="auto"/>
        <w:tabs>
          <w:tab w:leader="none" w:pos="14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333-85494.</w:t>
      </w:r>
    </w:p>
    <w:p>
      <w:pPr>
        <w:spacing w:after="0" w:line="186" w:lineRule="exact"/>
        <w:rPr>
          <w:sz w:val="20"/>
          <w:szCs w:val="20"/>
          <w:color w:val="auto"/>
        </w:rPr>
      </w:pPr>
    </w:p>
    <w:p>
      <w:pPr>
        <w:ind w:left="1620" w:right="360" w:hanging="1612"/>
        <w:spacing w:after="0" w:line="268" w:lineRule="auto"/>
        <w:tabs>
          <w:tab w:leader="none" w:pos="14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S-3, File No. 333-97272.</w:t>
      </w:r>
    </w:p>
    <w:p>
      <w:pPr>
        <w:spacing w:after="0" w:line="186" w:lineRule="exact"/>
        <w:rPr>
          <w:sz w:val="20"/>
          <w:szCs w:val="20"/>
          <w:color w:val="auto"/>
        </w:rPr>
      </w:pPr>
    </w:p>
    <w:p>
      <w:pPr>
        <w:ind w:left="1620" w:right="360" w:hanging="1612"/>
        <w:spacing w:after="0" w:line="268" w:lineRule="auto"/>
        <w:tabs>
          <w:tab w:leader="none" w:pos="14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333-91228.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0580" w:type="dxa"/>
            <w:vAlign w:val="bottom"/>
          </w:tcPr>
          <w:p>
            <w:pPr>
              <w:ind w:left="660"/>
              <w:spacing w:after="0"/>
              <w:rPr>
                <w:sz w:val="20"/>
                <w:szCs w:val="20"/>
                <w:color w:val="auto"/>
              </w:rPr>
            </w:pPr>
            <w:r>
              <w:rPr>
                <w:rFonts w:ascii="Arial" w:cs="Arial" w:eastAsia="Arial" w:hAnsi="Arial"/>
                <w:sz w:val="18"/>
                <w:szCs w:val="18"/>
                <w:color w:val="auto"/>
                <w:w w:val="90"/>
              </w:rPr>
              <w:t>Previously filed with the Commission as Exhibits to, and incorporated herein by reference to, Registration Statement on Form S-1, File No.</w:t>
            </w:r>
          </w:p>
        </w:tc>
      </w:tr>
      <w:tr>
        <w:trPr>
          <w:trHeight w:val="222"/>
        </w:trPr>
        <w:tc>
          <w:tcPr>
            <w:tcW w:w="840" w:type="dxa"/>
            <w:vAlign w:val="bottom"/>
          </w:tcPr>
          <w:p>
            <w:pPr>
              <w:spacing w:after="0"/>
              <w:rPr>
                <w:sz w:val="19"/>
                <w:szCs w:val="19"/>
                <w:color w:val="auto"/>
              </w:rPr>
            </w:pPr>
          </w:p>
        </w:tc>
        <w:tc>
          <w:tcPr>
            <w:tcW w:w="10580" w:type="dxa"/>
            <w:vAlign w:val="bottom"/>
          </w:tcPr>
          <w:p>
            <w:pPr>
              <w:ind w:left="780"/>
              <w:spacing w:after="0"/>
              <w:rPr>
                <w:sz w:val="20"/>
                <w:szCs w:val="20"/>
                <w:color w:val="auto"/>
              </w:rPr>
            </w:pPr>
            <w:r>
              <w:rPr>
                <w:rFonts w:ascii="Arial" w:cs="Arial" w:eastAsia="Arial" w:hAnsi="Arial"/>
                <w:sz w:val="18"/>
                <w:szCs w:val="18"/>
                <w:color w:val="auto"/>
              </w:rPr>
              <w:t>333-45739.</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0580" w:type="dxa"/>
            <w:vAlign w:val="bottom"/>
          </w:tcPr>
          <w:p>
            <w:pPr>
              <w:ind w:left="660"/>
              <w:spacing w:after="0"/>
              <w:rPr>
                <w:sz w:val="20"/>
                <w:szCs w:val="20"/>
                <w:color w:val="auto"/>
              </w:rPr>
            </w:pPr>
            <w:r>
              <w:rPr>
                <w:rFonts w:ascii="Arial" w:cs="Arial" w:eastAsia="Arial" w:hAnsi="Arial"/>
                <w:sz w:val="18"/>
                <w:szCs w:val="18"/>
                <w:color w:val="auto"/>
                <w:w w:val="90"/>
              </w:rPr>
              <w:t>Previously filed with the Commission as Exhibits to, and incorporated herein by reference to, the Registrant’s Annual Report on Form 10-K</w:t>
            </w:r>
          </w:p>
        </w:tc>
      </w:tr>
      <w:tr>
        <w:trPr>
          <w:trHeight w:val="222"/>
        </w:trPr>
        <w:tc>
          <w:tcPr>
            <w:tcW w:w="840" w:type="dxa"/>
            <w:vAlign w:val="bottom"/>
          </w:tcPr>
          <w:p>
            <w:pPr>
              <w:spacing w:after="0"/>
              <w:rPr>
                <w:sz w:val="19"/>
                <w:szCs w:val="19"/>
                <w:color w:val="auto"/>
              </w:rPr>
            </w:pPr>
          </w:p>
        </w:tc>
        <w:tc>
          <w:tcPr>
            <w:tcW w:w="10580" w:type="dxa"/>
            <w:vAlign w:val="bottom"/>
          </w:tcPr>
          <w:p>
            <w:pPr>
              <w:ind w:left="780"/>
              <w:spacing w:after="0"/>
              <w:rPr>
                <w:sz w:val="20"/>
                <w:szCs w:val="20"/>
                <w:color w:val="auto"/>
              </w:rPr>
            </w:pPr>
            <w:r>
              <w:rPr>
                <w:rFonts w:ascii="Arial" w:cs="Arial" w:eastAsia="Arial" w:hAnsi="Arial"/>
                <w:sz w:val="18"/>
                <w:szCs w:val="18"/>
                <w:color w:val="auto"/>
              </w:rPr>
              <w:t>for fiscal year ended December 31, 1992 and filed March 30, 1993.</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0580" w:type="dxa"/>
            <w:vAlign w:val="bottom"/>
          </w:tcPr>
          <w:p>
            <w:pPr>
              <w:ind w:left="660"/>
              <w:spacing w:after="0"/>
              <w:rPr>
                <w:sz w:val="20"/>
                <w:szCs w:val="20"/>
                <w:color w:val="auto"/>
              </w:rPr>
            </w:pPr>
            <w:r>
              <w:rPr>
                <w:rFonts w:ascii="Arial" w:cs="Arial" w:eastAsia="Arial" w:hAnsi="Arial"/>
                <w:sz w:val="18"/>
                <w:szCs w:val="18"/>
                <w:color w:val="auto"/>
                <w:w w:val="95"/>
              </w:rPr>
              <w:t>Confidential treatment requested as to certain portions. The term “confidential treatment” and the mark “**” as used throughout the</w:t>
            </w:r>
          </w:p>
        </w:tc>
      </w:tr>
      <w:tr>
        <w:trPr>
          <w:trHeight w:val="222"/>
        </w:trPr>
        <w:tc>
          <w:tcPr>
            <w:tcW w:w="840" w:type="dxa"/>
            <w:vAlign w:val="bottom"/>
          </w:tcPr>
          <w:p>
            <w:pPr>
              <w:spacing w:after="0"/>
              <w:rPr>
                <w:sz w:val="19"/>
                <w:szCs w:val="19"/>
                <w:color w:val="auto"/>
              </w:rPr>
            </w:pPr>
          </w:p>
        </w:tc>
        <w:tc>
          <w:tcPr>
            <w:tcW w:w="10580" w:type="dxa"/>
            <w:vAlign w:val="bottom"/>
          </w:tcPr>
          <w:p>
            <w:pPr>
              <w:ind w:left="780"/>
              <w:spacing w:after="0"/>
              <w:rPr>
                <w:sz w:val="20"/>
                <w:szCs w:val="20"/>
                <w:color w:val="auto"/>
              </w:rPr>
            </w:pPr>
            <w:r>
              <w:rPr>
                <w:rFonts w:ascii="Arial" w:cs="Arial" w:eastAsia="Arial" w:hAnsi="Arial"/>
                <w:sz w:val="18"/>
                <w:szCs w:val="18"/>
                <w:color w:val="auto"/>
              </w:rPr>
              <w:t>indicated Exhibits mean that material has been omitted and separately filed with the Commission.</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0580" w:type="dxa"/>
            <w:vAlign w:val="bottom"/>
          </w:tcPr>
          <w:p>
            <w:pPr>
              <w:ind w:left="660"/>
              <w:spacing w:after="0"/>
              <w:rPr>
                <w:sz w:val="20"/>
                <w:szCs w:val="20"/>
                <w:color w:val="auto"/>
              </w:rPr>
            </w:pPr>
            <w:r>
              <w:rPr>
                <w:rFonts w:ascii="Arial" w:cs="Arial" w:eastAsia="Arial" w:hAnsi="Arial"/>
                <w:sz w:val="18"/>
                <w:szCs w:val="18"/>
                <w:color w:val="auto"/>
                <w:w w:val="90"/>
              </w:rPr>
              <w:t>Previously filed with the Commission as Exhibits to, and incorporated herein by reference to, the Registrant’s Quarterly Report on Form l0-</w:t>
            </w:r>
          </w:p>
        </w:tc>
      </w:tr>
      <w:tr>
        <w:trPr>
          <w:trHeight w:val="222"/>
        </w:trPr>
        <w:tc>
          <w:tcPr>
            <w:tcW w:w="840" w:type="dxa"/>
            <w:vAlign w:val="bottom"/>
          </w:tcPr>
          <w:p>
            <w:pPr>
              <w:spacing w:after="0"/>
              <w:rPr>
                <w:sz w:val="19"/>
                <w:szCs w:val="19"/>
                <w:color w:val="auto"/>
              </w:rPr>
            </w:pPr>
          </w:p>
        </w:tc>
        <w:tc>
          <w:tcPr>
            <w:tcW w:w="10580" w:type="dxa"/>
            <w:vAlign w:val="bottom"/>
          </w:tcPr>
          <w:p>
            <w:pPr>
              <w:ind w:left="780"/>
              <w:spacing w:after="0"/>
              <w:rPr>
                <w:sz w:val="20"/>
                <w:szCs w:val="20"/>
                <w:color w:val="auto"/>
              </w:rPr>
            </w:pPr>
            <w:r>
              <w:rPr>
                <w:rFonts w:ascii="Arial" w:cs="Arial" w:eastAsia="Arial" w:hAnsi="Arial"/>
                <w:sz w:val="18"/>
                <w:szCs w:val="18"/>
                <w:color w:val="auto"/>
              </w:rPr>
              <w:t>Q for the quarter ended March 31, 1994 and filed on May 14, 1994.</w:t>
            </w:r>
          </w:p>
        </w:tc>
      </w:tr>
      <w:tr>
        <w:trPr>
          <w:trHeight w:val="432"/>
        </w:trPr>
        <w:tc>
          <w:tcPr>
            <w:tcW w:w="840" w:type="dxa"/>
            <w:vAlign w:val="bottom"/>
          </w:tcPr>
          <w:p>
            <w:pPr>
              <w:spacing w:after="0"/>
              <w:rPr>
                <w:sz w:val="24"/>
                <w:szCs w:val="24"/>
                <w:color w:val="auto"/>
              </w:rPr>
            </w:pPr>
          </w:p>
        </w:tc>
        <w:tc>
          <w:tcPr>
            <w:tcW w:w="10580" w:type="dxa"/>
            <w:vAlign w:val="bottom"/>
          </w:tcPr>
          <w:p>
            <w:pPr>
              <w:ind w:left="10320"/>
              <w:spacing w:after="0"/>
              <w:rPr>
                <w:sz w:val="20"/>
                <w:szCs w:val="20"/>
                <w:color w:val="auto"/>
              </w:rPr>
            </w:pPr>
            <w:r>
              <w:rPr>
                <w:rFonts w:ascii="Arial" w:cs="Arial" w:eastAsia="Arial" w:hAnsi="Arial"/>
                <w:sz w:val="18"/>
                <w:szCs w:val="18"/>
                <w:color w:val="auto"/>
                <w:w w:val="92"/>
              </w:rPr>
              <w:t>II-8</w:t>
            </w:r>
          </w:p>
        </w:tc>
      </w:tr>
      <w:tr>
        <w:trPr>
          <w:trHeight w:val="228"/>
        </w:trPr>
        <w:tc>
          <w:tcPr>
            <w:tcW w:w="840" w:type="dxa"/>
            <w:vAlign w:val="bottom"/>
            <w:tcBorders>
              <w:bottom w:val="single" w:sz="8" w:color="808080"/>
            </w:tcBorders>
          </w:tcPr>
          <w:p>
            <w:pPr>
              <w:spacing w:after="0"/>
              <w:rPr>
                <w:sz w:val="19"/>
                <w:szCs w:val="19"/>
                <w:color w:val="auto"/>
              </w:rPr>
            </w:pPr>
          </w:p>
        </w:tc>
        <w:tc>
          <w:tcPr>
            <w:tcW w:w="10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ind w:right="100" w:hanging="134"/>
        <w:spacing w:after="0" w:line="268" w:lineRule="auto"/>
        <w:rPr>
          <w:sz w:val="20"/>
          <w:szCs w:val="20"/>
          <w:color w:val="auto"/>
        </w:rPr>
      </w:pPr>
      <w:r>
        <w:rPr>
          <w:rFonts w:ascii="Arial" w:cs="Arial" w:eastAsia="Arial" w:hAnsi="Arial"/>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186"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80" w:hanging="134"/>
        <w:spacing w:after="0" w:line="268" w:lineRule="auto"/>
        <w:rPr>
          <w:sz w:val="20"/>
          <w:szCs w:val="20"/>
          <w:color w:val="auto"/>
        </w:rPr>
      </w:pPr>
      <w:r>
        <w:rPr>
          <w:rFonts w:ascii="Arial" w:cs="Arial" w:eastAsia="Arial" w:hAnsi="Arial"/>
          <w:sz w:val="18"/>
          <w:szCs w:val="18"/>
          <w:color w:val="auto"/>
        </w:rPr>
        <w:t>Previously filed with the Commission as an Exhibit to and incorporated by reference to, the Registrant’s Quarterly Report on Form 10-Q for the quarter ended March 31, 1996.</w:t>
      </w:r>
    </w:p>
    <w:p>
      <w:pPr>
        <w:spacing w:after="0" w:line="186"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80" w:hanging="134"/>
        <w:spacing w:after="0" w:line="268" w:lineRule="auto"/>
        <w:rPr>
          <w:sz w:val="20"/>
          <w:szCs w:val="20"/>
          <w:color w:val="auto"/>
        </w:rPr>
      </w:pPr>
      <w:r>
        <w:rPr>
          <w:rFonts w:ascii="Arial" w:cs="Arial" w:eastAsia="Arial" w:hAnsi="Arial"/>
          <w:sz w:val="18"/>
          <w:szCs w:val="18"/>
          <w:color w:val="auto"/>
        </w:rPr>
        <w:t>Previously filed with the Commission as an Exhibit to and incorporated by reference to, the Registrant’s Quarterly Report on Form 10-Q for the quarter ended September 30, 1996.</w:t>
      </w:r>
    </w:p>
    <w:p>
      <w:pPr>
        <w:spacing w:after="0" w:line="186"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80" w:hanging="134"/>
        <w:spacing w:after="0" w:line="268" w:lineRule="auto"/>
        <w:rPr>
          <w:sz w:val="20"/>
          <w:szCs w:val="20"/>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186"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ind w:left="1620" w:right="80" w:hanging="1612"/>
        <w:spacing w:after="0" w:line="268" w:lineRule="auto"/>
        <w:tabs>
          <w:tab w:leader="none" w:pos="14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1995.</w:t>
      </w:r>
    </w:p>
    <w:p>
      <w:pPr>
        <w:spacing w:after="0" w:line="186" w:lineRule="exact"/>
        <w:rPr>
          <w:sz w:val="20"/>
          <w:szCs w:val="20"/>
          <w:color w:val="auto"/>
        </w:rPr>
      </w:pPr>
    </w:p>
    <w:p>
      <w:pPr>
        <w:ind w:left="1620" w:right="60" w:hanging="1612"/>
        <w:spacing w:after="0" w:line="268" w:lineRule="auto"/>
        <w:tabs>
          <w:tab w:leader="none" w:pos="14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185" w:lineRule="exact"/>
        <w:rPr>
          <w:rFonts w:ascii="Arial" w:cs="Arial" w:eastAsia="Arial" w:hAnsi="Arial"/>
          <w:sz w:val="18"/>
          <w:szCs w:val="18"/>
          <w:color w:val="auto"/>
        </w:rPr>
      </w:pPr>
    </w:p>
    <w:p>
      <w:pPr>
        <w:ind w:left="1620" w:right="360" w:hanging="1612"/>
        <w:spacing w:after="0" w:line="268" w:lineRule="auto"/>
        <w:tabs>
          <w:tab w:leader="none" w:pos="14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S-8, File No. 333-37313.</w:t>
      </w:r>
    </w:p>
    <w:p>
      <w:pPr>
        <w:spacing w:after="0" w:line="186" w:lineRule="exact"/>
        <w:rPr>
          <w:sz w:val="20"/>
          <w:szCs w:val="20"/>
          <w:color w:val="auto"/>
        </w:rPr>
      </w:pPr>
    </w:p>
    <w:p>
      <w:pPr>
        <w:ind w:left="1620" w:right="60" w:hanging="1612"/>
        <w:spacing w:after="0" w:line="268" w:lineRule="auto"/>
        <w:tabs>
          <w:tab w:leader="none" w:pos="14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186" w:lineRule="exact"/>
        <w:rPr>
          <w:sz w:val="20"/>
          <w:szCs w:val="20"/>
          <w:color w:val="auto"/>
        </w:rPr>
      </w:pPr>
    </w:p>
    <w:p>
      <w:pPr>
        <w:ind w:left="1620" w:right="120" w:hanging="1612"/>
        <w:spacing w:after="0" w:line="268" w:lineRule="auto"/>
        <w:tabs>
          <w:tab w:leader="none" w:pos="14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August 3, 1998.</w:t>
      </w:r>
    </w:p>
    <w:p>
      <w:pPr>
        <w:sectPr>
          <w:pgSz w:w="11900" w:h="16838" w:orient="portrait"/>
          <w:cols w:equalWidth="0" w:num="1">
            <w:col w:w="11420"/>
          </w:cols>
          <w:pgMar w:left="240" w:top="419" w:right="23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60" w:hanging="134"/>
        <w:spacing w:after="0" w:line="268" w:lineRule="auto"/>
        <w:rPr>
          <w:sz w:val="20"/>
          <w:szCs w:val="20"/>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186"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ind w:left="1620" w:right="120" w:hanging="1612"/>
        <w:spacing w:after="0" w:line="268" w:lineRule="auto"/>
        <w:tabs>
          <w:tab w:leader="none" w:pos="14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on January 14, 2000.</w:t>
      </w:r>
    </w:p>
    <w:p>
      <w:pPr>
        <w:spacing w:after="0" w:line="186" w:lineRule="exact"/>
        <w:rPr>
          <w:sz w:val="20"/>
          <w:szCs w:val="20"/>
          <w:color w:val="auto"/>
        </w:rPr>
      </w:pPr>
    </w:p>
    <w:p>
      <w:pPr>
        <w:ind w:left="1620" w:right="200" w:hanging="1612"/>
        <w:spacing w:after="0" w:line="268" w:lineRule="auto"/>
        <w:tabs>
          <w:tab w:leader="none" w:pos="14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definitive proxy statement filed May 1, 2001.</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1620" w:right="60" w:hanging="1612"/>
        <w:spacing w:after="0" w:line="268" w:lineRule="auto"/>
        <w:tabs>
          <w:tab w:leader="none" w:pos="14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1999 and filed on April 17, 2000.</w:t>
      </w:r>
    </w:p>
    <w:p>
      <w:pPr>
        <w:sectPr>
          <w:pgSz w:w="11900" w:h="16838" w:orient="portrait"/>
          <w:cols w:equalWidth="0" w:num="1">
            <w:col w:w="11420"/>
          </w:cols>
          <w:pgMar w:left="240" w:top="419" w:right="23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220" w:hanging="134"/>
        <w:spacing w:after="0" w:line="268" w:lineRule="auto"/>
        <w:rPr>
          <w:sz w:val="20"/>
          <w:szCs w:val="20"/>
          <w:color w:val="auto"/>
        </w:rPr>
      </w:pPr>
      <w:r>
        <w:rPr>
          <w:rFonts w:ascii="Arial" w:cs="Arial" w:eastAsia="Arial" w:hAnsi="Arial"/>
          <w:sz w:val="18"/>
          <w:szCs w:val="18"/>
          <w:color w:val="auto"/>
        </w:rPr>
        <w:t>Previously filed with the Commission as an Exhibit to, and incorporated herein by reference to, the Registrant’s Registration Statement on Form S-1, File No. 333-45496.</w:t>
      </w:r>
    </w:p>
    <w:p>
      <w:pPr>
        <w:spacing w:after="0" w:line="186"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ind w:left="1620" w:right="80" w:hanging="1612"/>
        <w:spacing w:after="0" w:line="268" w:lineRule="auto"/>
        <w:tabs>
          <w:tab w:leader="none" w:pos="14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186" w:lineRule="exact"/>
        <w:rPr>
          <w:sz w:val="20"/>
          <w:szCs w:val="20"/>
          <w:color w:val="auto"/>
        </w:rPr>
      </w:pPr>
    </w:p>
    <w:p>
      <w:pPr>
        <w:ind w:left="1620" w:right="80" w:hanging="1612"/>
        <w:spacing w:after="0" w:line="268" w:lineRule="auto"/>
        <w:tabs>
          <w:tab w:leader="none" w:pos="14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filed on Form S-1 as amended to Form S-3, File No. 333-61726.</w:t>
      </w:r>
    </w:p>
    <w:p>
      <w:pPr>
        <w:spacing w:after="0" w:line="186" w:lineRule="exact"/>
        <w:rPr>
          <w:sz w:val="20"/>
          <w:szCs w:val="20"/>
          <w:color w:val="auto"/>
        </w:rPr>
      </w:pPr>
    </w:p>
    <w:p>
      <w:pPr>
        <w:ind w:left="1620" w:right="120" w:hanging="1612"/>
        <w:spacing w:after="0" w:line="268" w:lineRule="auto"/>
        <w:tabs>
          <w:tab w:leader="none" w:pos="14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December 7, 2001.</w:t>
      </w:r>
    </w:p>
    <w:p>
      <w:pPr>
        <w:spacing w:after="0" w:line="186" w:lineRule="exact"/>
        <w:rPr>
          <w:sz w:val="20"/>
          <w:szCs w:val="20"/>
          <w:color w:val="auto"/>
        </w:rPr>
      </w:pPr>
    </w:p>
    <w:p>
      <w:pPr>
        <w:ind w:left="1620" w:right="80" w:hanging="1612"/>
        <w:spacing w:after="0" w:line="268" w:lineRule="auto"/>
        <w:tabs>
          <w:tab w:leader="none" w:pos="14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filed on Form S-3, File No. 333-75806.</w:t>
      </w:r>
    </w:p>
    <w:p>
      <w:pPr>
        <w:spacing w:after="0" w:line="186" w:lineRule="exact"/>
        <w:rPr>
          <w:sz w:val="20"/>
          <w:szCs w:val="20"/>
          <w:color w:val="auto"/>
        </w:rPr>
      </w:pPr>
    </w:p>
    <w:p>
      <w:pPr>
        <w:ind w:left="1620" w:right="120" w:hanging="1612"/>
        <w:spacing w:after="0" w:line="268" w:lineRule="auto"/>
        <w:tabs>
          <w:tab w:leader="none" w:pos="14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April 15, 2003.</w:t>
      </w:r>
    </w:p>
    <w:p>
      <w:pPr>
        <w:spacing w:after="0" w:line="186" w:lineRule="exact"/>
        <w:rPr>
          <w:sz w:val="20"/>
          <w:szCs w:val="20"/>
          <w:color w:val="auto"/>
        </w:rPr>
      </w:pPr>
    </w:p>
    <w:p>
      <w:pPr>
        <w:ind w:left="1620" w:right="120" w:hanging="1612"/>
        <w:spacing w:after="0" w:line="268" w:lineRule="auto"/>
        <w:tabs>
          <w:tab w:leader="none" w:pos="14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May 13, 2003.</w:t>
      </w:r>
    </w:p>
    <w:p>
      <w:pPr>
        <w:spacing w:after="0" w:line="186" w:lineRule="exact"/>
        <w:rPr>
          <w:sz w:val="20"/>
          <w:szCs w:val="20"/>
          <w:color w:val="auto"/>
        </w:rPr>
      </w:pPr>
    </w:p>
    <w:p>
      <w:pPr>
        <w:ind w:left="1620" w:right="120" w:hanging="1612"/>
        <w:spacing w:after="0" w:line="268" w:lineRule="auto"/>
        <w:tabs>
          <w:tab w:leader="none" w:pos="14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May 15, 2003.</w:t>
      </w:r>
    </w:p>
    <w:p>
      <w:pPr>
        <w:spacing w:after="0" w:line="186" w:lineRule="exact"/>
        <w:rPr>
          <w:sz w:val="20"/>
          <w:szCs w:val="20"/>
          <w:color w:val="auto"/>
        </w:rPr>
      </w:pPr>
    </w:p>
    <w:p>
      <w:pPr>
        <w:ind w:left="1620" w:right="80" w:hanging="1612"/>
        <w:spacing w:after="0" w:line="268" w:lineRule="auto"/>
        <w:tabs>
          <w:tab w:leader="none" w:pos="14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filed on Form S-3, File No. 333-105664.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ITEM 17. UNDERTAKINGS.</w:t>
      </w:r>
    </w:p>
    <w:p>
      <w:pPr>
        <w:spacing w:after="0" w:line="225" w:lineRule="exact"/>
        <w:rPr>
          <w:sz w:val="20"/>
          <w:szCs w:val="20"/>
          <w:color w:val="auto"/>
        </w:rPr>
      </w:pPr>
    </w:p>
    <w:p>
      <w:pPr>
        <w:ind w:right="100" w:firstLine="228"/>
        <w:spacing w:after="0" w:line="289" w:lineRule="auto"/>
        <w:tabs>
          <w:tab w:leader="none" w:pos="634"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rFonts w:ascii="Arial" w:cs="Arial" w:eastAsia="Arial" w:hAnsi="Arial"/>
          <w:sz w:val="16"/>
          <w:szCs w:val="16"/>
          <w:color w:val="auto"/>
        </w:rPr>
      </w:pPr>
    </w:p>
    <w:p>
      <w:pPr>
        <w:ind w:left="640" w:hanging="41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hanging="522"/>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40" w:hanging="576"/>
        <w:spacing w:after="0"/>
        <w:tabs>
          <w:tab w:leader="none" w:pos="13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340" w:right="500" w:hanging="576"/>
        <w:spacing w:after="0" w:line="290" w:lineRule="auto"/>
        <w:tabs>
          <w:tab w:leader="none" w:pos="13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2" w:lineRule="exact"/>
        <w:rPr>
          <w:rFonts w:ascii="Arial" w:cs="Arial" w:eastAsia="Arial" w:hAnsi="Arial"/>
          <w:sz w:val="16"/>
          <w:szCs w:val="16"/>
          <w:color w:val="auto"/>
        </w:rPr>
      </w:pPr>
    </w:p>
    <w:p>
      <w:pPr>
        <w:ind w:left="1340" w:right="580" w:hanging="576"/>
        <w:spacing w:after="0" w:line="268" w:lineRule="auto"/>
        <w:tabs>
          <w:tab w:leader="none" w:pos="13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spacing w:after="0" w:line="202" w:lineRule="exact"/>
        <w:rPr>
          <w:sz w:val="20"/>
          <w:szCs w:val="20"/>
          <w:color w:val="auto"/>
        </w:rPr>
      </w:pPr>
    </w:p>
    <w:p>
      <w:pPr>
        <w:ind w:left="780" w:right="620"/>
        <w:spacing w:after="0" w:line="306" w:lineRule="auto"/>
        <w:rPr>
          <w:sz w:val="20"/>
          <w:szCs w:val="20"/>
          <w:color w:val="auto"/>
        </w:rPr>
      </w:pPr>
      <w:r>
        <w:rPr>
          <w:rFonts w:ascii="Arial" w:cs="Arial" w:eastAsia="Arial" w:hAnsi="Arial"/>
          <w:sz w:val="16"/>
          <w:szCs w:val="16"/>
          <w:color w:val="auto"/>
        </w:rPr>
        <w:t>provided, however, that paragraphs (1)(i) and (1)(ii) do not apply if the registration statement is on Form S-3 or Form S-8, and the information required to be included in a post-effective amendment by those paragraphs is contained in periodic reports filed by the registrant pursuant to Section 13 or 15(d) of the Securities Exchange Act 1934 that are incorporated by reference in the registrant statement.</w:t>
      </w:r>
    </w:p>
    <w:p>
      <w:pPr>
        <w:spacing w:after="0" w:line="161" w:lineRule="exact"/>
        <w:rPr>
          <w:sz w:val="20"/>
          <w:szCs w:val="20"/>
          <w:color w:val="auto"/>
        </w:rPr>
      </w:pPr>
    </w:p>
    <w:p>
      <w:pPr>
        <w:ind w:left="860" w:right="460" w:hanging="508"/>
        <w:spacing w:after="0" w:line="259" w:lineRule="auto"/>
        <w:tabs>
          <w:tab w:leader="none" w:pos="8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860" w:right="1120" w:hanging="508"/>
        <w:spacing w:after="0" w:line="268" w:lineRule="auto"/>
        <w:tabs>
          <w:tab w:leader="none" w:pos="8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420" w:right="120" w:hanging="412"/>
        <w:spacing w:after="0" w:line="255"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20"/>
        <w:spacing w:after="0" w:line="333" w:lineRule="auto"/>
        <w:rPr>
          <w:sz w:val="20"/>
          <w:szCs w:val="20"/>
          <w:color w:val="auto"/>
        </w:rPr>
      </w:pPr>
      <w:r>
        <w:rPr>
          <w:rFonts w:ascii="Arial" w:cs="Arial" w:eastAsia="Arial" w:hAnsi="Arial"/>
          <w:sz w:val="16"/>
          <w:szCs w:val="16"/>
          <w:color w:val="auto"/>
        </w:rPr>
        <w:t>Pursuant to the requirements of the Securities Act of 1933, the Registrant has duly caused this Pre-Effective Amendment No. 1 to the Registration Statement to be signed on its behalf by the undersigned, thereunto duly authorized, in the City of Palo Alto, State of California, on the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day of June, 2003.</w:t>
      </w:r>
    </w:p>
    <w:p>
      <w:pPr>
        <w:spacing w:after="0" w:line="26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  /S/ MARTIN M.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80010</wp:posOffset>
            </wp:positionV>
            <wp:extent cx="13208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1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Martin M. McGlynn</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the Securities Act of 1933, this Pre-Effective Amendment No. 1 to the Registration Statement has been signed by the following persons in the capacities indicated on June 3, 2003.</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20" w:type="dxa"/>
            <w:vAlign w:val="bottom"/>
            <w:gridSpan w:val="5"/>
          </w:tcPr>
          <w:p>
            <w:pPr>
              <w:ind w:left="1680"/>
              <w:spacing w:after="0"/>
              <w:rPr>
                <w:sz w:val="20"/>
                <w:szCs w:val="20"/>
                <w:color w:val="auto"/>
              </w:rPr>
            </w:pPr>
            <w:r>
              <w:rPr>
                <w:rFonts w:ascii="Arial" w:cs="Arial" w:eastAsia="Arial" w:hAnsi="Arial"/>
                <w:sz w:val="14"/>
                <w:szCs w:val="14"/>
                <w:b w:val="1"/>
                <w:bCs w:val="1"/>
                <w:color w:val="auto"/>
              </w:rPr>
              <w:t>SIGNATURE</w:t>
            </w:r>
          </w:p>
        </w:tc>
        <w:tc>
          <w:tcPr>
            <w:tcW w:w="2860" w:type="dxa"/>
            <w:vAlign w:val="bottom"/>
          </w:tcPr>
          <w:p>
            <w:pPr>
              <w:spacing w:after="0"/>
              <w:rPr>
                <w:sz w:val="15"/>
                <w:szCs w:val="15"/>
                <w:color w:val="auto"/>
              </w:rPr>
            </w:pPr>
          </w:p>
        </w:tc>
        <w:tc>
          <w:tcPr>
            <w:tcW w:w="4440" w:type="dxa"/>
            <w:vAlign w:val="bottom"/>
          </w:tcPr>
          <w:p>
            <w:pPr>
              <w:ind w:left="202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95"/>
        </w:trPr>
        <w:tc>
          <w:tcPr>
            <w:tcW w:w="19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86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120" w:type="dxa"/>
            <w:vAlign w:val="bottom"/>
            <w:gridSpan w:val="5"/>
          </w:tcPr>
          <w:p>
            <w:pPr>
              <w:spacing w:after="0"/>
              <w:rPr>
                <w:sz w:val="20"/>
                <w:szCs w:val="20"/>
                <w:color w:val="auto"/>
              </w:rPr>
            </w:pPr>
            <w:r>
              <w:rPr>
                <w:rFonts w:ascii="Arial" w:cs="Arial" w:eastAsia="Arial" w:hAnsi="Arial"/>
                <w:sz w:val="18"/>
                <w:szCs w:val="18"/>
                <w:color w:val="auto"/>
              </w:rPr>
              <w:t>/s/ MARTIN M. MCGLYNN</w:t>
            </w:r>
          </w:p>
        </w:tc>
        <w:tc>
          <w:tcPr>
            <w:tcW w:w="286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Martin M. McGlynn,</w:t>
            </w:r>
          </w:p>
        </w:tc>
        <w:tc>
          <w:tcPr>
            <w:tcW w:w="0" w:type="dxa"/>
            <w:vAlign w:val="bottom"/>
          </w:tcPr>
          <w:p>
            <w:pPr>
              <w:spacing w:after="0"/>
              <w:rPr>
                <w:sz w:val="1"/>
                <w:szCs w:val="1"/>
                <w:color w:val="auto"/>
              </w:rPr>
            </w:pPr>
          </w:p>
        </w:tc>
      </w:tr>
      <w:tr>
        <w:trPr>
          <w:trHeight w:val="103"/>
        </w:trPr>
        <w:tc>
          <w:tcPr>
            <w:tcW w:w="19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440" w:type="dxa"/>
            <w:vAlign w:val="bottom"/>
            <w:vMerge w:val="restart"/>
          </w:tcPr>
          <w:p>
            <w:pPr>
              <w:spacing w:after="0"/>
              <w:rPr>
                <w:sz w:val="20"/>
                <w:szCs w:val="20"/>
                <w:color w:val="auto"/>
              </w:rPr>
            </w:pPr>
            <w:r>
              <w:rPr>
                <w:rFonts w:ascii="Arial" w:cs="Arial" w:eastAsia="Arial" w:hAnsi="Arial"/>
                <w:sz w:val="18"/>
                <w:szCs w:val="18"/>
                <w:color w:val="auto"/>
              </w:rPr>
              <w:t>President, Chief Executive Officer</w:t>
            </w: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Executive Officer), Director</w:t>
            </w:r>
          </w:p>
        </w:tc>
        <w:tc>
          <w:tcPr>
            <w:tcW w:w="0" w:type="dxa"/>
            <w:vAlign w:val="bottom"/>
          </w:tcPr>
          <w:p>
            <w:pPr>
              <w:spacing w:after="0"/>
              <w:rPr>
                <w:sz w:val="1"/>
                <w:szCs w:val="1"/>
                <w:color w:val="auto"/>
              </w:rPr>
            </w:pPr>
          </w:p>
        </w:tc>
      </w:tr>
      <w:tr>
        <w:trPr>
          <w:trHeight w:val="426"/>
        </w:trPr>
        <w:tc>
          <w:tcPr>
            <w:tcW w:w="19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George Koshy,</w:t>
            </w:r>
          </w:p>
        </w:tc>
        <w:tc>
          <w:tcPr>
            <w:tcW w:w="0" w:type="dxa"/>
            <w:vAlign w:val="bottom"/>
          </w:tcPr>
          <w:p>
            <w:pPr>
              <w:spacing w:after="0"/>
              <w:rPr>
                <w:sz w:val="1"/>
                <w:szCs w:val="1"/>
                <w:color w:val="auto"/>
              </w:rPr>
            </w:pPr>
          </w:p>
        </w:tc>
      </w:tr>
      <w:tr>
        <w:trPr>
          <w:trHeight w:val="103"/>
        </w:trPr>
        <w:tc>
          <w:tcPr>
            <w:tcW w:w="19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440" w:type="dxa"/>
            <w:vAlign w:val="bottom"/>
            <w:vMerge w:val="restart"/>
          </w:tcPr>
          <w:p>
            <w:pPr>
              <w:spacing w:after="0"/>
              <w:rPr>
                <w:sz w:val="20"/>
                <w:szCs w:val="20"/>
                <w:color w:val="auto"/>
              </w:rPr>
            </w:pPr>
            <w:r>
              <w:rPr>
                <w:rFonts w:ascii="Arial" w:cs="Arial" w:eastAsia="Arial" w:hAnsi="Arial"/>
                <w:sz w:val="18"/>
                <w:szCs w:val="18"/>
                <w:color w:val="auto"/>
              </w:rPr>
              <w:t>Controller and Acting Chief Financial</w:t>
            </w: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Officer (Principal Financial Officer and</w:t>
            </w:r>
          </w:p>
        </w:tc>
        <w:tc>
          <w:tcPr>
            <w:tcW w:w="0" w:type="dxa"/>
            <w:vAlign w:val="bottom"/>
          </w:tcPr>
          <w:p>
            <w:pPr>
              <w:spacing w:after="0"/>
              <w:rPr>
                <w:sz w:val="1"/>
                <w:szCs w:val="1"/>
                <w:color w:val="auto"/>
              </w:rPr>
            </w:pPr>
          </w:p>
        </w:tc>
      </w:tr>
      <w:tr>
        <w:trPr>
          <w:trHeight w:val="222"/>
        </w:trPr>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426"/>
        </w:trPr>
        <w:tc>
          <w:tcPr>
            <w:tcW w:w="19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Ricardo B. Levy, Ph.D.</w:t>
            </w:r>
          </w:p>
        </w:tc>
        <w:tc>
          <w:tcPr>
            <w:tcW w:w="0" w:type="dxa"/>
            <w:vAlign w:val="bottom"/>
          </w:tcPr>
          <w:p>
            <w:pPr>
              <w:spacing w:after="0"/>
              <w:rPr>
                <w:sz w:val="1"/>
                <w:szCs w:val="1"/>
                <w:color w:val="auto"/>
              </w:rPr>
            </w:pPr>
          </w:p>
        </w:tc>
      </w:tr>
      <w:tr>
        <w:trPr>
          <w:trHeight w:val="103"/>
        </w:trPr>
        <w:tc>
          <w:tcPr>
            <w:tcW w:w="19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44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3"/>
        </w:trPr>
        <w:tc>
          <w:tcPr>
            <w:tcW w:w="19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Roger M. Perlmutter, M.D., Ph.D.</w:t>
            </w:r>
          </w:p>
        </w:tc>
        <w:tc>
          <w:tcPr>
            <w:tcW w:w="0" w:type="dxa"/>
            <w:vAlign w:val="bottom"/>
          </w:tcPr>
          <w:p>
            <w:pPr>
              <w:spacing w:after="0"/>
              <w:rPr>
                <w:sz w:val="1"/>
                <w:szCs w:val="1"/>
                <w:color w:val="auto"/>
              </w:rPr>
            </w:pPr>
          </w:p>
        </w:tc>
      </w:tr>
      <w:tr>
        <w:trPr>
          <w:trHeight w:val="103"/>
        </w:trPr>
        <w:tc>
          <w:tcPr>
            <w:tcW w:w="19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5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44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left="1680"/>
        <w:spacing w:after="0"/>
        <w:tabs>
          <w:tab w:leader="none" w:pos="89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jc w:val="right"/>
              <w:ind w:right="2112"/>
              <w:spacing w:after="0"/>
              <w:rPr>
                <w:sz w:val="20"/>
                <w:szCs w:val="20"/>
                <w:color w:val="auto"/>
              </w:rPr>
            </w:pPr>
            <w:r>
              <w:rPr>
                <w:rFonts w:ascii="Arial" w:cs="Arial" w:eastAsia="Arial" w:hAnsi="Arial"/>
                <w:sz w:val="18"/>
                <w:szCs w:val="18"/>
                <w:color w:val="auto"/>
              </w:rPr>
              <w:t>*</w:t>
            </w:r>
          </w:p>
        </w:tc>
        <w:tc>
          <w:tcPr>
            <w:tcW w:w="6340" w:type="dxa"/>
            <w:vAlign w:val="bottom"/>
          </w:tcPr>
          <w:p>
            <w:pPr>
              <w:ind w:left="4680"/>
              <w:spacing w:after="0"/>
              <w:rPr>
                <w:sz w:val="20"/>
                <w:szCs w:val="20"/>
                <w:color w:val="auto"/>
              </w:rPr>
            </w:pPr>
            <w:r>
              <w:rPr>
                <w:rFonts w:ascii="Arial" w:cs="Arial" w:eastAsia="Arial" w:hAnsi="Arial"/>
                <w:sz w:val="18"/>
                <w:szCs w:val="18"/>
                <w:color w:val="auto"/>
                <w:w w:val="85"/>
              </w:rPr>
              <w:t>John J. Schwartz, Ph.D.</w:t>
            </w:r>
          </w:p>
        </w:tc>
        <w:tc>
          <w:tcPr>
            <w:tcW w:w="0" w:type="dxa"/>
            <w:vAlign w:val="bottom"/>
          </w:tcPr>
          <w:p>
            <w:pPr>
              <w:spacing w:after="0"/>
              <w:rPr>
                <w:sz w:val="1"/>
                <w:szCs w:val="1"/>
                <w:color w:val="auto"/>
              </w:rPr>
            </w:pPr>
          </w:p>
        </w:tc>
      </w:tr>
      <w:tr>
        <w:trPr>
          <w:trHeight w:val="103"/>
        </w:trPr>
        <w:tc>
          <w:tcPr>
            <w:tcW w:w="2300" w:type="dxa"/>
            <w:vAlign w:val="bottom"/>
            <w:tcBorders>
              <w:bottom w:val="single" w:sz="8" w:color="808080"/>
            </w:tcBorders>
          </w:tcPr>
          <w:p>
            <w:pPr>
              <w:spacing w:after="0"/>
              <w:rPr>
                <w:sz w:val="8"/>
                <w:szCs w:val="8"/>
                <w:color w:val="auto"/>
              </w:rPr>
            </w:pPr>
          </w:p>
        </w:tc>
        <w:tc>
          <w:tcPr>
            <w:tcW w:w="6340" w:type="dxa"/>
            <w:vAlign w:val="bottom"/>
            <w:vMerge w:val="restart"/>
          </w:tcPr>
          <w:p>
            <w:pPr>
              <w:ind w:left="4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2300" w:type="dxa"/>
            <w:vAlign w:val="bottom"/>
          </w:tcPr>
          <w:p>
            <w:pPr>
              <w:spacing w:after="0"/>
              <w:rPr>
                <w:sz w:val="8"/>
                <w:szCs w:val="8"/>
                <w:color w:val="auto"/>
              </w:rPr>
            </w:pPr>
          </w:p>
        </w:tc>
        <w:tc>
          <w:tcPr>
            <w:tcW w:w="6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2300" w:type="dxa"/>
            <w:vAlign w:val="bottom"/>
          </w:tcPr>
          <w:p>
            <w:pPr>
              <w:jc w:val="right"/>
              <w:ind w:right="2112"/>
              <w:spacing w:after="0"/>
              <w:rPr>
                <w:sz w:val="20"/>
                <w:szCs w:val="20"/>
                <w:color w:val="auto"/>
              </w:rPr>
            </w:pPr>
            <w:r>
              <w:rPr>
                <w:rFonts w:ascii="Arial" w:cs="Arial" w:eastAsia="Arial" w:hAnsi="Arial"/>
                <w:sz w:val="18"/>
                <w:szCs w:val="18"/>
                <w:color w:val="auto"/>
              </w:rPr>
              <w:t>*</w:t>
            </w:r>
          </w:p>
        </w:tc>
        <w:tc>
          <w:tcPr>
            <w:tcW w:w="6340" w:type="dxa"/>
            <w:vAlign w:val="bottom"/>
          </w:tcPr>
          <w:p>
            <w:pPr>
              <w:ind w:left="4680"/>
              <w:spacing w:after="0"/>
              <w:rPr>
                <w:sz w:val="20"/>
                <w:szCs w:val="20"/>
                <w:color w:val="auto"/>
              </w:rPr>
            </w:pPr>
            <w:r>
              <w:rPr>
                <w:rFonts w:ascii="Arial" w:cs="Arial" w:eastAsia="Arial" w:hAnsi="Arial"/>
                <w:sz w:val="18"/>
                <w:szCs w:val="18"/>
                <w:color w:val="auto"/>
                <w:w w:val="90"/>
              </w:rPr>
              <w:t>Irving Weissman, M.D.</w:t>
            </w:r>
          </w:p>
        </w:tc>
        <w:tc>
          <w:tcPr>
            <w:tcW w:w="0" w:type="dxa"/>
            <w:vAlign w:val="bottom"/>
          </w:tcPr>
          <w:p>
            <w:pPr>
              <w:spacing w:after="0"/>
              <w:rPr>
                <w:sz w:val="1"/>
                <w:szCs w:val="1"/>
                <w:color w:val="auto"/>
              </w:rPr>
            </w:pPr>
          </w:p>
        </w:tc>
      </w:tr>
      <w:tr>
        <w:trPr>
          <w:trHeight w:val="103"/>
        </w:trPr>
        <w:tc>
          <w:tcPr>
            <w:tcW w:w="2300" w:type="dxa"/>
            <w:vAlign w:val="bottom"/>
            <w:tcBorders>
              <w:bottom w:val="single" w:sz="8" w:color="808080"/>
            </w:tcBorders>
          </w:tcPr>
          <w:p>
            <w:pPr>
              <w:spacing w:after="0"/>
              <w:rPr>
                <w:sz w:val="8"/>
                <w:szCs w:val="8"/>
                <w:color w:val="auto"/>
              </w:rPr>
            </w:pPr>
          </w:p>
        </w:tc>
        <w:tc>
          <w:tcPr>
            <w:tcW w:w="6340" w:type="dxa"/>
            <w:vAlign w:val="bottom"/>
            <w:vMerge w:val="restart"/>
          </w:tcPr>
          <w:p>
            <w:pPr>
              <w:ind w:left="4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2300" w:type="dxa"/>
            <w:vAlign w:val="bottom"/>
          </w:tcPr>
          <w:p>
            <w:pPr>
              <w:spacing w:after="0"/>
              <w:rPr>
                <w:sz w:val="8"/>
                <w:szCs w:val="8"/>
                <w:color w:val="auto"/>
              </w:rPr>
            </w:pPr>
          </w:p>
        </w:tc>
        <w:tc>
          <w:tcPr>
            <w:tcW w:w="6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40" w:right="500" w:hanging="232"/>
        <w:spacing w:after="0" w:line="268" w:lineRule="auto"/>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By executing his name below, Martin McGlynn is signing the document on behalf of the persons indicated above pursuant to the power of attorney duly executed by such persons and filed with the Securities and Exchange Commission.</w:t>
      </w:r>
    </w:p>
    <w:p>
      <w:pPr>
        <w:spacing w:after="0" w:line="200" w:lineRule="exact"/>
        <w:rPr>
          <w:sz w:val="20"/>
          <w:szCs w:val="20"/>
          <w:color w:val="auto"/>
        </w:rPr>
      </w:pP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71120</wp:posOffset>
            </wp:positionV>
            <wp:extent cx="13976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Martin McGlynn</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Attorney-In-Fact</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140" w:type="dxa"/>
            <w:vAlign w:val="bottom"/>
          </w:tcPr>
          <w:p>
            <w:pPr>
              <w:ind w:left="3340"/>
              <w:spacing w:after="0"/>
              <w:rPr>
                <w:sz w:val="20"/>
                <w:szCs w:val="20"/>
                <w:color w:val="auto"/>
              </w:rPr>
            </w:pPr>
            <w:r>
              <w:rPr>
                <w:rFonts w:ascii="Arial" w:cs="Arial" w:eastAsia="Arial" w:hAnsi="Arial"/>
                <w:sz w:val="18"/>
                <w:szCs w:val="18"/>
                <w:color w:val="auto"/>
              </w:rPr>
              <w:t>EXHIBIT INDEX</w:t>
            </w:r>
          </w:p>
        </w:tc>
      </w:tr>
      <w:tr>
        <w:trPr>
          <w:trHeight w:val="623"/>
        </w:trPr>
        <w:tc>
          <w:tcPr>
            <w:tcW w:w="84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24"/>
                <w:szCs w:val="24"/>
                <w:color w:val="auto"/>
              </w:rPr>
            </w:pPr>
          </w:p>
        </w:tc>
        <w:tc>
          <w:tcPr>
            <w:tcW w:w="9140" w:type="dxa"/>
            <w:vAlign w:val="bottom"/>
          </w:tcPr>
          <w:p>
            <w:pPr>
              <w:ind w:left="4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9140" w:type="dxa"/>
            <w:vAlign w:val="bottom"/>
            <w:tcBorders>
              <w:bottom w:val="single" w:sz="8" w:color="808080"/>
            </w:tcBorders>
          </w:tcPr>
          <w:p>
            <w:pPr>
              <w:spacing w:after="0"/>
              <w:rPr>
                <w:sz w:val="8"/>
                <w:szCs w:val="8"/>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Restated Certificate of Incorporation of the Registrant.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Amended and Restated By-Laws of the Registrant.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Specimen Common Stock Certificate.</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Form of Warrant Certificate issued to a certain purchaser of the Registrant’s Common Stock in April 1995.</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4.3X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Warrant to Purchase Common Stock—Mark Angelo.</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4.4X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Warrant to Purchase Common Stock—Robert Farrell.</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4.5X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Warrant to Purchase Common Stock—Joseph Donahue.</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4.6X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Warrant to Purchase Common Stock—Hunter Singer.</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4.7X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Warrant to Purchase Common Stock—May Davis.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4.8X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Common Stock Purchase Warrant.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4.9X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Callable Warrant, dated July 31, 2000, issued to Millennium Partners,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4.10XXX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w w:val="99"/>
              </w:rPr>
              <w:t>Registration Rights Agreement dated as of May 10, 2001 between the Company and Sativum Investments Limited.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4.11XXX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Stock Purchase Warrant, dated May 10, 2001, issued to Sativum Investments Limited.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4.12XXX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Stock Purchase Warrant, dated May 10, 2001, issued to Pacific Crest Securities, Inc.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4.13XXX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Stock Purchase Warrant dated May 10, 2001, issued to Granite Financial Group, Inc.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4.14XXX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Callable Warrant, dated June 21, 2001, issued to Millennium Partners,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4.15XXX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Common Stock Purchase Warrant, Class A, dated June 21, 2001, issued to Millennium Partners, L.P.</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left="700"/>
        <w:spacing w:after="0"/>
        <w:tabs>
          <w:tab w:leader="none" w:pos="58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68580</wp:posOffset>
            </wp:positionV>
            <wp:extent cx="65176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4.16[**]</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w w:val="88"/>
              </w:rPr>
              <w:t>Certificate of Designations of the Powers, Preferences and Relative, Participating, Optional and Other Special Rights of Preferred</w:t>
            </w:r>
          </w:p>
        </w:tc>
      </w:tr>
      <w:tr>
        <w:trPr>
          <w:trHeight w:val="222"/>
        </w:trPr>
        <w:tc>
          <w:tcPr>
            <w:tcW w:w="980" w:type="dxa"/>
            <w:vAlign w:val="bottom"/>
          </w:tcPr>
          <w:p>
            <w:pPr>
              <w:spacing w:after="0"/>
              <w:rPr>
                <w:sz w:val="19"/>
                <w:szCs w:val="19"/>
                <w:color w:val="auto"/>
              </w:rPr>
            </w:pP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w w:val="90"/>
              </w:rPr>
              <w:t>Stock and Qualifications, Limitations and Restrictions Thereof of 3* Cumulative Convertible Preferred Stock for StemCells, Inc.</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4.17[**]</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Warrant to Purchase Common Stock—Riverview Group, L.L.C.</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4.18XXXX</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Warrant to Purchase Common Stock—Cantor Fitzgerald &amp; Co.</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4.19X</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Form Warrant to Purchase Common Stock — Riverview Group, LLC.</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5.1[XXX]</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Opinion of Ropes &amp; Gray LLP.</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w w:val="96"/>
              </w:rPr>
              <w:t>Amendment to Registration Rights dated as of February 14, 1992 among the Registrant and certain of its stockholders.</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10.2*</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Form of at-will Employment Agreement between the Registrant and most of its employees.</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10.3*</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Form of Agreement for Consulting Services between the Registrant and members of its Scientific Advisory Hoard.</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Form of Nondisclosure Agreement between the Registrant and its Contractors.</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10.5*</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Master Lease and Warrant Agreement dated April 23, 1991 between the Registrant and PacifiCorp Credit, Inc.</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10.6*</w:t>
            </w:r>
          </w:p>
        </w:tc>
        <w:tc>
          <w:tcPr>
            <w:tcW w:w="520" w:type="dxa"/>
            <w:vAlign w:val="bottom"/>
          </w:tcPr>
          <w:p>
            <w:pPr>
              <w:ind w:left="160"/>
              <w:spacing w:after="0"/>
              <w:rPr>
                <w:sz w:val="20"/>
                <w:szCs w:val="20"/>
                <w:color w:val="auto"/>
              </w:rPr>
            </w:pPr>
            <w:r>
              <w:rPr>
                <w:rFonts w:ascii="Arial" w:cs="Arial" w:eastAsia="Arial" w:hAnsi="Arial"/>
                <w:sz w:val="18"/>
                <w:szCs w:val="18"/>
                <w:color w:val="auto"/>
                <w:w w:val="84"/>
              </w:rPr>
              <w:t>1988</w:t>
            </w:r>
          </w:p>
        </w:tc>
        <w:tc>
          <w:tcPr>
            <w:tcW w:w="8740" w:type="dxa"/>
            <w:vAlign w:val="bottom"/>
          </w:tcPr>
          <w:p>
            <w:pPr>
              <w:ind w:left="40"/>
              <w:spacing w:after="0"/>
              <w:rPr>
                <w:sz w:val="20"/>
                <w:szCs w:val="20"/>
                <w:color w:val="auto"/>
              </w:rPr>
            </w:pPr>
            <w:r>
              <w:rPr>
                <w:rFonts w:ascii="Arial" w:cs="Arial" w:eastAsia="Arial" w:hAnsi="Arial"/>
                <w:sz w:val="18"/>
                <w:szCs w:val="18"/>
                <w:color w:val="auto"/>
              </w:rPr>
              <w:t>Stock Option Plan.</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10.7*</w:t>
            </w:r>
          </w:p>
        </w:tc>
        <w:tc>
          <w:tcPr>
            <w:tcW w:w="520" w:type="dxa"/>
            <w:vAlign w:val="bottom"/>
          </w:tcPr>
          <w:p>
            <w:pPr>
              <w:ind w:left="160"/>
              <w:spacing w:after="0"/>
              <w:rPr>
                <w:sz w:val="20"/>
                <w:szCs w:val="20"/>
                <w:color w:val="auto"/>
              </w:rPr>
            </w:pPr>
            <w:r>
              <w:rPr>
                <w:rFonts w:ascii="Arial" w:cs="Arial" w:eastAsia="Arial" w:hAnsi="Arial"/>
                <w:sz w:val="18"/>
                <w:szCs w:val="18"/>
                <w:color w:val="auto"/>
                <w:w w:val="84"/>
              </w:rPr>
              <w:t>1992</w:t>
            </w:r>
          </w:p>
        </w:tc>
        <w:tc>
          <w:tcPr>
            <w:tcW w:w="8740" w:type="dxa"/>
            <w:vAlign w:val="bottom"/>
          </w:tcPr>
          <w:p>
            <w:pPr>
              <w:ind w:left="40"/>
              <w:spacing w:after="0"/>
              <w:rPr>
                <w:sz w:val="20"/>
                <w:szCs w:val="20"/>
                <w:color w:val="auto"/>
              </w:rPr>
            </w:pPr>
            <w:r>
              <w:rPr>
                <w:rFonts w:ascii="Arial" w:cs="Arial" w:eastAsia="Arial" w:hAnsi="Arial"/>
                <w:sz w:val="18"/>
                <w:szCs w:val="18"/>
                <w:color w:val="auto"/>
              </w:rPr>
              <w:t>Equity Incentive Plan.</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10.8*</w:t>
            </w:r>
          </w:p>
        </w:tc>
        <w:tc>
          <w:tcPr>
            <w:tcW w:w="520" w:type="dxa"/>
            <w:vAlign w:val="bottom"/>
          </w:tcPr>
          <w:p>
            <w:pPr>
              <w:ind w:left="160"/>
              <w:spacing w:after="0"/>
              <w:rPr>
                <w:sz w:val="20"/>
                <w:szCs w:val="20"/>
                <w:color w:val="auto"/>
              </w:rPr>
            </w:pPr>
            <w:r>
              <w:rPr>
                <w:rFonts w:ascii="Arial" w:cs="Arial" w:eastAsia="Arial" w:hAnsi="Arial"/>
                <w:sz w:val="18"/>
                <w:szCs w:val="18"/>
                <w:color w:val="auto"/>
                <w:w w:val="84"/>
              </w:rPr>
              <w:t>1992</w:t>
            </w:r>
          </w:p>
        </w:tc>
        <w:tc>
          <w:tcPr>
            <w:tcW w:w="8740" w:type="dxa"/>
            <w:vAlign w:val="bottom"/>
          </w:tcPr>
          <w:p>
            <w:pPr>
              <w:ind w:left="40"/>
              <w:spacing w:after="0"/>
              <w:rPr>
                <w:sz w:val="20"/>
                <w:szCs w:val="20"/>
                <w:color w:val="auto"/>
              </w:rPr>
            </w:pPr>
            <w:r>
              <w:rPr>
                <w:rFonts w:ascii="Arial" w:cs="Arial" w:eastAsia="Arial" w:hAnsi="Arial"/>
                <w:sz w:val="18"/>
                <w:szCs w:val="18"/>
                <w:color w:val="auto"/>
              </w:rPr>
              <w:t>Stock Option Plan for Non-Employee Directors.</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10.9**!!!!</w:t>
            </w:r>
          </w:p>
        </w:tc>
        <w:tc>
          <w:tcPr>
            <w:tcW w:w="520" w:type="dxa"/>
            <w:vAlign w:val="bottom"/>
          </w:tcPr>
          <w:p>
            <w:pPr>
              <w:ind w:left="160"/>
              <w:spacing w:after="0"/>
              <w:rPr>
                <w:sz w:val="20"/>
                <w:szCs w:val="20"/>
                <w:color w:val="auto"/>
              </w:rPr>
            </w:pPr>
            <w:r>
              <w:rPr>
                <w:rFonts w:ascii="Arial" w:cs="Arial" w:eastAsia="Arial" w:hAnsi="Arial"/>
                <w:sz w:val="18"/>
                <w:szCs w:val="18"/>
                <w:color w:val="auto"/>
                <w:w w:val="84"/>
              </w:rPr>
              <w:t>1992</w:t>
            </w:r>
          </w:p>
        </w:tc>
        <w:tc>
          <w:tcPr>
            <w:tcW w:w="874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10.12++</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Research Agreement dated as of March 16, 1994 between NeuroSpheres, Ltd. and Registrant.</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5"/>
                <w:szCs w:val="15"/>
                <w:color w:val="auto"/>
              </w:rPr>
            </w:pPr>
          </w:p>
        </w:tc>
        <w:tc>
          <w:tcPr>
            <w:tcW w:w="9020" w:type="dxa"/>
            <w:vAlign w:val="bottom"/>
          </w:tcPr>
          <w:p>
            <w:pPr>
              <w:ind w:left="40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020" w:type="dxa"/>
            <w:vAlign w:val="bottom"/>
            <w:tcBorders>
              <w:bottom w:val="single" w:sz="8" w:color="808080"/>
            </w:tcBorders>
          </w:tcPr>
          <w:p>
            <w:pPr>
              <w:spacing w:after="0"/>
              <w:rPr>
                <w:sz w:val="8"/>
                <w:szCs w:val="8"/>
                <w:color w:val="auto"/>
              </w:rPr>
            </w:pPr>
          </w:p>
        </w:tc>
      </w:tr>
      <w:tr>
        <w:trPr>
          <w:trHeight w:val="316"/>
        </w:trPr>
        <w:tc>
          <w:tcPr>
            <w:tcW w:w="980" w:type="dxa"/>
            <w:vAlign w:val="bottom"/>
          </w:tcPr>
          <w:p>
            <w:pPr>
              <w:spacing w:after="0"/>
              <w:rPr>
                <w:sz w:val="20"/>
                <w:szCs w:val="20"/>
                <w:color w:val="auto"/>
              </w:rPr>
            </w:pPr>
            <w:r>
              <w:rPr>
                <w:rFonts w:ascii="Arial" w:cs="Arial" w:eastAsia="Arial" w:hAnsi="Arial"/>
                <w:sz w:val="18"/>
                <w:szCs w:val="18"/>
                <w:color w:val="auto"/>
              </w:rPr>
              <w:t>10.13++</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97"/>
              </w:rPr>
              <w:t>Term Loan Agreement dated as of September 30, 1994, between The First National Bank of Boston and Registrant.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10.14++</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93"/>
              </w:rPr>
              <w:t>Lease Agreement between the Registrant and Rhode Island Industrial Facilities Corporation, dated as of August 1, 1992.</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10.15++</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90"/>
              </w:rPr>
              <w:t>First Amendment to Lease Agreement between Registrant and The Rhode Island Industrial Facilities Corporation dated as of</w:t>
            </w:r>
          </w:p>
        </w:tc>
      </w:tr>
      <w:tr>
        <w:trPr>
          <w:trHeight w:val="222"/>
        </w:trPr>
        <w:tc>
          <w:tcPr>
            <w:tcW w:w="980" w:type="dxa"/>
            <w:vAlign w:val="bottom"/>
          </w:tcPr>
          <w:p>
            <w:pPr>
              <w:spacing w:after="0"/>
              <w:rPr>
                <w:sz w:val="19"/>
                <w:szCs w:val="19"/>
                <w:color w:val="auto"/>
              </w:rPr>
            </w:pP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rPr>
              <w:t>September 15, 1994.</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w w:val="94"/>
              </w:rPr>
              <w:t>10.17**++++</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99"/>
              </w:rPr>
              <w:t>Development, Marketing and License Agreement, dated as of March 30, 1995, between Registrant and Astra AB.</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10.18++++</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89"/>
              </w:rPr>
              <w:t>Form of Unit Purchase Agreement to be executed by the purchasers of the Common Stock and Warrants offered in April 1995.</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10.19+++</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89"/>
              </w:rPr>
              <w:t>Form of Common Stock Purchase Agreement to be executed among the Registrant and certain purchasers of the Registrant’s</w:t>
            </w:r>
          </w:p>
        </w:tc>
      </w:tr>
      <w:tr>
        <w:trPr>
          <w:trHeight w:val="222"/>
        </w:trPr>
        <w:tc>
          <w:tcPr>
            <w:tcW w:w="980" w:type="dxa"/>
            <w:vAlign w:val="bottom"/>
          </w:tcPr>
          <w:p>
            <w:pPr>
              <w:spacing w:after="0"/>
              <w:rPr>
                <w:sz w:val="19"/>
                <w:szCs w:val="19"/>
                <w:color w:val="auto"/>
              </w:rPr>
            </w:pP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rPr>
              <w:t>Common Stock.</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10.22###</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87"/>
              </w:rPr>
              <w:t>Lease Agreement dated as of November 21, 1997, by and between Hub RI Properties Trust, as Landlord, and CytoTherapeutics,</w:t>
            </w:r>
          </w:p>
        </w:tc>
      </w:tr>
      <w:tr>
        <w:trPr>
          <w:trHeight w:val="222"/>
        </w:trPr>
        <w:tc>
          <w:tcPr>
            <w:tcW w:w="980" w:type="dxa"/>
            <w:vAlign w:val="bottom"/>
          </w:tcPr>
          <w:p>
            <w:pPr>
              <w:spacing w:after="0"/>
              <w:rPr>
                <w:sz w:val="19"/>
                <w:szCs w:val="19"/>
                <w:color w:val="auto"/>
              </w:rPr>
            </w:pP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rPr>
              <w:t>Inc., as Tenant.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10.24!!</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89"/>
              </w:rPr>
              <w:t>CTI individual stockholders option agreement dated as of July 10, 1996 among the Company and the individuals listed therein.</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10.25!!</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97"/>
              </w:rPr>
              <w:t>CTI Valoria option agreement dated of July 10, 1996, between the Company and the Societe Financiers Valoria SA.</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10.26!!!</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96"/>
              </w:rPr>
              <w:t>Term Loan Agreement, dated as of October 22, 1996, between The First National Bank of Boston and the Registrant.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10.27***</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90"/>
              </w:rPr>
              <w:t>Agreement and Plan of Merger dated as of August 13, 1997, among StemCells, Inc., the Registrant and CTI Acquisition Corp.</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10.28***</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rPr>
              <w:t>Consulting Agreement dated as of September 25, 1997,</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1180" w:type="dxa"/>
            <w:vAlign w:val="bottom"/>
          </w:tcPr>
          <w:p>
            <w:pPr>
              <w:ind w:left="280"/>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15"/>
                <w:szCs w:val="15"/>
                <w:color w:val="auto"/>
              </w:rPr>
            </w:pPr>
          </w:p>
        </w:tc>
        <w:tc>
          <w:tcPr>
            <w:tcW w:w="8620" w:type="dxa"/>
            <w:vAlign w:val="bottom"/>
          </w:tcPr>
          <w:p>
            <w:pPr>
              <w:ind w:left="38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1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8620" w:type="dxa"/>
            <w:vAlign w:val="bottom"/>
            <w:tcBorders>
              <w:bottom w:val="single" w:sz="8" w:color="808080"/>
            </w:tcBorders>
          </w:tcPr>
          <w:p>
            <w:pPr>
              <w:spacing w:after="0"/>
              <w:rPr>
                <w:sz w:val="8"/>
                <w:szCs w:val="8"/>
                <w:color w:val="auto"/>
              </w:rPr>
            </w:pPr>
          </w:p>
        </w:tc>
      </w:tr>
      <w:tr>
        <w:trPr>
          <w:trHeight w:val="316"/>
        </w:trPr>
        <w:tc>
          <w:tcPr>
            <w:tcW w:w="1180" w:type="dxa"/>
            <w:vAlign w:val="bottom"/>
          </w:tcPr>
          <w:p>
            <w:pPr>
              <w:spacing w:after="0"/>
              <w:rPr>
                <w:sz w:val="24"/>
                <w:szCs w:val="24"/>
                <w:color w:val="auto"/>
              </w:rPr>
            </w:pPr>
          </w:p>
        </w:tc>
        <w:tc>
          <w:tcPr>
            <w:tcW w:w="9100" w:type="dxa"/>
            <w:vAlign w:val="bottom"/>
            <w:gridSpan w:val="2"/>
          </w:tcPr>
          <w:p>
            <w:pPr>
              <w:ind w:left="480"/>
              <w:spacing w:after="0"/>
              <w:rPr>
                <w:sz w:val="20"/>
                <w:szCs w:val="20"/>
                <w:color w:val="auto"/>
              </w:rPr>
            </w:pPr>
            <w:r>
              <w:rPr>
                <w:rFonts w:ascii="Arial" w:cs="Arial" w:eastAsia="Arial" w:hAnsi="Arial"/>
                <w:sz w:val="18"/>
                <w:szCs w:val="18"/>
                <w:color w:val="auto"/>
              </w:rPr>
              <w:t>between Dr. Irving Weissman and the Registrant.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10.29###</w:t>
            </w:r>
          </w:p>
        </w:tc>
        <w:tc>
          <w:tcPr>
            <w:tcW w:w="9100" w:type="dxa"/>
            <w:vAlign w:val="bottom"/>
            <w:gridSpan w:val="2"/>
          </w:tcPr>
          <w:p>
            <w:pPr>
              <w:ind w:left="480"/>
              <w:spacing w:after="0"/>
              <w:rPr>
                <w:sz w:val="20"/>
                <w:szCs w:val="20"/>
                <w:color w:val="auto"/>
              </w:rPr>
            </w:pPr>
            <w:r>
              <w:rPr>
                <w:rFonts w:ascii="Arial" w:cs="Arial" w:eastAsia="Arial" w:hAnsi="Arial"/>
                <w:sz w:val="18"/>
                <w:szCs w:val="18"/>
                <w:color w:val="auto"/>
              </w:rPr>
              <w:t>Letter Agreement among each of Dr. Irving Weissman and Dr. Fred H. Gage and the Registrant.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10.32****</w:t>
            </w:r>
          </w:p>
        </w:tc>
        <w:tc>
          <w:tcPr>
            <w:tcW w:w="9100" w:type="dxa"/>
            <w:vAlign w:val="bottom"/>
            <w:gridSpan w:val="2"/>
          </w:tcPr>
          <w:p>
            <w:pPr>
              <w:ind w:left="480"/>
              <w:spacing w:after="0"/>
              <w:rPr>
                <w:sz w:val="20"/>
                <w:szCs w:val="20"/>
                <w:color w:val="auto"/>
              </w:rPr>
            </w:pPr>
            <w:r>
              <w:rPr>
                <w:rFonts w:ascii="Arial" w:cs="Arial" w:eastAsia="Arial" w:hAnsi="Arial"/>
                <w:sz w:val="18"/>
                <w:szCs w:val="18"/>
                <w:color w:val="auto"/>
              </w:rPr>
              <w:t>StemCells, Inc. 1996 Stock Option Plan.</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10.33****</w:t>
            </w:r>
          </w:p>
        </w:tc>
        <w:tc>
          <w:tcPr>
            <w:tcW w:w="9100" w:type="dxa"/>
            <w:vAlign w:val="bottom"/>
            <w:gridSpan w:val="2"/>
          </w:tcPr>
          <w:p>
            <w:pPr>
              <w:ind w:left="480"/>
              <w:spacing w:after="0"/>
              <w:rPr>
                <w:sz w:val="20"/>
                <w:szCs w:val="20"/>
                <w:color w:val="auto"/>
              </w:rPr>
            </w:pPr>
            <w:r>
              <w:rPr>
                <w:rFonts w:ascii="Arial" w:cs="Arial" w:eastAsia="Arial" w:hAnsi="Arial"/>
                <w:sz w:val="18"/>
                <w:szCs w:val="18"/>
                <w:color w:val="auto"/>
              </w:rPr>
              <w:t>1997 StemCells Research Stock Option Plan (the “1997 Plan”).</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10.34****</w:t>
            </w:r>
          </w:p>
        </w:tc>
        <w:tc>
          <w:tcPr>
            <w:tcW w:w="9100" w:type="dxa"/>
            <w:vAlign w:val="bottom"/>
            <w:gridSpan w:val="2"/>
          </w:tcPr>
          <w:p>
            <w:pPr>
              <w:ind w:left="480"/>
              <w:spacing w:after="0"/>
              <w:rPr>
                <w:sz w:val="20"/>
                <w:szCs w:val="20"/>
                <w:color w:val="auto"/>
              </w:rPr>
            </w:pPr>
            <w:r>
              <w:rPr>
                <w:rFonts w:ascii="Arial" w:cs="Arial" w:eastAsia="Arial" w:hAnsi="Arial"/>
                <w:sz w:val="18"/>
                <w:szCs w:val="18"/>
                <w:color w:val="auto"/>
              </w:rPr>
              <w:t>Form of Performance-Based Incentive Option Agreement issued under the 1997 Plan.</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10.35###</w:t>
            </w:r>
          </w:p>
        </w:tc>
        <w:tc>
          <w:tcPr>
            <w:tcW w:w="9100" w:type="dxa"/>
            <w:vAlign w:val="bottom"/>
            <w:gridSpan w:val="2"/>
          </w:tcPr>
          <w:p>
            <w:pPr>
              <w:ind w:left="480"/>
              <w:spacing w:after="0"/>
              <w:rPr>
                <w:sz w:val="20"/>
                <w:szCs w:val="20"/>
                <w:color w:val="auto"/>
              </w:rPr>
            </w:pPr>
            <w:r>
              <w:rPr>
                <w:rFonts w:ascii="Arial" w:cs="Arial" w:eastAsia="Arial" w:hAnsi="Arial"/>
                <w:sz w:val="18"/>
                <w:szCs w:val="18"/>
                <w:color w:val="auto"/>
              </w:rPr>
              <w:t>Employment Agreement dated as of September 25, 1997 between Dr. Richard M. Rose and the Registrant.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10.38[*]</w:t>
            </w:r>
          </w:p>
        </w:tc>
        <w:tc>
          <w:tcPr>
            <w:tcW w:w="9100" w:type="dxa"/>
            <w:vAlign w:val="bottom"/>
            <w:gridSpan w:val="2"/>
          </w:tcPr>
          <w:p>
            <w:pPr>
              <w:ind w:left="480"/>
              <w:spacing w:after="0"/>
              <w:rPr>
                <w:sz w:val="20"/>
                <w:szCs w:val="20"/>
                <w:color w:val="auto"/>
              </w:rPr>
            </w:pPr>
            <w:r>
              <w:rPr>
                <w:rFonts w:ascii="Arial" w:cs="Arial" w:eastAsia="Arial" w:hAnsi="Arial"/>
                <w:sz w:val="18"/>
                <w:szCs w:val="18"/>
                <w:color w:val="auto"/>
                <w:w w:val="98"/>
              </w:rPr>
              <w:t>Rights Agreement, dated as of July 27, 1998 between Bank Boston, N.A. as Rights Agent and the Registrant.</w:t>
            </w: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10.40%**</w:t>
            </w:r>
          </w:p>
        </w:tc>
        <w:tc>
          <w:tcPr>
            <w:tcW w:w="9100" w:type="dxa"/>
            <w:vAlign w:val="bottom"/>
            <w:gridSpan w:val="2"/>
          </w:tcPr>
          <w:p>
            <w:pPr>
              <w:ind w:left="480"/>
              <w:spacing w:after="0"/>
              <w:rPr>
                <w:sz w:val="20"/>
                <w:szCs w:val="20"/>
                <w:color w:val="auto"/>
              </w:rPr>
            </w:pPr>
            <w:r>
              <w:rPr>
                <w:rFonts w:ascii="Arial" w:cs="Arial" w:eastAsia="Arial" w:hAnsi="Arial"/>
                <w:sz w:val="18"/>
                <w:szCs w:val="18"/>
                <w:color w:val="auto"/>
                <w:w w:val="88"/>
              </w:rPr>
              <w:t>Consulting Services Agreement dated as of July 27, 1998, as amended December 19, 1998 between Dr. John J. Schwartz</w:t>
            </w:r>
          </w:p>
        </w:tc>
      </w:tr>
      <w:tr>
        <w:trPr>
          <w:trHeight w:val="222"/>
        </w:trPr>
        <w:tc>
          <w:tcPr>
            <w:tcW w:w="1180" w:type="dxa"/>
            <w:vAlign w:val="bottom"/>
          </w:tcPr>
          <w:p>
            <w:pPr>
              <w:spacing w:after="0"/>
              <w:rPr>
                <w:sz w:val="19"/>
                <w:szCs w:val="19"/>
                <w:color w:val="auto"/>
              </w:rPr>
            </w:pPr>
          </w:p>
        </w:tc>
        <w:tc>
          <w:tcPr>
            <w:tcW w:w="9100" w:type="dxa"/>
            <w:vAlign w:val="bottom"/>
            <w:gridSpan w:val="2"/>
          </w:tcPr>
          <w:p>
            <w:pPr>
              <w:ind w:left="480"/>
              <w:spacing w:after="0"/>
              <w:rPr>
                <w:sz w:val="20"/>
                <w:szCs w:val="20"/>
                <w:color w:val="auto"/>
              </w:rPr>
            </w:pPr>
            <w:r>
              <w:rPr>
                <w:rFonts w:ascii="Arial" w:cs="Arial" w:eastAsia="Arial" w:hAnsi="Arial"/>
                <w:sz w:val="18"/>
                <w:szCs w:val="18"/>
                <w:color w:val="auto"/>
              </w:rPr>
              <w:t>and the Registrant.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10.41%**</w:t>
            </w:r>
          </w:p>
        </w:tc>
        <w:tc>
          <w:tcPr>
            <w:tcW w:w="9100" w:type="dxa"/>
            <w:vAlign w:val="bottom"/>
            <w:gridSpan w:val="2"/>
          </w:tcPr>
          <w:p>
            <w:pPr>
              <w:ind w:left="480"/>
              <w:spacing w:after="0"/>
              <w:rPr>
                <w:sz w:val="20"/>
                <w:szCs w:val="20"/>
                <w:color w:val="auto"/>
              </w:rPr>
            </w:pPr>
            <w:r>
              <w:rPr>
                <w:rFonts w:ascii="Arial" w:cs="Arial" w:eastAsia="Arial" w:hAnsi="Arial"/>
                <w:sz w:val="18"/>
                <w:szCs w:val="18"/>
                <w:color w:val="auto"/>
              </w:rPr>
              <w:t>Letter Agreement dated as of December 19, 1998, between John J. Schwartz and the Registrant.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10.42%**</w:t>
            </w:r>
          </w:p>
        </w:tc>
        <w:tc>
          <w:tcPr>
            <w:tcW w:w="9100" w:type="dxa"/>
            <w:vAlign w:val="bottom"/>
            <w:gridSpan w:val="2"/>
          </w:tcPr>
          <w:p>
            <w:pPr>
              <w:ind w:left="480"/>
              <w:spacing w:after="0"/>
              <w:rPr>
                <w:sz w:val="20"/>
                <w:szCs w:val="20"/>
                <w:color w:val="auto"/>
              </w:rPr>
            </w:pPr>
            <w:r>
              <w:rPr>
                <w:rFonts w:ascii="Arial" w:cs="Arial" w:eastAsia="Arial" w:hAnsi="Arial"/>
                <w:sz w:val="18"/>
                <w:szCs w:val="18"/>
                <w:color w:val="auto"/>
                <w:w w:val="97"/>
              </w:rPr>
              <w:t>License Agreement dated as of October 27, 1998, between The Scripps Research Institute and the Registrant.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10.43%**</w:t>
            </w:r>
          </w:p>
        </w:tc>
        <w:tc>
          <w:tcPr>
            <w:tcW w:w="9100" w:type="dxa"/>
            <w:vAlign w:val="bottom"/>
            <w:gridSpan w:val="2"/>
          </w:tcPr>
          <w:p>
            <w:pPr>
              <w:ind w:left="480"/>
              <w:spacing w:after="0"/>
              <w:rPr>
                <w:sz w:val="20"/>
                <w:szCs w:val="20"/>
                <w:color w:val="auto"/>
              </w:rPr>
            </w:pPr>
            <w:r>
              <w:rPr>
                <w:rFonts w:ascii="Arial" w:cs="Arial" w:eastAsia="Arial" w:hAnsi="Arial"/>
                <w:sz w:val="18"/>
                <w:szCs w:val="18"/>
                <w:color w:val="auto"/>
                <w:w w:val="98"/>
              </w:rPr>
              <w:t>License Agreement dated as of October 27, 1998 between The Scripps Research Institute and the Registrant.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10.44%**</w:t>
            </w:r>
          </w:p>
        </w:tc>
        <w:tc>
          <w:tcPr>
            <w:tcW w:w="9100" w:type="dxa"/>
            <w:vAlign w:val="bottom"/>
            <w:gridSpan w:val="2"/>
          </w:tcPr>
          <w:p>
            <w:pPr>
              <w:ind w:left="480"/>
              <w:spacing w:after="0"/>
              <w:rPr>
                <w:sz w:val="20"/>
                <w:szCs w:val="20"/>
                <w:color w:val="auto"/>
              </w:rPr>
            </w:pPr>
            <w:r>
              <w:rPr>
                <w:rFonts w:ascii="Arial" w:cs="Arial" w:eastAsia="Arial" w:hAnsi="Arial"/>
                <w:sz w:val="18"/>
                <w:szCs w:val="18"/>
                <w:color w:val="auto"/>
                <w:w w:val="95"/>
              </w:rPr>
              <w:t>License Agreement dated as of November 20, 1998, between The Scripps Research Institute and the Registrant.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10.45%%**</w:t>
            </w:r>
          </w:p>
        </w:tc>
        <w:tc>
          <w:tcPr>
            <w:tcW w:w="9100" w:type="dxa"/>
            <w:vAlign w:val="bottom"/>
            <w:gridSpan w:val="2"/>
          </w:tcPr>
          <w:p>
            <w:pPr>
              <w:ind w:left="480"/>
              <w:spacing w:after="0"/>
              <w:rPr>
                <w:sz w:val="20"/>
                <w:szCs w:val="20"/>
                <w:color w:val="auto"/>
              </w:rPr>
            </w:pPr>
            <w:r>
              <w:rPr>
                <w:rFonts w:ascii="Arial" w:cs="Arial" w:eastAsia="Arial" w:hAnsi="Arial"/>
                <w:sz w:val="18"/>
                <w:szCs w:val="18"/>
                <w:color w:val="auto"/>
                <w:w w:val="87"/>
              </w:rPr>
              <w:t>Purchase Agreement and License Agreement dated as of December 29, 1999, between Neurotech S.A. and the Registrant.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w w:val="94"/>
              </w:rPr>
              <w:t>10.46%%%%**</w:t>
            </w:r>
          </w:p>
        </w:tc>
        <w:tc>
          <w:tcPr>
            <w:tcW w:w="9100" w:type="dxa"/>
            <w:vAlign w:val="bottom"/>
            <w:gridSpan w:val="2"/>
          </w:tcPr>
          <w:p>
            <w:pPr>
              <w:ind w:left="480"/>
              <w:spacing w:after="0"/>
              <w:rPr>
                <w:sz w:val="20"/>
                <w:szCs w:val="20"/>
                <w:color w:val="auto"/>
              </w:rPr>
            </w:pPr>
            <w:r>
              <w:rPr>
                <w:rFonts w:ascii="Arial" w:cs="Arial" w:eastAsia="Arial" w:hAnsi="Arial"/>
                <w:sz w:val="18"/>
                <w:szCs w:val="18"/>
                <w:color w:val="auto"/>
              </w:rPr>
              <w:t>License Agreement, dated as of June 1999, between The Scripps Research Institute and the Registrant.</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4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5"/>
                <w:szCs w:val="15"/>
                <w:color w:val="auto"/>
              </w:rPr>
            </w:pPr>
          </w:p>
        </w:tc>
        <w:tc>
          <w:tcPr>
            <w:tcW w:w="9140" w:type="dxa"/>
            <w:vAlign w:val="bottom"/>
          </w:tcPr>
          <w:p>
            <w:pPr>
              <w:ind w:left="4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9140" w:type="dxa"/>
            <w:vAlign w:val="bottom"/>
            <w:tcBorders>
              <w:bottom w:val="single" w:sz="8" w:color="808080"/>
            </w:tcBorders>
          </w:tcPr>
          <w:p>
            <w:pPr>
              <w:spacing w:after="0"/>
              <w:rPr>
                <w:sz w:val="8"/>
                <w:szCs w:val="8"/>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10.47X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Form of Registration Rights Agreement, dated as of July 31, 2000, between StemCells, Inc. and investors.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10.48X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Subscription Agreement, dated as of July 31, 2000, between StemCells, Inc. and Millennium Partners,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10.49XXX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w w:val="93"/>
              </w:rPr>
              <w:t>Common Stock Purchase Agreement, dated as of May 10, 2001, between the Company and Sativum Investments Limited.</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10.50XXX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w w:val="88"/>
              </w:rPr>
              <w:t>Escrow Agreement, dated as of May 10, 2001, among the Company, Sativum Investments Limited and Epstein, Becker &amp; Green,</w:t>
            </w:r>
          </w:p>
        </w:tc>
      </w:tr>
      <w:tr>
        <w:trPr>
          <w:trHeight w:val="222"/>
        </w:trPr>
        <w:tc>
          <w:tcPr>
            <w:tcW w:w="840" w:type="dxa"/>
            <w:vAlign w:val="bottom"/>
          </w:tcPr>
          <w:p>
            <w:pPr>
              <w:spacing w:after="0"/>
              <w:rPr>
                <w:sz w:val="19"/>
                <w:szCs w:val="19"/>
                <w:color w:val="auto"/>
              </w:rPr>
            </w:pP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P.C.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10.51XX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License Agreement, dated as of October 30, 2000, between the Company and Neuro Spheres Ltd.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10.52XX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Letter Agreement, dated January 2, 2001, between the Company and Martin McGlynn.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10.53XX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Lease, dated February 1, 2001, between the Board of Trustees of Stanford University and the Company.</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10.54XXX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w w:val="95"/>
              </w:rPr>
              <w:t>Registration Rights Agreement, dated as of June 21, 2001, by and between the Company and Millennium Partners,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10.55XXX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Subscription Agreement, dated as of June 21, 2001, by and between the Company and Millennium Partners,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w w:val="88"/>
              </w:rPr>
              <w:t>10.56%%%</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2001 Equity Incentive Plan.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10.57[**]</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Subscription Agreement dated as of December 4, 2001 between StemCells, Inc. and Riverview Group, L.L.C.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10.58[**]</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w w:val="98"/>
              </w:rPr>
              <w:t>Registration Rights Agreement dated as of December 4, 2001 between StemCells, Inc. and Riverview Group, L.L.C.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10.59[**]</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Agreement dated as of December 4, 2001 between</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4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5"/>
                <w:szCs w:val="15"/>
                <w:color w:val="auto"/>
              </w:rPr>
            </w:pPr>
          </w:p>
        </w:tc>
        <w:tc>
          <w:tcPr>
            <w:tcW w:w="9140" w:type="dxa"/>
            <w:vAlign w:val="bottom"/>
          </w:tcPr>
          <w:p>
            <w:pPr>
              <w:ind w:left="4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9140" w:type="dxa"/>
            <w:vAlign w:val="bottom"/>
            <w:tcBorders>
              <w:bottom w:val="single" w:sz="8" w:color="808080"/>
            </w:tcBorders>
          </w:tcPr>
          <w:p>
            <w:pPr>
              <w:spacing w:after="0"/>
              <w:rPr>
                <w:sz w:val="8"/>
                <w:szCs w:val="8"/>
                <w:color w:val="auto"/>
              </w:rPr>
            </w:pPr>
          </w:p>
        </w:tc>
      </w:tr>
      <w:tr>
        <w:trPr>
          <w:trHeight w:val="316"/>
        </w:trPr>
        <w:tc>
          <w:tcPr>
            <w:tcW w:w="840" w:type="dxa"/>
            <w:vAlign w:val="bottom"/>
          </w:tcPr>
          <w:p>
            <w:pPr>
              <w:spacing w:after="0"/>
              <w:rPr>
                <w:sz w:val="24"/>
                <w:szCs w:val="24"/>
                <w:color w:val="auto"/>
              </w:rPr>
            </w:pP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StemCells, Inc. and Millennium Partners,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10.60[**]</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w w:val="94"/>
              </w:rPr>
              <w:t>Agreement dated as of December 4, 2001 among StemCells, Inc., Millennium Partners, L.P. and Riverview Group, L.L.C.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10.61[***]</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Agreement dated as of April 9, 2003 between StemCells, Inc. and Riverview Group, L.L.C.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10.62[X]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w w:val="93"/>
              </w:rPr>
              <w:t>Form of Registration Rights Agreement dated as of May 15, 2003 between StemCells, Inc. and The Riverview Group, LLC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10.63[XX]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Securities Purchase Agreement dated as of May 7, 2003 between StemCells, Inc. and The Riverview Group, LLC.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21.1X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Consent of Ernst &amp; Young LLP, Independent Auditors.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23.2[XXX]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Consent of Ropes &amp; Gray LLP (included in the form of opinion filed as Exhibit 5.1).</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24.1[XXX]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Power of Attorney pursuant to which amendments to this registration statement may be filed.</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99.1XX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w w:val="91"/>
              </w:rPr>
              <w:t>Side Letter, dated March 17, 2001, between the Company and Oleh S. Hnatiuk regarding NeuroSpheres License Agreement,</w:t>
            </w:r>
          </w:p>
        </w:tc>
      </w:tr>
      <w:tr>
        <w:trPr>
          <w:trHeight w:val="222"/>
        </w:trPr>
        <w:tc>
          <w:tcPr>
            <w:tcW w:w="840" w:type="dxa"/>
            <w:vAlign w:val="bottom"/>
          </w:tcPr>
          <w:p>
            <w:pPr>
              <w:spacing w:after="0"/>
              <w:rPr>
                <w:sz w:val="19"/>
                <w:szCs w:val="19"/>
                <w:color w:val="auto"/>
              </w:rPr>
            </w:pP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dated October 30, 2000.</w:t>
            </w:r>
          </w:p>
        </w:tc>
      </w:tr>
    </w:tbl>
    <w:p>
      <w:pPr>
        <w:spacing w:after="0" w:line="237" w:lineRule="exact"/>
        <w:rPr>
          <w:sz w:val="20"/>
          <w:szCs w:val="20"/>
          <w:color w:val="auto"/>
        </w:rPr>
      </w:pPr>
    </w:p>
    <w:p>
      <w:pPr>
        <w:ind w:left="1180" w:right="40" w:hanging="1172"/>
        <w:spacing w:after="0" w:line="268" w:lineRule="auto"/>
        <w:tabs>
          <w:tab w:leader="none" w:pos="10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33-85494.</w:t>
      </w:r>
    </w:p>
    <w:p>
      <w:pPr>
        <w:spacing w:after="0" w:line="186" w:lineRule="exact"/>
        <w:rPr>
          <w:sz w:val="20"/>
          <w:szCs w:val="20"/>
          <w:color w:val="auto"/>
        </w:rPr>
      </w:pPr>
    </w:p>
    <w:p>
      <w:pPr>
        <w:ind w:left="1180" w:right="40" w:hanging="1172"/>
        <w:spacing w:after="0" w:line="268" w:lineRule="auto"/>
        <w:tabs>
          <w:tab w:leader="none" w:pos="10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S-3, File No. 33-97272.</w:t>
      </w:r>
    </w:p>
    <w:p>
      <w:pPr>
        <w:spacing w:after="0" w:line="186" w:lineRule="exact"/>
        <w:rPr>
          <w:sz w:val="20"/>
          <w:szCs w:val="20"/>
          <w:color w:val="auto"/>
        </w:rPr>
      </w:pPr>
    </w:p>
    <w:p>
      <w:pPr>
        <w:ind w:left="1180" w:right="40" w:hanging="1172"/>
        <w:spacing w:after="0" w:line="268" w:lineRule="auto"/>
        <w:tabs>
          <w:tab w:leader="none" w:pos="10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33-91228.</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1180" w:right="300" w:hanging="1172"/>
        <w:spacing w:after="0" w:line="268" w:lineRule="auto"/>
        <w:tabs>
          <w:tab w:leader="none" w:pos="10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Registration Statement on Form S-1, File No. 33-45739.</w:t>
      </w:r>
    </w:p>
    <w:p>
      <w:pPr>
        <w:spacing w:after="0" w:line="186" w:lineRule="exact"/>
        <w:rPr>
          <w:sz w:val="20"/>
          <w:szCs w:val="20"/>
          <w:color w:val="auto"/>
        </w:rPr>
      </w:pPr>
    </w:p>
    <w:p>
      <w:pPr>
        <w:ind w:left="1180" w:right="300" w:hanging="1172"/>
        <w:spacing w:after="0" w:line="268" w:lineRule="auto"/>
        <w:tabs>
          <w:tab w:leader="none" w:pos="10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Annual Report on Form 10-K for fiscal year ended December 31, 1992 and filed March 30, 1993.</w:t>
      </w:r>
    </w:p>
    <w:p>
      <w:pPr>
        <w:spacing w:after="0" w:line="186" w:lineRule="exact"/>
        <w:rPr>
          <w:sz w:val="20"/>
          <w:szCs w:val="20"/>
          <w:color w:val="auto"/>
        </w:rPr>
      </w:pPr>
    </w:p>
    <w:p>
      <w:pPr>
        <w:ind w:left="1180" w:right="440" w:hanging="1172"/>
        <w:spacing w:after="0" w:line="268" w:lineRule="auto"/>
        <w:tabs>
          <w:tab w:leader="none" w:pos="10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86" w:lineRule="exact"/>
        <w:rPr>
          <w:sz w:val="20"/>
          <w:szCs w:val="20"/>
          <w:color w:val="auto"/>
        </w:rPr>
      </w:pPr>
    </w:p>
    <w:p>
      <w:pPr>
        <w:ind w:left="1180" w:right="180" w:hanging="1172"/>
        <w:spacing w:after="0" w:line="268" w:lineRule="auto"/>
        <w:tabs>
          <w:tab w:leader="none" w:pos="10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Quarterly Report on Form l0-Q for the quarter ended March 31, 1994 and filed on May 14, 1994.</w:t>
      </w:r>
    </w:p>
    <w:p>
      <w:pPr>
        <w:spacing w:after="0" w:line="186" w:lineRule="exact"/>
        <w:rPr>
          <w:sz w:val="20"/>
          <w:szCs w:val="20"/>
          <w:color w:val="auto"/>
        </w:rPr>
      </w:pPr>
    </w:p>
    <w:p>
      <w:pPr>
        <w:ind w:left="1180" w:right="40" w:hanging="1172"/>
        <w:spacing w:after="0" w:line="268" w:lineRule="auto"/>
        <w:tabs>
          <w:tab w:leader="none" w:pos="10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186" w:lineRule="exact"/>
        <w:rPr>
          <w:sz w:val="20"/>
          <w:szCs w:val="20"/>
          <w:color w:val="auto"/>
        </w:rPr>
      </w:pPr>
    </w:p>
    <w:p>
      <w:pPr>
        <w:ind w:left="1180" w:right="260" w:hanging="1172"/>
        <w:spacing w:after="0" w:line="268" w:lineRule="auto"/>
        <w:tabs>
          <w:tab w:leader="none" w:pos="10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by reference to, the Registrant’s Quarterly Report on Form 10-Q for the quarter ended March 31, 1996.</w:t>
      </w:r>
    </w:p>
    <w:p>
      <w:pPr>
        <w:spacing w:after="0" w:line="186" w:lineRule="exact"/>
        <w:rPr>
          <w:sz w:val="20"/>
          <w:szCs w:val="20"/>
          <w:color w:val="auto"/>
        </w:rPr>
      </w:pPr>
    </w:p>
    <w:p>
      <w:pPr>
        <w:ind w:left="1180" w:right="260" w:hanging="1172"/>
        <w:spacing w:after="0" w:line="268" w:lineRule="auto"/>
        <w:tabs>
          <w:tab w:leader="none" w:pos="10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by reference to, the Registrant’s Quarterly Report on Form 10-Q for the quarter ended September 30, 1996.</w:t>
      </w:r>
    </w:p>
    <w:p>
      <w:pPr>
        <w:spacing w:after="0" w:line="186" w:lineRule="exact"/>
        <w:rPr>
          <w:sz w:val="20"/>
          <w:szCs w:val="20"/>
          <w:color w:val="auto"/>
        </w:rPr>
      </w:pPr>
    </w:p>
    <w:p>
      <w:pPr>
        <w:ind w:left="1180" w:right="160" w:hanging="1172"/>
        <w:spacing w:after="0" w:line="268" w:lineRule="auto"/>
        <w:tabs>
          <w:tab w:leader="none" w:pos="10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186" w:lineRule="exact"/>
        <w:rPr>
          <w:sz w:val="20"/>
          <w:szCs w:val="20"/>
          <w:color w:val="auto"/>
        </w:rPr>
      </w:pPr>
    </w:p>
    <w:p>
      <w:pPr>
        <w:ind w:left="1180" w:right="160" w:hanging="1172"/>
        <w:spacing w:after="0" w:line="268" w:lineRule="auto"/>
        <w:tabs>
          <w:tab w:leader="none" w:pos="10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1995.</w:t>
      </w:r>
    </w:p>
    <w:p>
      <w:pPr>
        <w:spacing w:after="0" w:line="186" w:lineRule="exact"/>
        <w:rPr>
          <w:sz w:val="20"/>
          <w:szCs w:val="20"/>
          <w:color w:val="auto"/>
        </w:rPr>
      </w:pPr>
    </w:p>
    <w:p>
      <w:pPr>
        <w:ind w:left="1180" w:right="140" w:hanging="1172"/>
        <w:spacing w:after="0" w:line="268" w:lineRule="auto"/>
        <w:tabs>
          <w:tab w:leader="none" w:pos="10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185" w:lineRule="exact"/>
        <w:rPr>
          <w:rFonts w:ascii="Arial" w:cs="Arial" w:eastAsia="Arial" w:hAnsi="Arial"/>
          <w:sz w:val="18"/>
          <w:szCs w:val="18"/>
          <w:color w:val="auto"/>
        </w:rPr>
      </w:pPr>
    </w:p>
    <w:p>
      <w:pPr>
        <w:ind w:left="1180" w:right="40" w:hanging="1172"/>
        <w:spacing w:after="0" w:line="268" w:lineRule="auto"/>
        <w:tabs>
          <w:tab w:leader="none" w:pos="10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S-8, File No. 333-37313.</w:t>
      </w:r>
    </w:p>
    <w:p>
      <w:pPr>
        <w:spacing w:after="0" w:line="186" w:lineRule="exact"/>
        <w:rPr>
          <w:sz w:val="20"/>
          <w:szCs w:val="20"/>
          <w:color w:val="auto"/>
        </w:rPr>
      </w:pPr>
    </w:p>
    <w:p>
      <w:pPr>
        <w:ind w:left="1180" w:hanging="1172"/>
        <w:spacing w:after="0" w:line="268" w:lineRule="auto"/>
        <w:tabs>
          <w:tab w:leader="none" w:pos="10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180" w:right="200" w:hanging="1172"/>
        <w:spacing w:after="0" w:line="268" w:lineRule="auto"/>
        <w:tabs>
          <w:tab w:leader="none" w:pos="104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August 3, 1998.</w:t>
      </w:r>
    </w:p>
    <w:p>
      <w:pPr>
        <w:spacing w:after="0" w:line="186" w:lineRule="exact"/>
        <w:rPr>
          <w:sz w:val="20"/>
          <w:szCs w:val="20"/>
          <w:color w:val="auto"/>
        </w:rPr>
      </w:pPr>
    </w:p>
    <w:p>
      <w:pPr>
        <w:ind w:left="1180" w:hanging="1172"/>
        <w:spacing w:after="0" w:line="268" w:lineRule="auto"/>
        <w:tabs>
          <w:tab w:leader="none" w:pos="10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186" w:lineRule="exact"/>
        <w:rPr>
          <w:sz w:val="20"/>
          <w:szCs w:val="20"/>
          <w:color w:val="auto"/>
        </w:rPr>
      </w:pPr>
    </w:p>
    <w:p>
      <w:pPr>
        <w:ind w:left="1180" w:right="340" w:hanging="1172"/>
        <w:spacing w:after="0" w:line="268" w:lineRule="auto"/>
        <w:tabs>
          <w:tab w:leader="none" w:pos="10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on January 14, 2000.</w:t>
      </w:r>
    </w:p>
    <w:p>
      <w:pPr>
        <w:spacing w:after="0" w:line="186" w:lineRule="exact"/>
        <w:rPr>
          <w:sz w:val="20"/>
          <w:szCs w:val="20"/>
          <w:color w:val="auto"/>
        </w:rPr>
      </w:pPr>
    </w:p>
    <w:p>
      <w:pPr>
        <w:ind w:left="1180" w:right="280" w:hanging="1172"/>
        <w:spacing w:after="0" w:line="268" w:lineRule="auto"/>
        <w:tabs>
          <w:tab w:leader="none" w:pos="10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definitive proxy statement filed May 1, 2001.</w:t>
      </w:r>
    </w:p>
    <w:p>
      <w:pPr>
        <w:spacing w:after="0" w:line="186" w:lineRule="exact"/>
        <w:rPr>
          <w:sz w:val="20"/>
          <w:szCs w:val="20"/>
          <w:color w:val="auto"/>
        </w:rPr>
      </w:pPr>
    </w:p>
    <w:p>
      <w:pPr>
        <w:ind w:left="1180" w:hanging="1172"/>
        <w:spacing w:after="0" w:line="268" w:lineRule="auto"/>
        <w:tabs>
          <w:tab w:leader="none" w:pos="10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1999 and filed on April 17, 2000.</w:t>
      </w:r>
    </w:p>
    <w:p>
      <w:pPr>
        <w:spacing w:after="0" w:line="186" w:lineRule="exact"/>
        <w:rPr>
          <w:sz w:val="20"/>
          <w:szCs w:val="20"/>
          <w:color w:val="auto"/>
        </w:rPr>
      </w:pPr>
    </w:p>
    <w:p>
      <w:pPr>
        <w:ind w:left="1180" w:right="40" w:hanging="1172"/>
        <w:spacing w:after="0" w:line="268" w:lineRule="auto"/>
        <w:tabs>
          <w:tab w:leader="none" w:pos="1045"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on Form S-1, File No. 333-45496.</w:t>
      </w:r>
    </w:p>
    <w:p>
      <w:pPr>
        <w:spacing w:after="0" w:line="186" w:lineRule="exact"/>
        <w:rPr>
          <w:sz w:val="20"/>
          <w:szCs w:val="20"/>
          <w:color w:val="auto"/>
        </w:rPr>
      </w:pPr>
    </w:p>
    <w:p>
      <w:pPr>
        <w:ind w:left="1180" w:right="160" w:hanging="1172"/>
        <w:spacing w:after="0" w:line="268" w:lineRule="auto"/>
        <w:tabs>
          <w:tab w:leader="none" w:pos="10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186" w:lineRule="exact"/>
        <w:rPr>
          <w:sz w:val="20"/>
          <w:szCs w:val="20"/>
          <w:color w:val="auto"/>
        </w:rPr>
      </w:pPr>
    </w:p>
    <w:p>
      <w:pPr>
        <w:ind w:left="1180" w:right="300" w:hanging="1172"/>
        <w:spacing w:after="0" w:line="268" w:lineRule="auto"/>
        <w:tabs>
          <w:tab w:leader="none" w:pos="1045"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filed on Form S-1 as amended to Form S-3, File No. 333-61726.</w:t>
      </w:r>
    </w:p>
    <w:p>
      <w:pPr>
        <w:spacing w:after="0" w:line="186" w:lineRule="exact"/>
        <w:rPr>
          <w:sz w:val="20"/>
          <w:szCs w:val="20"/>
          <w:color w:val="auto"/>
        </w:rPr>
      </w:pPr>
    </w:p>
    <w:p>
      <w:pPr>
        <w:ind w:left="1180" w:right="200" w:hanging="1172"/>
        <w:spacing w:after="0" w:line="268" w:lineRule="auto"/>
        <w:tabs>
          <w:tab w:leader="none" w:pos="10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December 7, 2001.</w:t>
      </w:r>
    </w:p>
    <w:p>
      <w:pPr>
        <w:spacing w:after="0" w:line="186" w:lineRule="exact"/>
        <w:rPr>
          <w:sz w:val="20"/>
          <w:szCs w:val="20"/>
          <w:color w:val="auto"/>
        </w:rPr>
      </w:pPr>
    </w:p>
    <w:p>
      <w:pPr>
        <w:ind w:left="1180" w:right="300" w:hanging="1172"/>
        <w:spacing w:after="0" w:line="268" w:lineRule="auto"/>
        <w:tabs>
          <w:tab w:leader="none" w:pos="10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filed on Form S-3, File No. 333-75806.</w:t>
      </w:r>
    </w:p>
    <w:p>
      <w:pPr>
        <w:spacing w:after="0" w:line="186" w:lineRule="exact"/>
        <w:rPr>
          <w:sz w:val="20"/>
          <w:szCs w:val="20"/>
          <w:color w:val="auto"/>
        </w:rPr>
      </w:pPr>
    </w:p>
    <w:p>
      <w:pPr>
        <w:ind w:left="1180" w:right="200" w:hanging="1172"/>
        <w:spacing w:after="0" w:line="268" w:lineRule="auto"/>
        <w:tabs>
          <w:tab w:leader="none" w:pos="104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April 15, 2003.</w:t>
      </w:r>
    </w:p>
    <w:p>
      <w:pPr>
        <w:spacing w:after="0" w:line="186" w:lineRule="exact"/>
        <w:rPr>
          <w:sz w:val="20"/>
          <w:szCs w:val="20"/>
          <w:color w:val="auto"/>
        </w:rPr>
      </w:pPr>
    </w:p>
    <w:p>
      <w:pPr>
        <w:ind w:left="1180" w:right="200" w:hanging="1172"/>
        <w:spacing w:after="0" w:line="268" w:lineRule="auto"/>
        <w:tabs>
          <w:tab w:leader="none" w:pos="10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May 13, 2003.</w:t>
      </w:r>
    </w:p>
    <w:p>
      <w:pPr>
        <w:spacing w:after="0" w:line="186" w:lineRule="exact"/>
        <w:rPr>
          <w:sz w:val="20"/>
          <w:szCs w:val="20"/>
          <w:color w:val="auto"/>
        </w:rPr>
      </w:pPr>
    </w:p>
    <w:p>
      <w:pPr>
        <w:ind w:left="1180" w:right="200" w:hanging="1172"/>
        <w:spacing w:after="0" w:line="268" w:lineRule="auto"/>
        <w:tabs>
          <w:tab w:leader="none" w:pos="1045"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May 15, 2003.</w:t>
      </w:r>
    </w:p>
    <w:p>
      <w:pPr>
        <w:spacing w:after="0" w:line="186" w:lineRule="exact"/>
        <w:rPr>
          <w:sz w:val="20"/>
          <w:szCs w:val="20"/>
          <w:color w:val="auto"/>
        </w:rPr>
      </w:pPr>
    </w:p>
    <w:p>
      <w:pPr>
        <w:ind w:left="1180" w:right="300" w:hanging="1172"/>
        <w:spacing w:after="0" w:line="268" w:lineRule="auto"/>
        <w:tabs>
          <w:tab w:leader="none" w:pos="10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filed on Form S-3, File No. 333-105664.</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II-21</w:t>
      </w:r>
    </w:p>
    <w:p>
      <w:pPr>
        <w:sectPr>
          <w:pgSz w:w="11900" w:h="16838" w:orient="portrait"/>
          <w:cols w:equalWidth="0" w:num="1">
            <w:col w:w="11420"/>
          </w:cols>
          <w:pgMar w:left="240" w:top="419" w:right="239" w:bottom="1440" w:gutter="0" w:footer="0" w:header="0"/>
        </w:sectPr>
      </w:pPr>
    </w:p>
    <w:bookmarkStart w:id="43" w:name="page44"/>
    <w:bookmarkEnd w:id="43"/>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in the Registration Statement (Form S-3) and related Prospectus of StemCells, Inc. for the registration of 7,250,000 shares of its common stock and to the incorporation by reference therein of our report dated March 4, 2003, with respect to the consolidated financial statements of StemCells, Inc. included in its Annual Report (Form 10-K) for the year ended December 31, 2002, filed with the Securities and Exchange Commission.</w:t>
      </w:r>
    </w:p>
    <w:p>
      <w:pPr>
        <w:spacing w:after="0" w:line="20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238" w:lineRule="auto"/>
        <w:rPr>
          <w:sz w:val="20"/>
          <w:szCs w:val="20"/>
          <w:color w:val="auto"/>
        </w:rPr>
      </w:pPr>
      <w:r>
        <w:rPr>
          <w:rFonts w:ascii="Courier New" w:cs="Courier New" w:eastAsia="Courier New" w:hAnsi="Courier New"/>
          <w:sz w:val="18"/>
          <w:szCs w:val="18"/>
          <w:color w:val="auto"/>
        </w:rPr>
        <w:t>May 27, 2003</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decimal"/>
      <w:start w:val="1"/>
    </w:lvl>
    <w:lvl w:ilvl="1">
      <w:lvlJc w:val="left"/>
      <w:lvlText w:val="(%2)"/>
      <w:numFmt w:val="decimal"/>
      <w:start w:val="617"/>
    </w:lvl>
  </w:abstractNum>
  <w:abstractNum w:abstractNumId="1">
    <w:nsid w:val="614FD4A1"/>
    <w:multiLevelType w:val="hybridMultilevel"/>
    <w:lvl w:ilvl="0">
      <w:lvlJc w:val="left"/>
      <w:lvlText w:val="(%1)"/>
      <w:numFmt w:val="decimal"/>
      <w:start w:val="617"/>
    </w:lvl>
    <w:lvl w:ilvl="1">
      <w:lvlJc w:val="left"/>
      <w:lvlText w:val="%2"/>
      <w:numFmt w:val="decimal"/>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decimal"/>
      <w:start w:val="4"/>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1)"/>
      <w:numFmt w:val="lowerRoman"/>
      <w:start w:val="4"/>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1"/>
      <w:numFmt w:val="upperLetter"/>
      <w:start w:val="50"/>
    </w:lvl>
  </w:abstractNum>
  <w:abstractNum w:abstractNumId="25">
    <w:nsid w:val="4B588F54"/>
    <w:multiLevelType w:val="hybridMultilevel"/>
    <w:lvl w:ilvl="0">
      <w:lvlJc w:val="left"/>
      <w:lvlText w:val="%1"/>
      <w:numFmt w:val="upperLetter"/>
      <w:start w:val="76"/>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1"/>
      <w:numFmt w:val="upperLetter"/>
      <w:start w:val="102"/>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1]"/>
      <w:numFmt w:val="upperLetter"/>
      <w:start w:val="24"/>
    </w:lvl>
  </w:abstractNum>
  <w:abstractNum w:abstractNumId="30">
    <w:nsid w:val="32FFF902"/>
    <w:multiLevelType w:val="hybridMultilevel"/>
    <w:lvl w:ilvl="0">
      <w:lvlJc w:val="left"/>
      <w:lvlText w:val="[%1]"/>
      <w:numFmt w:val="upperLetter"/>
      <w:start w:val="50"/>
    </w:lvl>
  </w:abstractNum>
  <w:abstractNum w:abstractNumId="31">
    <w:nsid w:val="684A481A"/>
    <w:multiLevelType w:val="hybridMultilevel"/>
    <w:lvl w:ilvl="0">
      <w:lvlJc w:val="left"/>
      <w:lvlText w:val="[%1]"/>
      <w:numFmt w:val="upperLetter"/>
      <w:start w:val="76"/>
    </w:lvl>
  </w:abstractNum>
  <w:abstractNum w:abstractNumId="32">
    <w:nsid w:val="579478FE"/>
    <w:multiLevelType w:val="hybridMultilevel"/>
    <w:lvl w:ilvl="0">
      <w:lvlJc w:val="left"/>
      <w:lvlText w:val="(%1)"/>
      <w:numFmt w:val="lowerLetter"/>
      <w:start w:val="1"/>
    </w:lvl>
  </w:abstractNum>
  <w:abstractNum w:abstractNumId="33">
    <w:nsid w:val="749ABB43"/>
    <w:multiLevelType w:val="hybridMultilevel"/>
    <w:lvl w:ilvl="0">
      <w:lvlJc w:val="left"/>
      <w:lvlText w:val="(%1)"/>
      <w:numFmt w:val="decimal"/>
      <w:start w:val="1"/>
    </w:lvl>
    <w:lvl w:ilvl="1">
      <w:lvlJc w:val="left"/>
      <w:lvlText w:val="(%2)"/>
      <w:numFmt w:val="lowerRoman"/>
      <w:start w:val="1"/>
    </w:lvl>
  </w:abstractNum>
  <w:abstractNum w:abstractNumId="34">
    <w:nsid w:val="3DC240FB"/>
    <w:multiLevelType w:val="hybridMultilevel"/>
    <w:lvl w:ilvl="0">
      <w:lvlJc w:val="left"/>
      <w:lvlText w:val="%1"/>
      <w:numFmt w:val="lowerLetter"/>
      <w:start w:val="1"/>
    </w:lvl>
    <w:lvl w:ilvl="1">
      <w:lvlJc w:val="left"/>
      <w:lvlText w:val="(%2)"/>
      <w:numFmt w:val="decimal"/>
      <w:start w:val="2"/>
    </w:lvl>
  </w:abstractNum>
  <w:abstractNum w:abstractNumId="35">
    <w:nsid w:val="1BA026FA"/>
    <w:multiLevelType w:val="hybridMultilevel"/>
    <w:lvl w:ilvl="0">
      <w:lvlJc w:val="left"/>
      <w:lvlText w:val="(%1)"/>
      <w:numFmt w:val="lowerLetter"/>
      <w:start w:val="3"/>
    </w:lvl>
    <w:lvl w:ilvl="1">
      <w:lvlJc w:val="left"/>
      <w:lvlText w:val="%2"/>
      <w:numFmt w:val="decimal"/>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X"/>
      <w:numFmt w:val="bullet"/>
      <w:start w:val="1"/>
    </w:lvl>
  </w:abstractNum>
  <w:abstractNum w:abstractNumId="58">
    <w:nsid w:val="7E0C57B1"/>
    <w:multiLevelType w:val="hybridMultilevel"/>
    <w:lvl w:ilvl="0">
      <w:lvlJc w:val="left"/>
      <w:lvlText w:val="%1"/>
      <w:numFmt w:val="upperLetter"/>
      <w:start w:val="50"/>
    </w:lvl>
  </w:abstractNum>
  <w:abstractNum w:abstractNumId="59">
    <w:nsid w:val="77AE35EB"/>
    <w:multiLevelType w:val="hybridMultilevel"/>
    <w:lvl w:ilvl="0">
      <w:lvlJc w:val="left"/>
      <w:lvlText w:val="%1"/>
      <w:numFmt w:val="upperLetter"/>
      <w:start w:val="76"/>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1"/>
      <w:numFmt w:val="upperLetter"/>
      <w:start w:val="102"/>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1]"/>
      <w:numFmt w:val="upperLetter"/>
      <w:start w:val="24"/>
    </w:lvl>
  </w:abstractNum>
  <w:abstractNum w:abstractNumId="64">
    <w:nsid w:val="25A70BF7"/>
    <w:multiLevelType w:val="hybridMultilevel"/>
    <w:lvl w:ilvl="0">
      <w:lvlJc w:val="left"/>
      <w:lvlText w:val="[%1]"/>
      <w:numFmt w:val="upperLetter"/>
      <w:start w:val="50"/>
    </w:lvl>
  </w:abstractNum>
  <w:abstractNum w:abstractNumId="65">
    <w:nsid w:val="1DBABF00"/>
    <w:multiLevelType w:val="hybridMultilevel"/>
    <w:lvl w:ilvl="0">
      <w:lvlJc w:val="left"/>
      <w:lvlText w:val="[%1]"/>
      <w:numFmt w:val="upperLetter"/>
      <w:start w:val="7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2019-12-13T20:58:34Z</dcterms:created>
  <dcterms:modified xsi:type="dcterms:W3CDTF">2019-12-13T20:58:34Z</dcterms:modified>
</cp:coreProperties>
</file>