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29,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39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000-19871</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color w:val="auto"/>
              </w:rPr>
              <w:t>94-3078125</w:t>
            </w:r>
          </w:p>
        </w:tc>
      </w:tr>
      <w:tr>
        <w:trPr>
          <w:trHeight w:val="202"/>
        </w:trPr>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34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34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3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3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color w:val="auto"/>
                <w:w w:val="93"/>
              </w:rPr>
              <w:t>3155 Porter Drive, Palo Alto, California</w:t>
            </w: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1490"/>
              <w:spacing w:after="0"/>
              <w:rPr>
                <w:sz w:val="20"/>
                <w:szCs w:val="20"/>
                <w:color w:val="auto"/>
              </w:rPr>
            </w:pPr>
            <w:r>
              <w:rPr>
                <w:rFonts w:ascii="Arial" w:cs="Arial" w:eastAsia="Arial" w:hAnsi="Arial"/>
                <w:sz w:val="18"/>
                <w:szCs w:val="18"/>
                <w:color w:val="auto"/>
              </w:rPr>
              <w:t>94304</w:t>
            </w:r>
          </w:p>
        </w:tc>
      </w:tr>
      <w:tr>
        <w:trPr>
          <w:trHeight w:val="230"/>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650.475.3100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29, 2006, StemCells, Inc. (the “Company”) entered into a Sales Agreement (the “Agreement”) with Cantor Fitzgerald &amp; Co. (“Cantor”) for the purpose of selling shares of the Company’s common stock in at-the-market offerings or negotiated transactions from time to time. The Company may offer up to 10,000,000 shares of its common stock pursuant to the Agreement. Cantor will be paid compensation equal to 5.0% of the gross proceeds from the sales of common stock pursuant to the terms of the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Agreement is attached as Exhibit 10.1 to this Current Report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 Sales Agreement between StemCells, Inc. and Cantor Fitzgerald &amp; Co. dated December 29,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December 29, 2006</w:t>
      </w:r>
      <w:r>
        <w:rPr>
          <w:sz w:val="20"/>
          <w:szCs w:val="20"/>
          <w:color w:val="auto"/>
        </w:rPr>
        <w:tab/>
      </w:r>
      <w:r>
        <w:rPr>
          <w:rFonts w:ascii="Arial" w:cs="Arial" w:eastAsia="Arial" w:hAnsi="Arial"/>
          <w:sz w:val="16"/>
          <w:szCs w:val="16"/>
          <w:color w:val="auto"/>
        </w:rPr>
        <w:t>StemCells, Inc.</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Martin McGlynn</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288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240"/>
        <w:spacing w:after="0"/>
        <w:tabs>
          <w:tab w:leader="none" w:pos="58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spacing w:after="0"/>
        <w:tabs>
          <w:tab w:leader="none" w:pos="1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Sales Agreement between StemCells, Inc. and Cantor Fitzgerald &amp; Co. dated December 29, 2006</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EQUITY OFFERING</w:t>
      </w:r>
      <w:r>
        <w:rPr>
          <w:rFonts w:ascii="Arial" w:cs="Arial" w:eastAsia="Arial" w:hAnsi="Arial"/>
          <w:sz w:val="15"/>
          <w:szCs w:val="15"/>
          <w:b w:val="1"/>
          <w:bCs w:val="1"/>
          <w:u w:val="single" w:color="auto"/>
          <w:color w:val="auto"/>
        </w:rPr>
        <w:t>SM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29,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East 59th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color w:val="auto"/>
        </w:rPr>
        <w:t>STEMCELLS,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Cantor Fitzgerald &amp; Co. (“</w:t>
      </w:r>
      <w:r>
        <w:rPr>
          <w:rFonts w:ascii="Arial" w:cs="Arial" w:eastAsia="Arial" w:hAnsi="Arial"/>
          <w:sz w:val="18"/>
          <w:szCs w:val="18"/>
          <w:b w:val="1"/>
          <w:bCs w:val="1"/>
          <w:u w:val="single" w:color="auto"/>
          <w:color w:val="auto"/>
        </w:rPr>
        <w:t>CF&amp;Co</w:t>
      </w:r>
      <w:r>
        <w:rPr>
          <w:rFonts w:ascii="Arial" w:cs="Arial" w:eastAsia="Arial" w:hAnsi="Arial"/>
          <w:sz w:val="18"/>
          <w:szCs w:val="18"/>
          <w:color w:val="auto"/>
        </w:rPr>
        <w:t>”), as follows:</w:t>
      </w:r>
    </w:p>
    <w:p>
      <w:pPr>
        <w:spacing w:after="0" w:line="58" w:lineRule="exact"/>
        <w:rPr>
          <w:sz w:val="20"/>
          <w:szCs w:val="20"/>
          <w:color w:val="auto"/>
        </w:rPr>
      </w:pPr>
    </w:p>
    <w:p>
      <w:pPr>
        <w:ind w:right="140" w:firstLine="233"/>
        <w:spacing w:after="0" w:line="297" w:lineRule="auto"/>
        <w:tabs>
          <w:tab w:leader="none" w:pos="405"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CF&amp;Co, acting as agent and/or principal, up to 10,000,000 shares of the Company’s common stock, par value $.01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The issuance and sale of Shares through CF&amp;Co will be effected pursuant to the Registration Statement (as defined below) filed by the Company and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to issue Common Stock.</w:t>
      </w:r>
    </w:p>
    <w:p>
      <w:pPr>
        <w:spacing w:after="0" w:line="50" w:lineRule="exact"/>
        <w:rPr>
          <w:sz w:val="20"/>
          <w:szCs w:val="20"/>
          <w:color w:val="auto"/>
        </w:rPr>
      </w:pPr>
    </w:p>
    <w:p>
      <w:pPr>
        <w:ind w:right="120" w:firstLine="222"/>
        <w:spacing w:after="0" w:line="287"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with the Commission a registration statement on Form S-3 (File No. 333-128797), including a base prospectus, with respect to equity offerings, including the Shares,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Company has prepared a prospectus supplement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CF&amp;Co, for use by CF&amp;Co, copies of one or more prospectuses included as part of such registration statement, as supplemented by the Prospectus Supplement, relating to the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collectively, are herein called the “</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Statement</w:t>
      </w:r>
      <w:r>
        <w:rPr>
          <w:rFonts w:ascii="Arial" w:cs="Arial" w:eastAsia="Arial" w:hAnsi="Arial"/>
          <w:sz w:val="16"/>
          <w:szCs w:val="16"/>
          <w:color w:val="auto"/>
        </w:rPr>
        <w:t>,” and the base prospectus, including all documents incorporated therein by reference, included in the Registration Statement, as it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by the Prospectus Supplement, in the form filed by the Company with the Commission pursuant to Rule 424(b) under the Securities Act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Any reference herein to the Registration Statement,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40"/>
        <w:spacing w:after="0" w:line="276" w:lineRule="auto"/>
        <w:rPr>
          <w:sz w:val="20"/>
          <w:szCs w:val="20"/>
          <w:color w:val="auto"/>
        </w:rPr>
      </w:pPr>
      <w:r>
        <w:rPr>
          <w:rFonts w:ascii="Arial" w:cs="Arial" w:eastAsia="Arial" w:hAnsi="Arial"/>
          <w:sz w:val="17"/>
          <w:szCs w:val="17"/>
          <w:color w:val="auto"/>
        </w:rPr>
        <w:t>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its Electronic Data Gathering Analysis and Retrieval System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w:t>
      </w:r>
    </w:p>
    <w:p>
      <w:pPr>
        <w:spacing w:after="0" w:line="60" w:lineRule="exact"/>
        <w:rPr>
          <w:sz w:val="20"/>
          <w:szCs w:val="20"/>
          <w:color w:val="auto"/>
        </w:rPr>
      </w:pPr>
    </w:p>
    <w:p>
      <w:pPr>
        <w:ind w:firstLine="233"/>
        <w:spacing w:after="0" w:line="286" w:lineRule="auto"/>
        <w:tabs>
          <w:tab w:leader="none" w:pos="45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CF&amp;Co by email notice (or other method mutually agreed to in writing by the parties) containing the parameters in accordance with which it desires the Shares to be sold, which shall at a minimum include the number of Shares to be issued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the time period during which sales are requested to be made, any limitation on the number of Shares that may be sold in any one day and any minimum price below which sales may not be made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a form of which containing such minimum sales parameters necessary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CF&amp;Co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may be amended from time to time. The Placement Notice shall be effective upon receipt by CF&amp;Co unless and until (i) 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CF&amp;Co declines to accept the terms contained therein for any reason, in its sole discretion, (ii) the entire amount of the Placement Shares have been sold, (iii) 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Company suspends or terminates the Placement Notice, (iv) the Company issues a subsequent Placement Notice with parameters superseding those on the earlier dated Placement Notice, or (iv) the Agreement has been terminated under the provisions of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The amount of any discount, commission or other compensation to be paid by the Company to CF&amp;Co in connection with the sale of the Placement Shares shall be calculated in accordance with the terms set forth in </w:t>
      </w:r>
      <w:r>
        <w:rPr>
          <w:rFonts w:ascii="Arial" w:cs="Arial" w:eastAsia="Arial" w:hAnsi="Arial"/>
          <w:sz w:val="16"/>
          <w:szCs w:val="16"/>
          <w:b w:val="1"/>
          <w:bCs w:val="1"/>
          <w:u w:val="single" w:color="auto"/>
          <w:color w:val="auto"/>
        </w:rPr>
        <w:t>Schedule 3</w:t>
      </w:r>
      <w:r>
        <w:rPr>
          <w:rFonts w:ascii="Arial" w:cs="Arial" w:eastAsia="Arial" w:hAnsi="Arial"/>
          <w:sz w:val="16"/>
          <w:szCs w:val="16"/>
          <w:b w:val="1"/>
          <w:bCs w:val="1"/>
          <w:color w:val="auto"/>
        </w:rPr>
        <w:t>.</w:t>
      </w:r>
      <w:r>
        <w:rPr>
          <w:rFonts w:ascii="Arial" w:cs="Arial" w:eastAsia="Arial" w:hAnsi="Arial"/>
          <w:sz w:val="16"/>
          <w:szCs w:val="16"/>
          <w:color w:val="auto"/>
        </w:rPr>
        <w:t xml:space="preserve"> It is expressly acknowledged and agreed that neither the Company nor CF&amp;Co will have any obligation whatsoever with respect to a Placement or any Placement Shares unless and until the Company delivers a Placement Notice to CF&amp;Co and CF&amp;Co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61" w:lineRule="exact"/>
        <w:rPr>
          <w:rFonts w:ascii="Arial" w:cs="Arial" w:eastAsia="Arial" w:hAnsi="Arial"/>
          <w:sz w:val="16"/>
          <w:szCs w:val="16"/>
          <w:color w:val="auto"/>
        </w:rPr>
      </w:pPr>
    </w:p>
    <w:p>
      <w:pPr>
        <w:ind w:right="60" w:firstLine="233"/>
        <w:spacing w:after="0" w:line="255" w:lineRule="auto"/>
        <w:tabs>
          <w:tab w:leader="none" w:pos="45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CF&amp;Co.</w:t>
      </w:r>
      <w:r>
        <w:rPr>
          <w:rFonts w:ascii="Arial" w:cs="Arial" w:eastAsia="Arial" w:hAnsi="Arial"/>
          <w:sz w:val="18"/>
          <w:szCs w:val="18"/>
          <w:color w:val="auto"/>
        </w:rPr>
        <w:t xml:space="preserve"> Subject to the terms and conditions herein set forth, upon the Company’s issuance of a Placement Notice, and unless the sale of the Placement Shares described therein has been suspended or otherwise terminated in accordance with the terms of this Agreement, CF&amp;Co will use its commercially reasonable efforts consistent with its normal trading and sales practices to sell such Placement Shares up to the amount specified, and otherwise in accordance with the terms of such Placement Notice. CF&amp;Co will provide written confirmation to the Company no later than the opening of the Trading Day (as defined below) next following the Trading Day on which it has made sales of Placement Shares hereunder setting forth the number of Placement Shares sold on such day, the compensation payable by the Company to CF&amp;Co with respect to such sales pursuant to Section 2, and the Net Proceeds (as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line="285" w:lineRule="auto"/>
        <w:rPr>
          <w:sz w:val="20"/>
          <w:szCs w:val="20"/>
          <w:color w:val="auto"/>
        </w:rPr>
      </w:pPr>
      <w:r>
        <w:rPr>
          <w:rFonts w:ascii="Arial" w:cs="Arial" w:eastAsia="Arial" w:hAnsi="Arial"/>
          <w:sz w:val="16"/>
          <w:szCs w:val="16"/>
          <w:color w:val="auto"/>
        </w:rPr>
        <w:t>defined below) payable to the Company, with an itemization of deductions made by CF&amp;Co (as set forth in Section 5(a)) from gross proceeds for the Placement Shares that it receives from such sales. CF&amp;Co may sell Placement Shares by any method permitted by law deemed to be an “at the market” offering as defined in Rule 415 of the Securities Act, including without limitation sales made directly on the NASDAQ Global Market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on any other existing trading market for the Common Stock or to or through a market maker. With the prior express written consent of the Company, which may be provided in its Placement Notice, CF&amp;Co may also sell Placement Shares in privately negotiated transactions. The Company acknowledges and agrees that</w:t>
      </w:r>
    </w:p>
    <w:p>
      <w:pPr>
        <w:spacing w:after="0" w:line="2" w:lineRule="exact"/>
        <w:rPr>
          <w:sz w:val="20"/>
          <w:szCs w:val="20"/>
          <w:color w:val="auto"/>
        </w:rPr>
      </w:pPr>
    </w:p>
    <w:p>
      <w:pPr>
        <w:ind w:right="100" w:firstLine="8"/>
        <w:spacing w:after="0" w:line="295" w:lineRule="auto"/>
        <w:tabs>
          <w:tab w:leader="none" w:pos="21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there can be no assurance that CF&amp;Co will be successful in selling Placement Shares, and (ii) CF&amp;Co will incur no liability or obligation to the Company or any other person or entity if it does not sell Placement Shares for any reason other than a failure by CF&amp;Co to use its commercially reasonable efforts consistent with its normal trading and sales practices to sell such Placement Shares as required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For the purposes hereof, “</w:t>
      </w:r>
      <w:r>
        <w:rPr>
          <w:rFonts w:ascii="Arial" w:cs="Arial" w:eastAsia="Arial" w:hAnsi="Arial"/>
          <w:sz w:val="16"/>
          <w:szCs w:val="16"/>
          <w:b w:val="1"/>
          <w:bCs w:val="1"/>
          <w:u w:val="single" w:color="auto"/>
          <w:color w:val="auto"/>
        </w:rPr>
        <w:t>Trading Day</w:t>
      </w:r>
      <w:r>
        <w:rPr>
          <w:rFonts w:ascii="Arial" w:cs="Arial" w:eastAsia="Arial" w:hAnsi="Arial"/>
          <w:sz w:val="16"/>
          <w:szCs w:val="16"/>
          <w:color w:val="auto"/>
        </w:rPr>
        <w:t>” means any day on which Common Stock is purchased and sold on the principal market on which the Common Stock is listed or quoted.</w:t>
      </w:r>
    </w:p>
    <w:p>
      <w:pPr>
        <w:spacing w:after="0" w:line="53" w:lineRule="exact"/>
        <w:rPr>
          <w:rFonts w:ascii="Arial" w:cs="Arial" w:eastAsia="Arial" w:hAnsi="Arial"/>
          <w:sz w:val="16"/>
          <w:szCs w:val="16"/>
          <w:color w:val="auto"/>
        </w:rPr>
      </w:pPr>
    </w:p>
    <w:p>
      <w:pPr>
        <w:ind w:right="140" w:firstLine="233"/>
        <w:spacing w:after="0" w:line="255" w:lineRule="auto"/>
        <w:tabs>
          <w:tab w:leader="none" w:pos="45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 xml:space="preserve">. The Company or CF&amp;Co may, upon notice to the other party in writing (including by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suspend any sale of Placement 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effective against the other unless it is made to one of the individuals named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hereto, as such Schedule may be amended from time to time.</w:t>
      </w:r>
    </w:p>
    <w:p>
      <w:pPr>
        <w:spacing w:after="0" w:line="81" w:lineRule="exact"/>
        <w:rPr>
          <w:rFonts w:ascii="Arial" w:cs="Arial" w:eastAsia="Arial" w:hAnsi="Arial"/>
          <w:sz w:val="18"/>
          <w:szCs w:val="18"/>
          <w:color w:val="auto"/>
        </w:rPr>
      </w:pPr>
    </w:p>
    <w:p>
      <w:pPr>
        <w:ind w:left="460" w:hanging="227"/>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58"/>
        <w:spacing w:after="0" w:line="255" w:lineRule="auto"/>
        <w:tabs>
          <w:tab w:leader="none" w:pos="740"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third (3</w:t>
      </w:r>
      <w:r>
        <w:rPr>
          <w:rFonts w:ascii="Arial" w:cs="Arial" w:eastAsia="Arial" w:hAnsi="Arial"/>
          <w:sz w:val="15"/>
          <w:szCs w:val="15"/>
          <w:color w:val="auto"/>
        </w:rPr>
        <w:t>rd</w:t>
      </w:r>
      <w:r>
        <w:rPr>
          <w:rFonts w:ascii="Arial" w:cs="Arial" w:eastAsia="Arial" w:hAnsi="Arial"/>
          <w:sz w:val="18"/>
          <w:szCs w:val="18"/>
          <w:color w:val="auto"/>
        </w:rPr>
        <w:t>) Business Day (or such earlier day as is industry practice for regular-way trading) following the date on which such sales are made (each, a “</w:t>
      </w:r>
      <w:r>
        <w:rPr>
          <w:rFonts w:ascii="Arial" w:cs="Arial" w:eastAsia="Arial" w:hAnsi="Arial"/>
          <w:sz w:val="18"/>
          <w:szCs w:val="18"/>
          <w:b w:val="1"/>
          <w:bCs w:val="1"/>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b w:val="1"/>
          <w:bCs w:val="1"/>
          <w:u w:val="single" w:color="auto"/>
          <w:color w:val="auto"/>
        </w:rPr>
        <w:t>Net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Proceeds</w:t>
      </w:r>
      <w:r>
        <w:rPr>
          <w:rFonts w:ascii="Arial" w:cs="Arial" w:eastAsia="Arial" w:hAnsi="Arial"/>
          <w:sz w:val="18"/>
          <w:szCs w:val="18"/>
          <w:color w:val="auto"/>
        </w:rPr>
        <w:t>”) will be equal to the aggregate sales price received by CF&amp;Co at which such Placement Shares were sold, after deduction for (i) CF&amp;Co’s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commission, discount or other compensation for such sales payable by the Company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(ii) any other amounts due and payable by the Company to CF&amp;Co hereunder pursuant to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(Expenses) hereof, and (iii) any transaction fees imposed by any governmental or self-regulatory organization in respect of such sales.</w:t>
      </w:r>
    </w:p>
    <w:p>
      <w:pPr>
        <w:spacing w:after="0" w:line="81" w:lineRule="exact"/>
        <w:rPr>
          <w:rFonts w:ascii="Arial" w:cs="Arial" w:eastAsia="Arial" w:hAnsi="Arial"/>
          <w:sz w:val="18"/>
          <w:szCs w:val="18"/>
          <w:color w:val="auto"/>
        </w:rPr>
      </w:pPr>
    </w:p>
    <w:p>
      <w:pPr>
        <w:ind w:right="80" w:firstLine="458"/>
        <w:spacing w:after="0" w:line="279" w:lineRule="auto"/>
        <w:tabs>
          <w:tab w:leader="none" w:pos="750" w:val="left"/>
        </w:tabs>
        <w:numPr>
          <w:ilvl w:val="2"/>
          <w:numId w:val="4"/>
        </w:numPr>
        <w:rPr>
          <w:rFonts w:ascii="Arial" w:cs="Arial" w:eastAsia="Arial" w:hAnsi="Arial"/>
          <w:sz w:val="17"/>
          <w:szCs w:val="17"/>
          <w:color w:val="auto"/>
        </w:rPr>
      </w:pPr>
      <w:r>
        <w:rPr>
          <w:rFonts w:ascii="Arial" w:cs="Arial" w:eastAsia="Arial" w:hAnsi="Arial"/>
          <w:sz w:val="17"/>
          <w:szCs w:val="17"/>
          <w:u w:val="single" w:color="auto"/>
          <w:color w:val="auto"/>
        </w:rPr>
        <w:t>Delivery of Placement Shares</w:t>
      </w:r>
      <w:r>
        <w:rPr>
          <w:rFonts w:ascii="Arial" w:cs="Arial" w:eastAsia="Arial" w:hAnsi="Arial"/>
          <w:sz w:val="17"/>
          <w:szCs w:val="17"/>
          <w:color w:val="auto"/>
        </w:rPr>
        <w:t>. On or before each Settlement Date, the Company will, or will cause its transfer agent to, electronically transfer the Placement Shares being sold by crediting CF&amp;Co’s or its designee’s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CF&amp;Co shall have given the Company written notice of such designee at least one Business Day prior to the Settlement Date) account at The Depository Trust Company through its Deposit and Withdrawal at Custodian System or by such other means of delivery as may be mutually agreed upon by the parties hereto and, upon receipt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 xml:space="preserve">of such Placement Shares, which in all cases shall be freely tradable, transferable, registered shares in good deliverable form, CF&amp;Co will deliver the related Net Proceeds in same day funds to an account designated by the Company prior to the Settlement Date. If the Company defaults in its obligation to deliver Placement Shares on a Settlement Date, the Company agrees that in addition to and in no way limiting the rights and obligations set forth in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(Indemnification) hereto, it will (i) hold CF&amp;Co harmless against any loss, claim, damage, or expense (including reasonable legal fees and expenses), as incurred, arising out of or in connection with such default by the Company and (ii) pay to CF&amp;Co any commission, discount, or other compensation to which it would otherwise have been entitled absent such default.</w:t>
      </w:r>
    </w:p>
    <w:p>
      <w:pPr>
        <w:spacing w:after="0" w:line="85" w:lineRule="exact"/>
        <w:rPr>
          <w:sz w:val="20"/>
          <w:szCs w:val="20"/>
          <w:color w:val="auto"/>
        </w:rPr>
      </w:pPr>
    </w:p>
    <w:p>
      <w:pPr>
        <w:ind w:right="80" w:firstLine="233"/>
        <w:spacing w:after="0" w:line="264" w:lineRule="auto"/>
        <w:tabs>
          <w:tab w:leader="none" w:pos="45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xml:space="preserve">. The Company represents and warrants to, and agrees with, CF&amp;Co that as of the date of this Agreement and as of each Representation Date (as defined in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below) on which a certificate is required to be delivered pursuant to Section 7(m) of this Agreement, as the case may be:</w:t>
      </w:r>
    </w:p>
    <w:p>
      <w:pPr>
        <w:spacing w:after="0" w:line="73" w:lineRule="exact"/>
        <w:rPr>
          <w:rFonts w:ascii="Arial" w:cs="Arial" w:eastAsia="Arial" w:hAnsi="Arial"/>
          <w:sz w:val="18"/>
          <w:szCs w:val="18"/>
          <w:color w:val="auto"/>
        </w:rPr>
      </w:pPr>
    </w:p>
    <w:p>
      <w:pPr>
        <w:ind w:firstLine="458"/>
        <w:spacing w:after="0" w:line="288"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meets the requirements for use of Form S-3 under the Securities Act. The Registration Statement has been filed with the Commission and has been declared effective under the Securities Act. The Registration Statement has named CF&amp;Co as an underwriter, acting as principal and/or agent that the Company might engage in the section entitled “Plan of Distribution.” The Company has not received, and has no notice of, any order of the Commission preventing or suspending the use of the Registration Statement, or threatening or instituting proceedings for that purpose.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made available through EDGAR, to CF&amp;Co and their counsel. The Company has not distributed and will not distribute any offering material in connection with the offering or sale of the Placement Shares other than the Registration Statement and the Prospectus. The Common Stock is currently listed on the NASDAQ Global Market under the trading symbol “STEM.”</w:t>
      </w:r>
    </w:p>
    <w:p>
      <w:pPr>
        <w:spacing w:after="0" w:line="61" w:lineRule="exact"/>
        <w:rPr>
          <w:rFonts w:ascii="Arial" w:cs="Arial" w:eastAsia="Arial" w:hAnsi="Arial"/>
          <w:sz w:val="16"/>
          <w:szCs w:val="16"/>
          <w:color w:val="auto"/>
        </w:rPr>
      </w:pPr>
    </w:p>
    <w:p>
      <w:pPr>
        <w:ind w:firstLine="458"/>
        <w:spacing w:after="0" w:line="272" w:lineRule="auto"/>
        <w:tabs>
          <w:tab w:leader="none" w:pos="750"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w:t>
      </w:r>
      <w:r>
        <w:rPr>
          <w:rFonts w:ascii="Arial" w:cs="Arial" w:eastAsia="Arial" w:hAnsi="Arial"/>
          <w:sz w:val="17"/>
          <w:szCs w:val="17"/>
          <w:color w:val="auto"/>
        </w:rPr>
        <w:t>. The Registration Statement and the Prospectus conform in all material respects with the requirements of the Securities Act. At each Settlement Date, the Registration Statement and the Prospectus, as of such date, will conform in all material respects with the requirements of the Securities Act. The Registration Statement does not contain an untrue statement of a material fact or omit to state a material fact required to be stated therein or necessary to make the statements therein not misleading. The Prospectus does not include an untrue statement of a material fact or omit to state a material fact necessary to make the statements therein, in light of the circumstances under which they were made, not misleading. The foregoing shall not apply to statements in, or omissions from, any such document made in reliance upon, and in conformity with, information furnished to the Company by CF&amp;Co specifically for use in the preparation thereof.</w:t>
      </w:r>
    </w:p>
    <w:p>
      <w:pPr>
        <w:spacing w:after="0" w:line="69" w:lineRule="exact"/>
        <w:rPr>
          <w:rFonts w:ascii="Arial" w:cs="Arial" w:eastAsia="Arial" w:hAnsi="Arial"/>
          <w:sz w:val="17"/>
          <w:szCs w:val="17"/>
          <w:color w:val="auto"/>
        </w:rPr>
      </w:pPr>
    </w:p>
    <w:p>
      <w:pPr>
        <w:jc w:val="both"/>
        <w:ind w:right="120" w:firstLine="458"/>
        <w:spacing w:after="0" w:line="264" w:lineRule="auto"/>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Conformity with Securities Act and Exchange Act</w:t>
      </w:r>
      <w:r>
        <w:rPr>
          <w:rFonts w:ascii="Arial" w:cs="Arial" w:eastAsia="Arial" w:hAnsi="Arial"/>
          <w:sz w:val="18"/>
          <w:szCs w:val="18"/>
          <w:color w:val="auto"/>
        </w:rPr>
        <w:t>.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conformed or will conform in all material respects with the requirements of the Securities Act and the Exchange Act, as applicable.</w:t>
      </w:r>
    </w:p>
    <w:p>
      <w:pPr>
        <w:spacing w:after="0" w:line="117" w:lineRule="exact"/>
        <w:rPr>
          <w:sz w:val="20"/>
          <w:szCs w:val="20"/>
          <w:color w:val="auto"/>
        </w:rPr>
      </w:pPr>
    </w:p>
    <w:p>
      <w:pPr>
        <w:ind w:right="40" w:firstLine="458"/>
        <w:spacing w:after="0" w:line="286" w:lineRule="auto"/>
        <w:tabs>
          <w:tab w:leader="none" w:pos="75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financial statements of the Company and the Subsidiary (as defined below), together with the related schedules and notes thereto, set forth or included or incorporated by reference in the Registration Statement and the Prospectus fairly present, in all material respects, the financial condition of the Company and the Subsidiary as of and at the dates indicated and the results of operations, changes in financial position, stockholders’ equity and cash flows for the periods therein specified. Such financial statements, schedules, and notes are in conformity with generally accepted accounting principles as consistently applied in the United States throughout the periods involved (except as otherwise stated therein). The selected financial data included or incorporated by reference in the Registration Statement and the Prospectus present fairly the information shown therein and, to the extent based upon or derived from the financial statements, have been complied on a basis consistent with the financial statements presented therein. Any pro forma financial statements of the Company and the Subsidiary, and the related notes thereto, included or incorporated by reference in the Registration Statement and the Prospectus present fairly the information shown therein, have been prepared in accordance with the Commission’s rules and guidelines with respect to pro forma financial statements and have been properly compiled on the basis described therein, and the assumptions used in the preparation thereof are reasonable and the adjustments used therein are appropriate to give effect to the transactions and circumstances referred to therein. The Company and, to the Company’s knowledge, the Subsidiary (as defined below) do not have any material liabilities or obligations, direct or contingent (including any off-balance sheet obligations), not disclosed in the Registration Statement and the Prospectus. No other financial statements are required to be set forth or to be incorporated by reference in the Registration Statement or the Prospectus under the Securities Act.</w:t>
      </w:r>
    </w:p>
    <w:p>
      <w:pPr>
        <w:spacing w:after="0" w:line="63" w:lineRule="exact"/>
        <w:rPr>
          <w:rFonts w:ascii="Arial" w:cs="Arial" w:eastAsia="Arial" w:hAnsi="Arial"/>
          <w:sz w:val="16"/>
          <w:szCs w:val="16"/>
          <w:color w:val="auto"/>
        </w:rPr>
      </w:pPr>
    </w:p>
    <w:p>
      <w:pPr>
        <w:ind w:right="120" w:firstLine="458"/>
        <w:spacing w:after="0" w:line="264"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CF&amp;Co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73" w:lineRule="exact"/>
        <w:rPr>
          <w:rFonts w:ascii="Arial" w:cs="Arial" w:eastAsia="Arial" w:hAnsi="Arial"/>
          <w:sz w:val="18"/>
          <w:szCs w:val="18"/>
          <w:color w:val="auto"/>
        </w:rPr>
      </w:pPr>
    </w:p>
    <w:p>
      <w:pPr>
        <w:ind w:firstLine="458"/>
        <w:spacing w:after="0" w:line="285" w:lineRule="auto"/>
        <w:tabs>
          <w:tab w:leader="none" w:pos="72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has been duly incorporated and is validly existing as a corporation in good standing under the laws of the state of Delaware with full corporate power and authority necessary to own, hold, lease and/or operate its assets and properties and to conduct the business in which it is engaged and as described in the Registration Statement and Prospectus; and the Company is duly qualified as a foreign entity to transact business and is in good standing in each jurisdiction in which such qualification is required, whether by reason of the ownership or leasing of property or the conduct of business, except where the failure, individually or in the aggregate, to be so qualified and be in good standing would not have a material adverse effect on</w:t>
      </w:r>
    </w:p>
    <w:p>
      <w:pPr>
        <w:spacing w:after="0" w:line="2" w:lineRule="exact"/>
        <w:rPr>
          <w:rFonts w:ascii="Arial" w:cs="Arial" w:eastAsia="Arial" w:hAnsi="Arial"/>
          <w:sz w:val="16"/>
          <w:szCs w:val="16"/>
          <w:color w:val="auto"/>
        </w:rPr>
      </w:pPr>
    </w:p>
    <w:p>
      <w:pPr>
        <w:ind w:right="160" w:firstLine="8"/>
        <w:spacing w:after="0" w:line="253"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business, operations, assets, properties, financial condition, reputation, prospects, or results of operations of the Company and the Subsidiary (as defined herein) taken as a whole, (ii) the transactions contemplated hereby, or (iii) the ability of the Company to perform its obligation under this Agreement (collectively, a “</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The Company has full corporate power and authority necessary to enter into and perform its obligations under this Agreement and to consummate the transactions contemplated hereby. The Company is in compliance with the laws, orders, rules, regulations and directives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applicable to it, except for any noncompliance that, individually, or in the aggregate, would not reasonably be expected to have a Material Adverse Effect.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 and correct copies of the articles of incorporation and of the bylaws of the Company and all amendments thereto have been delivered to CF&amp;Co.</w:t>
      </w:r>
    </w:p>
    <w:p>
      <w:pPr>
        <w:spacing w:after="0" w:line="126" w:lineRule="exact"/>
        <w:rPr>
          <w:sz w:val="20"/>
          <w:szCs w:val="20"/>
          <w:color w:val="auto"/>
        </w:rPr>
      </w:pPr>
    </w:p>
    <w:p>
      <w:pPr>
        <w:ind w:right="40" w:firstLine="458"/>
        <w:spacing w:after="0" w:line="270" w:lineRule="auto"/>
        <w:tabs>
          <w:tab w:leader="none" w:pos="75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Subsidiary</w:t>
      </w:r>
      <w:r>
        <w:rPr>
          <w:rFonts w:ascii="Arial" w:cs="Arial" w:eastAsia="Arial" w:hAnsi="Arial"/>
          <w:sz w:val="17"/>
          <w:szCs w:val="17"/>
          <w:color w:val="auto"/>
        </w:rPr>
        <w:t>. (1) The Company has no “significant subsidiaries” (as such term is defined in Rule 1-02 of Regulation S-X promulgated under the Securities Act) other than StemCells California, Inc. (the “</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The Subsidiary has been duly formed and incorporated and is validly existing as a corporation in good standing under the laws of the State of California, is duly qualified to do business and is in good standing as a foreign corporation in each jurisdiction in which its ownership or lease of property or assets or the conduct of its business requires such qualification, except where the failure to so qualify, individually or in the aggregate, would not have a Material Adverse Effect, and has full corporate power and authority necessary to own, hold, lease and/or operate its assets and properties, to conduct the business in which it is engaged and as described in the Prospectus. The Subsidiary is in compliance with the laws, orders, rules, regulations and directives necessary to conduct its business except for any noncompliance that, individually or in the aggregate, would not reasonably be expected to have a Material Adverse Effect. A complete and correct copy of the certificate of incorporation and of the bylaws of the Subsidiary and all amendments thereto have been delivered to CF&amp;Co.</w:t>
      </w:r>
    </w:p>
    <w:p>
      <w:pPr>
        <w:spacing w:after="0" w:line="73" w:lineRule="exact"/>
        <w:rPr>
          <w:rFonts w:ascii="Arial" w:cs="Arial" w:eastAsia="Arial" w:hAnsi="Arial"/>
          <w:sz w:val="17"/>
          <w:szCs w:val="17"/>
          <w:color w:val="auto"/>
        </w:rPr>
      </w:pPr>
    </w:p>
    <w:p>
      <w:pPr>
        <w:ind w:right="60" w:firstLine="683"/>
        <w:spacing w:after="0" w:line="291" w:lineRule="auto"/>
        <w:tabs>
          <w:tab w:leader="none" w:pos="930" w:val="left"/>
        </w:tabs>
        <w:numPr>
          <w:ilvl w:val="1"/>
          <w:numId w:val="8"/>
        </w:numPr>
        <w:rPr>
          <w:rFonts w:ascii="Arial" w:cs="Arial" w:eastAsia="Arial" w:hAnsi="Arial"/>
          <w:sz w:val="16"/>
          <w:szCs w:val="16"/>
          <w:color w:val="auto"/>
        </w:rPr>
      </w:pPr>
      <w:r>
        <w:rPr>
          <w:rFonts w:ascii="Arial" w:cs="Arial" w:eastAsia="Arial" w:hAnsi="Arial"/>
          <w:sz w:val="16"/>
          <w:szCs w:val="16"/>
          <w:color w:val="auto"/>
        </w:rPr>
        <w:t>Other than the capital stock of the Subsidiary, the Company does not own, directly or indirectly, any shares of stock or any other equity interests or long-term debt securities of any corporation, firm, partnership, joint venture, association or other entity, other than the Company’s equity interest in ReNeuron Group plc, as disclosed in the Registration Statement and the Prospectus. All of the outstanding shares of capital stock of the Subsidiary have been duly authorized and validly issued, are fully paid and non-assessable, and are wholly owned by the Company, free and clear of any security interest, mortgage, pledge, lien, encumbrance, claim or other equity or adverse claims except for any security interest, mortgage, pledge, lien, encumbrance, or claims as would not reasonably be expected to have a Material Adverse Effect. No options, warrants or other rights to purchase, agreements or other obligations to issue or other rights to convert any obligation into shares of capital stock or ownership interests in the Subsidiary are outstanding.</w:t>
      </w:r>
    </w:p>
    <w:p>
      <w:pPr>
        <w:spacing w:after="0" w:line="59" w:lineRule="exact"/>
        <w:rPr>
          <w:rFonts w:ascii="Arial" w:cs="Arial" w:eastAsia="Arial" w:hAnsi="Arial"/>
          <w:sz w:val="16"/>
          <w:szCs w:val="16"/>
          <w:color w:val="auto"/>
        </w:rPr>
      </w:pPr>
    </w:p>
    <w:p>
      <w:pPr>
        <w:ind w:firstLine="458"/>
        <w:spacing w:after="0" w:line="270" w:lineRule="auto"/>
        <w:tabs>
          <w:tab w:leader="none" w:pos="75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Violation or Default</w:t>
      </w:r>
      <w:r>
        <w:rPr>
          <w:rFonts w:ascii="Arial" w:cs="Arial" w:eastAsia="Arial" w:hAnsi="Arial"/>
          <w:sz w:val="17"/>
          <w:szCs w:val="17"/>
          <w:color w:val="auto"/>
        </w:rPr>
        <w:t xml:space="preserve">. Neither the Company nor its Subsidiary is (i) in violation of any provision of its charter or bylaws or similar organizational documents, (ii) is in default in any respect, and no event has occurred which, with notice or lapse of time or both, would constitute such a default, in the due performance or observance of any term, covenant, or condition of any indenture, contract, lease, mortgage, deed of trust, note agreement, loan agreement or other agreement, obligation, condition, covenant or instrument to which it is a party or by which it is bound or to which any of its property or assets is subject, or (iii) is in violation in any respect of any statute, law, rule, regulation, ordinance, judgment, order or decree of any court, regulatory body, administrative agency, governmental body, arbitrator or other authority having jurisdiction over the Company, its Subsidiary or any of its properties, as applicable (including, without limitation, those administered by the Food and Drug Administration of the U.S. Department of Health and Human Services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FDA</w:t>
      </w:r>
      <w:r>
        <w:rPr>
          <w:rFonts w:ascii="Arial" w:cs="Arial" w:eastAsia="Arial" w:hAnsi="Arial"/>
          <w:sz w:val="17"/>
          <w:szCs w:val="17"/>
          <w:b w:val="1"/>
          <w:bCs w:val="1"/>
          <w:color w:val="auto"/>
        </w:rPr>
        <w:t>”</w:t>
      </w:r>
      <w:r>
        <w:rPr>
          <w:rFonts w:ascii="Arial" w:cs="Arial" w:eastAsia="Arial" w:hAnsi="Arial"/>
          <w:sz w:val="17"/>
          <w:szCs w:val="17"/>
          <w:color w:val="auto"/>
        </w:rPr>
        <w:t>) or by any foreign, federal, state or local governmental or regulatory authority performing functions similar to those performed by the FDA), except, with respect to clauses (ii) and (iii), any violations or defaults which,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40"/>
        <w:spacing w:after="0" w:line="269" w:lineRule="auto"/>
        <w:rPr>
          <w:sz w:val="20"/>
          <w:szCs w:val="20"/>
          <w:color w:val="auto"/>
        </w:rPr>
      </w:pPr>
      <w:r>
        <w:rPr>
          <w:rFonts w:ascii="Arial" w:cs="Arial" w:eastAsia="Arial" w:hAnsi="Arial"/>
          <w:sz w:val="17"/>
          <w:szCs w:val="17"/>
          <w:color w:val="auto"/>
        </w:rPr>
        <w:t>singularly or in the aggregate, would not reasonably be expected to result in a Material Adverse Effect. To the knowledge of the Company, no other party under any contract or other agreement to which the Company or the Subsidiary is a party is in default in any respect thereunder, except for any default that, individually or in the aggregate, would not reasonably be expected to have a Material Adverse Effect. The execution, delivery and performance of this Agreement, the issuance and sale of the Placement Shares and the consummation of the transactions contemplated hereby will not conflict with, or result in any breach of or constitute a default under (nor constitute any event which with notice, lapse of time or both would result in any breach of, or constitute a default under), (i) any provision of the charter, bylaws or organizational documents, as the case may be, of the Company or the Subsidiary, (ii) any provision of any contract, license, repurchase agreement, management agreement, indenture, mortgage, deed of trust, bank loan or credit agreement, note, lease or other evidence of indebtedness, or any lease, contract or other agreement or instrument to which the Company or the Subsidiary is a party or by which the Company or the Subsidiary, or any of their respective assets or properties may be bound or affected, except for any breach or default that, individually or in the aggregate, would not reasonably be expected to have a Material Adverse Effect or (iii) any federal, state, local or foreign law, regulation or rule or any decree, judgment or order applicable to the Company or the Subsidiary, except for any breach or default that, individually or in the aggregate, would not reasonably be expected to have a Material Adverse Effect.</w:t>
      </w:r>
    </w:p>
    <w:p>
      <w:pPr>
        <w:spacing w:after="0" w:line="72" w:lineRule="exact"/>
        <w:rPr>
          <w:sz w:val="20"/>
          <w:szCs w:val="20"/>
          <w:color w:val="auto"/>
        </w:rPr>
      </w:pPr>
    </w:p>
    <w:p>
      <w:pPr>
        <w:ind w:firstLine="458"/>
        <w:spacing w:after="0" w:line="279" w:lineRule="auto"/>
        <w:tabs>
          <w:tab w:leader="none" w:pos="71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As of December 31, 2005, the Company had an authorized, issued and outstanding capitalization as set forth on its balance sheet included in the Company’s Annual Report on Form 10-K for the year ended December 31, 2005. All of the issued and outstanding shares of capital stock of the Company have been duly and validly authorized and issued and are fully paid and nonassessable, have been issued in compliance with all federal and state securities laws and were not issued in violation of any preemptive right, resale right, right of first refusal or similar right.</w:t>
      </w:r>
    </w:p>
    <w:p>
      <w:pPr>
        <w:spacing w:after="0" w:line="63" w:lineRule="exact"/>
        <w:rPr>
          <w:rFonts w:ascii="Arial" w:cs="Arial" w:eastAsia="Arial" w:hAnsi="Arial"/>
          <w:sz w:val="17"/>
          <w:szCs w:val="17"/>
          <w:color w:val="auto"/>
        </w:rPr>
      </w:pPr>
    </w:p>
    <w:p>
      <w:pPr>
        <w:ind w:right="160" w:firstLine="458"/>
        <w:spacing w:after="0" w:line="302" w:lineRule="auto"/>
        <w:tabs>
          <w:tab w:leader="none" w:pos="71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This Agreement has been duly authorized, executed and delivered by the Company and is a legal, valid and binding agreement of the Company enforceable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9 hereof may be limited by federal or state securities laws and public policy considerations in respect thereof.</w:t>
      </w:r>
    </w:p>
    <w:p>
      <w:pPr>
        <w:spacing w:after="0" w:line="46" w:lineRule="exact"/>
        <w:rPr>
          <w:rFonts w:ascii="Arial" w:cs="Arial" w:eastAsia="Arial" w:hAnsi="Arial"/>
          <w:sz w:val="16"/>
          <w:szCs w:val="16"/>
          <w:color w:val="auto"/>
        </w:rPr>
      </w:pPr>
    </w:p>
    <w:p>
      <w:pPr>
        <w:ind w:right="20" w:firstLine="458"/>
        <w:spacing w:after="0" w:line="259" w:lineRule="auto"/>
        <w:tabs>
          <w:tab w:leader="none" w:pos="75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Capital Stock and Placement Shares in Proper Form</w:t>
      </w:r>
      <w:r>
        <w:rPr>
          <w:rFonts w:ascii="Arial" w:cs="Arial" w:eastAsia="Arial" w:hAnsi="Arial"/>
          <w:sz w:val="18"/>
          <w:szCs w:val="18"/>
          <w:color w:val="auto"/>
        </w:rPr>
        <w:t>. The capital stock of the Company, including the Placement Shares, conforms in all material respects to the description thereof contained in the Registration Statement and the Prospectus. The form of certificates for the Placement Shares are in due and proper form and the holders of the Shares will not be subject to personal liability under the Delaware General Corporation Law by reason of being such holders.</w:t>
      </w:r>
    </w:p>
    <w:p>
      <w:pPr>
        <w:spacing w:after="0" w:line="78" w:lineRule="exact"/>
        <w:rPr>
          <w:rFonts w:ascii="Arial" w:cs="Arial" w:eastAsia="Arial" w:hAnsi="Arial"/>
          <w:sz w:val="18"/>
          <w:szCs w:val="18"/>
          <w:color w:val="auto"/>
        </w:rPr>
      </w:pPr>
    </w:p>
    <w:p>
      <w:pPr>
        <w:ind w:right="20" w:firstLine="458"/>
        <w:spacing w:after="0" w:line="264" w:lineRule="auto"/>
        <w:tabs>
          <w:tab w:leader="none" w:pos="71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Authorization of Placement Shares</w:t>
      </w:r>
      <w:r>
        <w:rPr>
          <w:rFonts w:ascii="Arial" w:cs="Arial" w:eastAsia="Arial" w:hAnsi="Arial"/>
          <w:sz w:val="18"/>
          <w:szCs w:val="18"/>
          <w:color w:val="auto"/>
        </w:rPr>
        <w:t>. The Placement Shares, when issued and delivered pursuant to the terms approved by the Board of Directors or a duly designated committee thereof, against payment therefor as provided herein, will be duly and validly authorized and issued and fully paid and nonassessable, free and clear of any pledge, lien, encumbrance, security interest or</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other claim, including any statutory or contractual preemptive rights, resale rights, rights of first refusal or other similar rights, and will be registered pursuant to Section 12 of the Exchange Act.</w:t>
      </w:r>
    </w:p>
    <w:p>
      <w:pPr>
        <w:spacing w:after="0" w:line="62" w:lineRule="exact"/>
        <w:rPr>
          <w:sz w:val="20"/>
          <w:szCs w:val="20"/>
          <w:color w:val="auto"/>
        </w:rPr>
      </w:pPr>
    </w:p>
    <w:p>
      <w:pPr>
        <w:ind w:right="40" w:firstLine="458"/>
        <w:spacing w:after="0" w:line="268"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Consents and Permits</w:t>
      </w:r>
      <w:r>
        <w:rPr>
          <w:rFonts w:ascii="Arial" w:cs="Arial" w:eastAsia="Arial" w:hAnsi="Arial"/>
          <w:sz w:val="17"/>
          <w:szCs w:val="17"/>
          <w:color w:val="auto"/>
        </w:rPr>
        <w:t>. (1) The Company and its Subsidiary have made all filings, applications and submissions required by, and possesses all approvals, licenses, certificates, certifications, clearances, consents, exemptions, marks, notifications, orders, permits and other authorizations issued by, the appropriate federal, state or foreign regulatory authorities (including, without limitation, the FDA, and any other foreign, federal, state or local government or regulatory authorities performing functions similar to those performed by the FDA) necessary for the ownership or lease of their respective properties or to conduct its businesses as described in the Registration Statement and the Prospectus (collectively,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except for such Permits the failure of which to possess, obtain or make the same would not reasonably be expected to have a Material Adverse Effect; and neither the Company nor its Subsidiary has received any written notice of proceedings relating to the limitation, revocation, cancellation, suspension, modification or non-renewal of any such Permit which, singly or in the aggregate, if the subject of an unfavorable decision, ruling or finding, would have a Material Adverse Effect, and has any reason to believe that any such license, certificate, permit or authorization will not be renewed in the ordinary course. (2) No approval, authorization, consent or order of or filing with any national, state or local governmental or regulatory commission, board, body, authority or agency is required in connection with the issuance and sale of the Placement Shares or the consummation by the Company of the transactions contemplated hereby other than (i) registration of the Placement Shares under the Securities Act, (ii) any necessary qualification under the securities or blue sky laws of the various jurisdictions in which the Placement Shares are being offered by CF&amp;Co, (iii) filing of any reports under the Exchange Act, (iv) such approvals obtained or to be obtained in connection with the approval of the listing of the Placement Shares on the Exchange, or (v) such approvals as may be required by the rules of the National Association of Securities Dealers (“</w:t>
      </w:r>
      <w:r>
        <w:rPr>
          <w:rFonts w:ascii="Arial" w:cs="Arial" w:eastAsia="Arial" w:hAnsi="Arial"/>
          <w:sz w:val="17"/>
          <w:szCs w:val="17"/>
          <w:b w:val="1"/>
          <w:bCs w:val="1"/>
          <w:u w:val="single" w:color="auto"/>
          <w:color w:val="auto"/>
        </w:rPr>
        <w:t>NASD</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firstLine="458"/>
        <w:spacing w:after="0" w:line="270" w:lineRule="auto"/>
        <w:tabs>
          <w:tab w:leader="none" w:pos="75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 Preferential Rights</w:t>
      </w:r>
      <w:r>
        <w:rPr>
          <w:rFonts w:ascii="Arial" w:cs="Arial" w:eastAsia="Arial" w:hAnsi="Arial"/>
          <w:sz w:val="17"/>
          <w:szCs w:val="17"/>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has the right, contractual or otherwise, to cause the Company to issue or sell to such Person any shares of Common Stock or shares of any other capital stock or other securities of the Company, (ii) no Person has any preemptive rights, resale rights, rights of first refusal, or any other rights (whether pursuant to a “poison pill” provision or otherwise) to purchase any shares of Common Stock or shares of any other capital stock or other securities of the Company, (iii) except as disclosed to CF&amp;Co or its agents in connection with the transactions contemplated hereby, no Person has the right to act as an underwriter or as a financial advisor to the Company in connection with the offer and sale of the Shares, and (iv) 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65" w:lineRule="exact"/>
        <w:rPr>
          <w:rFonts w:ascii="Arial" w:cs="Arial" w:eastAsia="Arial" w:hAnsi="Arial"/>
          <w:sz w:val="17"/>
          <w:szCs w:val="17"/>
          <w:color w:val="auto"/>
        </w:rPr>
      </w:pPr>
    </w:p>
    <w:p>
      <w:pPr>
        <w:ind w:right="40" w:firstLine="458"/>
        <w:spacing w:after="0" w:line="282" w:lineRule="auto"/>
        <w:tabs>
          <w:tab w:leader="none" w:pos="75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Independent Public Accountant</w:t>
      </w:r>
      <w:r>
        <w:rPr>
          <w:rFonts w:ascii="Arial" w:cs="Arial" w:eastAsia="Arial" w:hAnsi="Arial"/>
          <w:sz w:val="18"/>
          <w:szCs w:val="18"/>
          <w:color w:val="auto"/>
        </w:rPr>
        <w:t>. Grant Thornton LLP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Grant Thornton</w:t>
      </w:r>
      <w:r>
        <w:rPr>
          <w:rFonts w:ascii="Arial" w:cs="Arial" w:eastAsia="Arial" w:hAnsi="Arial"/>
          <w:sz w:val="18"/>
          <w:szCs w:val="18"/>
          <w:b w:val="1"/>
          <w:bCs w:val="1"/>
          <w:color w:val="auto"/>
        </w:rPr>
        <w:t>”</w:t>
      </w:r>
      <w:r>
        <w:rPr>
          <w:rFonts w:ascii="Arial" w:cs="Arial" w:eastAsia="Arial" w:hAnsi="Arial"/>
          <w:sz w:val="18"/>
          <w:szCs w:val="18"/>
          <w:color w:val="auto"/>
        </w:rPr>
        <w:t>), whose report on the consolidated financial statements of the Company is filed with the Commission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part of the Registration Statement and the Prospectus, are and, during the periods covered by their report, were independent public accountants within the meaning of the Securities Act and the Public Accounting Oversight Board (United States).</w:t>
      </w:r>
    </w:p>
    <w:p>
      <w:pPr>
        <w:spacing w:after="0" w:line="62" w:lineRule="exact"/>
        <w:rPr>
          <w:sz w:val="20"/>
          <w:szCs w:val="20"/>
          <w:color w:val="auto"/>
        </w:rPr>
      </w:pPr>
    </w:p>
    <w:p>
      <w:pPr>
        <w:ind w:right="240" w:firstLine="458"/>
        <w:spacing w:after="0" w:line="291" w:lineRule="auto"/>
        <w:tabs>
          <w:tab w:leader="none" w:pos="75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To the knowledge of the Company, all agreements between the Company and third parties expressly referenced in the Prospectus are legal, valid and binding obligations of the Company enforceable in accordance with their respective terms, except to the extent that</w:t>
      </w:r>
    </w:p>
    <w:p>
      <w:pPr>
        <w:ind w:right="280" w:firstLine="8"/>
        <w:spacing w:after="0" w:line="254"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enforceability may be limited by bankruptcy, insolvency, reorganization, moratorium or similar laws affecting creditors’ rights generally and by general equitable principles and (ii) the indemnification provisions of certain agreements may be limited be federal or state securities laws or public policy considerations in respect thereof and except for any unenforceability that, individually or in the aggregate, would not unreasonably be expected to have a Material Adverse Effect.</w:t>
      </w:r>
    </w:p>
    <w:p>
      <w:pPr>
        <w:spacing w:after="0" w:line="81" w:lineRule="exact"/>
        <w:rPr>
          <w:rFonts w:ascii="Arial" w:cs="Arial" w:eastAsia="Arial" w:hAnsi="Arial"/>
          <w:sz w:val="18"/>
          <w:szCs w:val="18"/>
          <w:color w:val="auto"/>
        </w:rPr>
      </w:pPr>
    </w:p>
    <w:p>
      <w:pPr>
        <w:ind w:right="100" w:firstLine="458"/>
        <w:spacing w:after="0" w:line="276" w:lineRule="auto"/>
        <w:tabs>
          <w:tab w:leader="none" w:pos="75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Except as disclosed in the Registration Statement and the Prospectus, there are no actions, suits, claims, investigations, inquiries or proceedings pending or, to the best of the Company’s knowledge, threatened to which either the Company or, to the Company’s knowledge, the Subsidiary, nor any of their respective officers or directors is a party or of which any of their respective properties or other assets is subject at law or in equity, or before or by any federal, state, local or foreign governmental or regulatory commission, board, body, authority or agency that could reasonably be expected to result in a judgment, decree or order having individually or in the aggregate a Material Adverse Effect.</w:t>
      </w:r>
    </w:p>
    <w:p>
      <w:pPr>
        <w:spacing w:after="0" w:line="64" w:lineRule="exact"/>
        <w:rPr>
          <w:rFonts w:ascii="Arial" w:cs="Arial" w:eastAsia="Arial" w:hAnsi="Arial"/>
          <w:sz w:val="17"/>
          <w:szCs w:val="17"/>
          <w:color w:val="auto"/>
        </w:rPr>
      </w:pPr>
    </w:p>
    <w:p>
      <w:pPr>
        <w:ind w:right="140" w:firstLine="458"/>
        <w:spacing w:after="0" w:line="255"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Regulatory Filings</w:t>
      </w:r>
      <w:r>
        <w:rPr>
          <w:rFonts w:ascii="Arial" w:cs="Arial" w:eastAsia="Arial" w:hAnsi="Arial"/>
          <w:sz w:val="18"/>
          <w:szCs w:val="18"/>
          <w:color w:val="auto"/>
        </w:rPr>
        <w:t>. Neither the Company nor its Subsidiary has failed to file with the applicable regulatory authorities (including, without limitation, the FDA or any foreign, federal, state or local governmental or regulatory authority performing functions similar to those performed by the FDA) any filing, declaration, listing, registration, report or submission, except for such failures that, individually or in the aggregate, would not reasonably be expected to have a Material Adverse Effect;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reasonably be expected to have a Material Adverse Effect.</w:t>
      </w:r>
    </w:p>
    <w:p>
      <w:pPr>
        <w:spacing w:after="0" w:line="81" w:lineRule="exact"/>
        <w:rPr>
          <w:rFonts w:ascii="Arial" w:cs="Arial" w:eastAsia="Arial" w:hAnsi="Arial"/>
          <w:sz w:val="18"/>
          <w:szCs w:val="18"/>
          <w:color w:val="auto"/>
        </w:rPr>
      </w:pPr>
    </w:p>
    <w:p>
      <w:pPr>
        <w:ind w:right="400" w:firstLine="458"/>
        <w:spacing w:after="0" w:line="277" w:lineRule="auto"/>
        <w:tabs>
          <w:tab w:leader="none" w:pos="73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Market Capitalization</w:t>
      </w:r>
      <w:r>
        <w:rPr>
          <w:rFonts w:ascii="Arial" w:cs="Arial" w:eastAsia="Arial" w:hAnsi="Arial"/>
          <w:sz w:val="18"/>
          <w:szCs w:val="18"/>
          <w:color w:val="auto"/>
        </w:rPr>
        <w:t>. As of the date of this Agreement, the aggregate market value of the Company’s voting stock held by nonaffiliates of the Company was equal to or greater than $150 million.</w:t>
      </w:r>
    </w:p>
    <w:p>
      <w:pPr>
        <w:spacing w:after="0" w:line="62" w:lineRule="exact"/>
        <w:rPr>
          <w:rFonts w:ascii="Arial" w:cs="Arial" w:eastAsia="Arial" w:hAnsi="Arial"/>
          <w:sz w:val="18"/>
          <w:szCs w:val="18"/>
          <w:color w:val="auto"/>
        </w:rPr>
      </w:pPr>
    </w:p>
    <w:p>
      <w:pPr>
        <w:ind w:firstLine="458"/>
        <w:spacing w:after="0" w:line="286" w:lineRule="auto"/>
        <w:tabs>
          <w:tab w:leader="none" w:pos="71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No Material Changes</w:t>
      </w:r>
      <w:r>
        <w:rPr>
          <w:rFonts w:ascii="Arial" w:cs="Arial" w:eastAsia="Arial" w:hAnsi="Arial"/>
          <w:sz w:val="17"/>
          <w:szCs w:val="17"/>
          <w:color w:val="auto"/>
        </w:rPr>
        <w:t>. Subsequent to the respective dates as of which information is given in, or incorporated by reference into, the Registration Statement and the Prospectus, there has not been (i) any change, development, or event that has caused, or could reasonably be expected to result, individually or in the aggregate, in, a Material Adverse Effect or (ii) any change in the number of authorized shares of capital stock.</w:t>
      </w:r>
    </w:p>
    <w:p>
      <w:pPr>
        <w:spacing w:after="0" w:line="57" w:lineRule="exact"/>
        <w:rPr>
          <w:rFonts w:ascii="Arial" w:cs="Arial" w:eastAsia="Arial" w:hAnsi="Arial"/>
          <w:sz w:val="17"/>
          <w:szCs w:val="17"/>
          <w:color w:val="auto"/>
        </w:rPr>
      </w:pPr>
    </w:p>
    <w:p>
      <w:pPr>
        <w:ind w:right="80" w:firstLine="458"/>
        <w:spacing w:after="0" w:line="264" w:lineRule="auto"/>
        <w:tabs>
          <w:tab w:leader="none" w:pos="75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the Subsidiary has defaulted on any installment on indebtedness for borrowed money or on any rental on one or more long-term leases, which defaults, individually or in the aggregate, could reasonably be expected to have a Material Adverse Effect. The Company has not filed a report pursuant to Section 13(a) or 15(d)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both"/>
        <w:ind w:right="40"/>
        <w:spacing w:after="0" w:line="264" w:lineRule="auto"/>
        <w:rPr>
          <w:sz w:val="20"/>
          <w:szCs w:val="20"/>
          <w:color w:val="auto"/>
        </w:rPr>
      </w:pPr>
      <w:r>
        <w:rPr>
          <w:rFonts w:ascii="Arial" w:cs="Arial" w:eastAsia="Arial" w:hAnsi="Arial"/>
          <w:sz w:val="18"/>
          <w:szCs w:val="18"/>
          <w:color w:val="auto"/>
        </w:rPr>
        <w:t>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p>
      <w:pPr>
        <w:spacing w:after="0" w:line="73" w:lineRule="exact"/>
        <w:rPr>
          <w:sz w:val="20"/>
          <w:szCs w:val="20"/>
          <w:color w:val="auto"/>
        </w:rPr>
      </w:pPr>
    </w:p>
    <w:p>
      <w:pPr>
        <w:ind w:right="80" w:firstLine="458"/>
        <w:spacing w:after="0" w:line="259"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to the Company’s knowledge, the Subsidiary,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78" w:lineRule="exact"/>
        <w:rPr>
          <w:rFonts w:ascii="Arial" w:cs="Arial" w:eastAsia="Arial" w:hAnsi="Arial"/>
          <w:sz w:val="18"/>
          <w:szCs w:val="18"/>
          <w:color w:val="auto"/>
        </w:rPr>
      </w:pPr>
    </w:p>
    <w:p>
      <w:pPr>
        <w:ind w:right="40" w:firstLine="458"/>
        <w:spacing w:after="0" w:line="286" w:lineRule="auto"/>
        <w:tabs>
          <w:tab w:leader="none" w:pos="79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Broker/Dealer Relationships</w:t>
      </w:r>
      <w:r>
        <w:rPr>
          <w:rFonts w:ascii="Arial" w:cs="Arial" w:eastAsia="Arial" w:hAnsi="Arial"/>
          <w:sz w:val="17"/>
          <w:szCs w:val="17"/>
          <w:color w:val="auto"/>
        </w:rPr>
        <w:t>. Neither the Company nor the Subsidiary or any related entities (i) is required to register as a “broker” or “dealer” in accordance with the provisions of the Exchange Act or (ii) directly or indirectly through one or more intermediaries, controls or is a “person associated with a [NASD] member” or “associated person of a [NASD] member” (within the meaning of Article I of the Bylaws of the NASD).</w:t>
      </w:r>
    </w:p>
    <w:p>
      <w:pPr>
        <w:spacing w:after="0" w:line="57" w:lineRule="exact"/>
        <w:rPr>
          <w:rFonts w:ascii="Arial" w:cs="Arial" w:eastAsia="Arial" w:hAnsi="Arial"/>
          <w:sz w:val="17"/>
          <w:szCs w:val="17"/>
          <w:color w:val="auto"/>
        </w:rPr>
      </w:pPr>
    </w:p>
    <w:p>
      <w:pPr>
        <w:ind w:right="100" w:firstLine="458"/>
        <w:spacing w:after="0" w:line="277"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CF&amp;Co or legal counsel for CF&amp;Co for any legal, tax or accounting advice in connection with the offering and sale of the Placement Shares.</w:t>
      </w:r>
    </w:p>
    <w:p>
      <w:pPr>
        <w:spacing w:after="0" w:line="62" w:lineRule="exact"/>
        <w:rPr>
          <w:rFonts w:ascii="Arial" w:cs="Arial" w:eastAsia="Arial" w:hAnsi="Arial"/>
          <w:sz w:val="18"/>
          <w:szCs w:val="18"/>
          <w:color w:val="auto"/>
        </w:rPr>
      </w:pPr>
    </w:p>
    <w:p>
      <w:pPr>
        <w:ind w:firstLine="458"/>
        <w:spacing w:after="0" w:line="291" w:lineRule="auto"/>
        <w:tabs>
          <w:tab w:leader="none" w:pos="75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and, to the Company’s knowledge, the Subsidiary has filed on a timely basis (taking into account all applicable extensions) all necessary federal, state, local and foreign income and franchise tax returns, if any such returns were required to be filed, through the date hereof and have paid all taxes shown as due thereon except for any failure to file or pay which, individually or in the aggregate, would not reasonably be expected to have a Material Adverse Effect. No tax deficiency has been asserted against the Company or, to the Company’s knowledge, the Subsidiary, nor does the Company know of any tax deficiency that is likely to be asserted against any such entity that, if determined adversely to any such entity, could reasonably be expected to have a Material Adverse Effect. All tax liabilities, if any, are adequately provided for on the books of the Company and, to the Company’s knowledge, the Subsidiary, except for such tax liabilities that, individually or in the aggregate, would not reasonably be expected to have a Material Adverse Effect.</w:t>
      </w:r>
    </w:p>
    <w:p>
      <w:pPr>
        <w:spacing w:after="0" w:line="59" w:lineRule="exact"/>
        <w:rPr>
          <w:rFonts w:ascii="Arial" w:cs="Arial" w:eastAsia="Arial" w:hAnsi="Arial"/>
          <w:sz w:val="16"/>
          <w:szCs w:val="16"/>
          <w:color w:val="auto"/>
        </w:rPr>
      </w:pPr>
    </w:p>
    <w:p>
      <w:pPr>
        <w:ind w:right="40" w:firstLine="458"/>
        <w:spacing w:after="0" w:line="25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set forth in the Prospectus, the Company and its Subsidiary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“Intellectual Property”), necessary for the conduct of their respective businesses as now conducted or as proposed in the Prospectus to be conducted except to the extent that the failure to own, possess, license or otherwise hold adequate rights to use such Intellectual Property would not, individually or in the aggregate, have a Material Adverse Effect. Except as set forth in the Prospectus, (a) there are no rights of third parties to any such Intellectual Property owned by the Company and its Subsidiary; (b) to the Company’s knowledge, there is no infringement by third parties of any such Intellectual Property; (c) to the Company’s knowledge, there is no pending or threatened action, suit,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line="291" w:lineRule="auto"/>
        <w:rPr>
          <w:sz w:val="20"/>
          <w:szCs w:val="20"/>
          <w:color w:val="auto"/>
        </w:rPr>
      </w:pPr>
      <w:r>
        <w:rPr>
          <w:rFonts w:ascii="Arial" w:cs="Arial" w:eastAsia="Arial" w:hAnsi="Arial"/>
          <w:sz w:val="16"/>
          <w:szCs w:val="16"/>
          <w:color w:val="auto"/>
        </w:rPr>
        <w:t>proceeding or claim by others challenging the Company’s and its Subsidiary’ rights in or to any such Intellectual Property; (d) to the Company’s knowledge, there is no pending or threatened action, suit, proceeding or claim by others challenging the validity or scope of any such Intellectual Property; (e) there is no pending or, to the Company’s knowledge, threatened action, suit, proceeding or claim by others that the Company and its Subsidiary infringe or otherwise violate any patent, trademark, copyright, trade secret or other proprietary rights of others; and (f) to the Company’s knowledge, there is no third-party U.S. patent or published U.S. patent application which contains claims for which an Interference Proceeding (as defined in 35 U.S.C. § 135) have been commenced against any patent or patent application described in the Prospectus as being owned by or licensed to the Company, in each of clauses (a)-(f) except for such infringement, conflict or action which would not, singularly or in the aggregate, reasonably be expected to result in a Material Adverse Effect.</w:t>
      </w:r>
    </w:p>
    <w:p>
      <w:pPr>
        <w:spacing w:after="0" w:line="59" w:lineRule="exact"/>
        <w:rPr>
          <w:sz w:val="20"/>
          <w:szCs w:val="20"/>
          <w:color w:val="auto"/>
        </w:rPr>
      </w:pPr>
    </w:p>
    <w:p>
      <w:pPr>
        <w:ind w:right="100" w:firstLine="458"/>
        <w:spacing w:after="0" w:line="291"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Clinical Studies</w:t>
      </w:r>
      <w:r>
        <w:rPr>
          <w:rFonts w:ascii="Arial" w:cs="Arial" w:eastAsia="Arial" w:hAnsi="Arial"/>
          <w:sz w:val="16"/>
          <w:szCs w:val="16"/>
          <w:color w:val="auto"/>
        </w:rPr>
        <w:t>. The clinical, pre-clinical and other studies and tests conducted by or on behalf of or sponsored by the Company and its Subsidiary were and, if still pending, are being conducted in accordance in all material respects with all statutes, laws, rules and regulations, as applicable (including, without limitation, those administered by the FDA or by any foreign, federal, state or local governmental or regulatory authority performing functions similar to those performed by the FDA). The descriptions in the Registration Statement and Prospectus of the results of such studies and tests are accurate and complete in all material respects. Except as set forth in the Prospectus, neither the Company nor its Subsidiary has received any notices or other correspondence from the FDA or any other foreign, federal, state or local governmental or regulatory authority performing functions similar to those performed by the FDA with respect to any ongoing clinical or pre-clinical studies or tests requiring the termination or suspension of such studies or tests.</w:t>
      </w:r>
    </w:p>
    <w:p>
      <w:pPr>
        <w:spacing w:after="0" w:line="59" w:lineRule="exact"/>
        <w:rPr>
          <w:rFonts w:ascii="Arial" w:cs="Arial" w:eastAsia="Arial" w:hAnsi="Arial"/>
          <w:sz w:val="16"/>
          <w:szCs w:val="16"/>
          <w:color w:val="auto"/>
        </w:rPr>
      </w:pPr>
    </w:p>
    <w:p>
      <w:pPr>
        <w:ind w:firstLine="458"/>
        <w:spacing w:after="0" w:line="31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Compliance Program</w:t>
      </w:r>
      <w:r>
        <w:rPr>
          <w:rFonts w:ascii="Arial" w:cs="Arial" w:eastAsia="Arial" w:hAnsi="Arial"/>
          <w:sz w:val="16"/>
          <w:szCs w:val="16"/>
          <w:color w:val="auto"/>
        </w:rPr>
        <w: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and any other foreign, federal, state or local governmental or regulatory authority performing functions similar to those performed by the FDA).</w:t>
      </w:r>
    </w:p>
    <w:p>
      <w:pPr>
        <w:spacing w:after="0" w:line="38" w:lineRule="exact"/>
        <w:rPr>
          <w:rFonts w:ascii="Arial" w:cs="Arial" w:eastAsia="Arial" w:hAnsi="Arial"/>
          <w:sz w:val="16"/>
          <w:szCs w:val="16"/>
          <w:color w:val="auto"/>
        </w:rPr>
      </w:pPr>
    </w:p>
    <w:p>
      <w:pPr>
        <w:ind w:firstLine="458"/>
        <w:spacing w:after="0" w:line="25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Subsidiary: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(ii) have received and are in compliance with all permits, licenses and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or other approvals or any such liability as would not, individually or in the aggregate, reasonably be expected to have a Material Adverse Effect.</w:t>
      </w:r>
    </w:p>
    <w:p>
      <w:pPr>
        <w:spacing w:after="0" w:line="84" w:lineRule="exact"/>
        <w:rPr>
          <w:rFonts w:ascii="Arial" w:cs="Arial" w:eastAsia="Arial" w:hAnsi="Arial"/>
          <w:sz w:val="18"/>
          <w:szCs w:val="18"/>
          <w:color w:val="auto"/>
        </w:rPr>
      </w:pPr>
    </w:p>
    <w:p>
      <w:pPr>
        <w:ind w:right="680" w:firstLine="458"/>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Accounting Controls</w:t>
      </w:r>
      <w:r>
        <w:rPr>
          <w:rFonts w:ascii="Arial" w:cs="Arial" w:eastAsia="Arial" w:hAnsi="Arial"/>
          <w:sz w:val="18"/>
          <w:szCs w:val="18"/>
          <w:color w:val="auto"/>
        </w:rPr>
        <w:t>. The Company and its Subsidiary maintain a system of internal accounting controls sufficient to provide reasonable assurances that (i) transactions are executed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79" w:lineRule="exact"/>
        <w:rPr>
          <w:sz w:val="20"/>
          <w:szCs w:val="20"/>
          <w:color w:val="auto"/>
        </w:rPr>
      </w:pPr>
    </w:p>
    <w:p>
      <w:pPr>
        <w:ind w:firstLine="458"/>
        <w:spacing w:after="0" w:line="284"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xml:space="preserve">. The Company has established and maintains disclosure controls and procedures (as such term is defined in Rule 13a-15e and 15d-15e under the Exchange Act), which are designed to ensure that material information relating to the Company is made known to the Company’s principal executive officer and its principal financial officer by others within those entities, and that such disclosure controls and procedures are appropriate to allow timely decisions regarding required disclosure to be included in the Company’s periodic filings under the Exchange Act. The Company’s certifying officers have evaluated the effectiveness of the Company’s disclosure controls and procedures as of the most recently ended quarter (such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Evaluation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Date</w:t>
      </w:r>
      <w:r>
        <w:rPr>
          <w:rFonts w:ascii="Arial" w:cs="Arial" w:eastAsia="Arial" w:hAnsi="Arial"/>
          <w:sz w:val="16"/>
          <w:szCs w:val="16"/>
          <w:b w:val="1"/>
          <w:bCs w:val="1"/>
          <w:color w:val="auto"/>
        </w:rPr>
        <w:t>”</w:t>
      </w:r>
      <w:r>
        <w:rPr>
          <w:rFonts w:ascii="Arial" w:cs="Arial" w:eastAsia="Arial" w:hAnsi="Arial"/>
          <w:sz w:val="16"/>
          <w:szCs w:val="16"/>
          <w:color w:val="auto"/>
        </w:rPr>
        <w:t>). The Company presented in its most recently filed periodic report the conclusions of the certifying officers about the effectiveness of the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and procedures based on their evaluations as of the Evaluation Date. Except as disclosed in the Registration Statement and the Prospectus and since the Evaluation Date, there have been no changes in the Company’s internal control over financial reporting (as such term is defined in Exchange Act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Rules 13a-15 and 15d-15) that has materially affected, or is reasonably likely to materially affect, the Company’s internal control over financial reporting.</w:t>
      </w:r>
    </w:p>
    <w:p>
      <w:pPr>
        <w:spacing w:after="0" w:line="125" w:lineRule="exact"/>
        <w:rPr>
          <w:rFonts w:ascii="Arial" w:cs="Arial" w:eastAsia="Arial" w:hAnsi="Arial"/>
          <w:sz w:val="16"/>
          <w:szCs w:val="16"/>
          <w:color w:val="auto"/>
        </w:rPr>
      </w:pPr>
    </w:p>
    <w:p>
      <w:pPr>
        <w:ind w:firstLine="458"/>
        <w:spacing w:after="0" w:line="277" w:lineRule="auto"/>
        <w:tabs>
          <w:tab w:leader="none" w:pos="77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presently applicable provisions of the Sarbanes-Oxley Act of 2002 (the “</w:t>
      </w: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and the rules and regulations of the Commission and NASDAQ promulgated thereunder.</w:t>
      </w:r>
    </w:p>
    <w:p>
      <w:pPr>
        <w:spacing w:after="0" w:line="62" w:lineRule="exact"/>
        <w:rPr>
          <w:rFonts w:ascii="Arial" w:cs="Arial" w:eastAsia="Arial" w:hAnsi="Arial"/>
          <w:sz w:val="18"/>
          <w:szCs w:val="18"/>
          <w:color w:val="auto"/>
        </w:rPr>
      </w:pPr>
    </w:p>
    <w:p>
      <w:pPr>
        <w:ind w:right="100" w:firstLine="458"/>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Finder’s Fees</w:t>
      </w:r>
      <w:r>
        <w:rPr>
          <w:rFonts w:ascii="Arial" w:cs="Arial" w:eastAsia="Arial" w:hAnsi="Arial"/>
          <w:sz w:val="18"/>
          <w:szCs w:val="18"/>
          <w:color w:val="auto"/>
        </w:rPr>
        <w:t>. Neither the Company nor the Subsidiary has incurred any liability for any finder’s fees or similar payments in connection with the transactions herein contemplated, except as may otherwise exist with respect to CF&amp;Co pursuant to this Agreement.</w:t>
      </w:r>
    </w:p>
    <w:p>
      <w:pPr>
        <w:spacing w:after="0" w:line="62" w:lineRule="exact"/>
        <w:rPr>
          <w:rFonts w:ascii="Arial" w:cs="Arial" w:eastAsia="Arial" w:hAnsi="Arial"/>
          <w:sz w:val="18"/>
          <w:szCs w:val="18"/>
          <w:color w:val="auto"/>
        </w:rPr>
      </w:pPr>
    </w:p>
    <w:p>
      <w:pPr>
        <w:ind w:right="400" w:firstLine="458"/>
        <w:spacing w:after="0" w:line="342"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Labor Disputes</w:t>
      </w:r>
      <w:r>
        <w:rPr>
          <w:rFonts w:ascii="Arial" w:cs="Arial" w:eastAsia="Arial" w:hAnsi="Arial"/>
          <w:sz w:val="16"/>
          <w:szCs w:val="16"/>
          <w:color w:val="auto"/>
        </w:rPr>
        <w:t>. There are no existing or threatened labor disputes with the employees of the Company or, to the Company’s knowledge, any Subsidiary that, individually or in the aggregate, could reasonably be expected to have individually or in the aggregate a Material Adverse Effect.</w:t>
      </w:r>
    </w:p>
    <w:p>
      <w:pPr>
        <w:spacing w:after="0" w:line="15" w:lineRule="exact"/>
        <w:rPr>
          <w:rFonts w:ascii="Arial" w:cs="Arial" w:eastAsia="Arial" w:hAnsi="Arial"/>
          <w:sz w:val="16"/>
          <w:szCs w:val="16"/>
          <w:color w:val="auto"/>
        </w:rPr>
      </w:pPr>
    </w:p>
    <w:p>
      <w:pPr>
        <w:ind w:right="20" w:firstLine="458"/>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the Subsidiary,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0" w:firstLine="458"/>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Casualty</w:t>
      </w:r>
      <w:r>
        <w:rPr>
          <w:rFonts w:ascii="Arial" w:cs="Arial" w:eastAsia="Arial" w:hAnsi="Arial"/>
          <w:sz w:val="18"/>
          <w:szCs w:val="18"/>
          <w:color w:val="auto"/>
        </w:rPr>
        <w:t>. Neither the Company nor, to the Company’s knowledge, the Subsidiary has sustained since the date of the last audited financial statements included in the Registration Statement and the Prospectus any loss or interference with its respective business from fire, explosion, flood or other calamity, whether or not covered by insurance, or from any labor dispute or court or governmental action, order or decree, in each case that, individually or in the aggregate, could reasonably be expected to have a Material Adverse Effect.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left="-8" w:right="100" w:firstLine="458"/>
        <w:spacing w:after="0" w:line="277" w:lineRule="auto"/>
        <w:tabs>
          <w:tab w:leader="none" w:pos="83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is not a party to any agreement with an agent or underwriter for any other “at-the-market” or continuous equity transaction.</w:t>
      </w:r>
    </w:p>
    <w:p>
      <w:pPr>
        <w:spacing w:after="0" w:line="62" w:lineRule="exact"/>
        <w:rPr>
          <w:rFonts w:ascii="Arial" w:cs="Arial" w:eastAsia="Arial" w:hAnsi="Arial"/>
          <w:sz w:val="18"/>
          <w:szCs w:val="18"/>
          <w:color w:val="auto"/>
        </w:rPr>
      </w:pPr>
    </w:p>
    <w:p>
      <w:pPr>
        <w:ind w:left="-8" w:firstLine="458"/>
        <w:spacing w:after="0" w:line="284" w:lineRule="auto"/>
        <w:tabs>
          <w:tab w:leader="none" w:pos="75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The Company and the Subsidiary are in compliance with all presently applicable provisions of the Employee Retirement Income Security Act of 1974, as amended, including the regulations and published interpretations thereunder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except for any noncompliance that, individually or in the aggregate, would not reasonably be expected to have a Material Adverse Effect. No “reportable event” (as defined in section 4043 of ERISA) for which the Pension Benefit Guaranty Corporation has not waived the notice requirement has occurred in the past three years with respect to any “pension plan” (as defined in ERISA) for which the Company and the Subsidiary would reasonably expect to have any liability. The Company and the Subsidiary have not incurred and do not reasonably expect to incur liability under (i) Title IV of ERISA with respect to termination of, or withdrawal from, any “pension plan” or</w:t>
      </w:r>
    </w:p>
    <w:p>
      <w:pPr>
        <w:spacing w:after="0" w:line="4" w:lineRule="exact"/>
        <w:rPr>
          <w:rFonts w:ascii="Arial" w:cs="Arial" w:eastAsia="Arial" w:hAnsi="Arial"/>
          <w:sz w:val="16"/>
          <w:szCs w:val="16"/>
          <w:color w:val="auto"/>
        </w:rPr>
      </w:pPr>
    </w:p>
    <w:p>
      <w:pPr>
        <w:ind w:left="-8" w:right="100" w:firstLine="8"/>
        <w:spacing w:after="0" w:line="255" w:lineRule="auto"/>
        <w:tabs>
          <w:tab w:leader="none" w:pos="2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Sections 412 or 4971 of the Code. Each “pension plan” for which the Company or the Subsidiary would have any liability that is intended to be qualified under Section 401(a) of the Code has received a favorable determination or opinion letter to that effect and, to the Company’s knowledge, no event has occurred since the date of such letter that could reasonably be expected to result in the loss of such qualification.</w:t>
      </w:r>
    </w:p>
    <w:p>
      <w:pPr>
        <w:spacing w:after="0" w:line="82" w:lineRule="exact"/>
        <w:rPr>
          <w:rFonts w:ascii="Arial" w:cs="Arial" w:eastAsia="Arial" w:hAnsi="Arial"/>
          <w:sz w:val="18"/>
          <w:szCs w:val="18"/>
          <w:color w:val="auto"/>
        </w:rPr>
      </w:pPr>
    </w:p>
    <w:p>
      <w:pPr>
        <w:ind w:left="-8" w:right="220" w:firstLine="458"/>
        <w:spacing w:after="0" w:line="264" w:lineRule="auto"/>
        <w:tabs>
          <w:tab w:leader="none" w:pos="93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Forward Looking Statements</w:t>
      </w:r>
      <w:r>
        <w:rPr>
          <w:rFonts w:ascii="Arial" w:cs="Arial" w:eastAsia="Arial" w:hAnsi="Arial"/>
          <w:sz w:val="18"/>
          <w:szCs w:val="18"/>
          <w:color w:val="auto"/>
        </w:rPr>
        <w:t>. No forward looking statement within the meaning of Section 27A of the Securities Act and Section 21E of the Exchange Act contained in the the Registration Statement and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left="-8" w:right="40" w:firstLine="458"/>
        <w:spacing w:after="0" w:line="257" w:lineRule="auto"/>
        <w:tabs>
          <w:tab w:leader="none" w:pos="83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CF&amp;Co Purchases</w:t>
      </w:r>
      <w:r>
        <w:rPr>
          <w:rFonts w:ascii="Arial" w:cs="Arial" w:eastAsia="Arial" w:hAnsi="Arial"/>
          <w:sz w:val="18"/>
          <w:szCs w:val="18"/>
          <w:color w:val="auto"/>
        </w:rPr>
        <w:t xml:space="preserve">. The Company acknowledges and agrees that CF&amp;Co has informed the Company that CF&amp;Co may, to the extent permitted under the Securities Act and the Exchange Act, purchase and sell shares of Common Stock for its own account while this Agreement is in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(i) no such purchase or sales shall take place while a Placement Notice is in effect (except to the extent CF&amp;Co may engage in sales of Placement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or deemed purchased from the Company as a “riskless principal” or in a similar capacity) and (ii) the Company shall not be deemed to have authorized or consented to any such purchases or sales by CF&amp;Co.</w:t>
      </w:r>
    </w:p>
    <w:p>
      <w:pPr>
        <w:spacing w:after="0" w:line="80" w:lineRule="exact"/>
        <w:rPr>
          <w:rFonts w:ascii="Arial" w:cs="Arial" w:eastAsia="Arial" w:hAnsi="Arial"/>
          <w:sz w:val="18"/>
          <w:szCs w:val="18"/>
          <w:color w:val="auto"/>
        </w:rPr>
      </w:pPr>
    </w:p>
    <w:p>
      <w:pPr>
        <w:ind w:left="-8" w:right="80" w:firstLine="458"/>
        <w:spacing w:after="0" w:line="286" w:lineRule="auto"/>
        <w:tabs>
          <w:tab w:leader="none" w:pos="83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to the Company’s knowledge, the Subsidiary,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w:t>
      </w:r>
    </w:p>
    <w:p>
      <w:pPr>
        <w:spacing w:after="0" w:line="1" w:lineRule="exact"/>
        <w:rPr>
          <w:rFonts w:ascii="Arial" w:cs="Arial" w:eastAsia="Arial" w:hAnsi="Arial"/>
          <w:sz w:val="16"/>
          <w:szCs w:val="16"/>
          <w:color w:val="auto"/>
        </w:rPr>
      </w:pPr>
    </w:p>
    <w:p>
      <w:pPr>
        <w:ind w:left="-8" w:right="60" w:firstLine="8"/>
        <w:spacing w:after="0" w:line="252" w:lineRule="auto"/>
        <w:tabs>
          <w:tab w:leader="none" w:pos="2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the NASD to be described in the Registration Statement and the</w:t>
      </w:r>
    </w:p>
    <w:p>
      <w:pPr>
        <w:spacing w:after="0" w:line="16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19" w:name="page20"/>
    <w:bookmarkEnd w:id="19"/>
    <w:p>
      <w:pPr>
        <w:jc w:val="both"/>
        <w:ind w:right="60"/>
        <w:spacing w:after="0" w:line="264" w:lineRule="auto"/>
        <w:rPr>
          <w:sz w:val="20"/>
          <w:szCs w:val="20"/>
          <w:color w:val="auto"/>
        </w:rPr>
      </w:pPr>
      <w:r>
        <w:rPr>
          <w:rFonts w:ascii="Arial" w:cs="Arial" w:eastAsia="Arial" w:hAnsi="Arial"/>
          <w:sz w:val="18"/>
          <w:szCs w:val="18"/>
          <w:color w:val="auto"/>
        </w:rPr>
        <w:t>Prospectus that is not so described; and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w:t>
      </w:r>
    </w:p>
    <w:p>
      <w:pPr>
        <w:spacing w:after="0" w:line="73" w:lineRule="exact"/>
        <w:rPr>
          <w:sz w:val="20"/>
          <w:szCs w:val="20"/>
          <w:color w:val="auto"/>
        </w:rPr>
      </w:pPr>
    </w:p>
    <w:p>
      <w:pPr>
        <w:ind w:left="460" w:hanging="227"/>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CF&amp;Co that:</w:t>
      </w:r>
    </w:p>
    <w:p>
      <w:pPr>
        <w:spacing w:after="0" w:line="117" w:lineRule="exact"/>
        <w:rPr>
          <w:rFonts w:ascii="Arial" w:cs="Arial" w:eastAsia="Arial" w:hAnsi="Arial"/>
          <w:sz w:val="18"/>
          <w:szCs w:val="18"/>
          <w:color w:val="auto"/>
        </w:rPr>
      </w:pPr>
    </w:p>
    <w:p>
      <w:pPr>
        <w:ind w:firstLine="458"/>
        <w:spacing w:after="0" w:line="268" w:lineRule="auto"/>
        <w:tabs>
          <w:tab w:leader="none" w:pos="740"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Registration Statement Amendments</w:t>
      </w:r>
      <w:r>
        <w:rPr>
          <w:rFonts w:ascii="Arial" w:cs="Arial" w:eastAsia="Arial" w:hAnsi="Arial"/>
          <w:sz w:val="17"/>
          <w:szCs w:val="17"/>
          <w:color w:val="auto"/>
        </w:rPr>
        <w:t>. During any period in which a Prospectus relating to any Placement Shares is required to be delivered by CF&amp;Co under the Securities Act, (i) the Company will notify CF&amp;Co promptly of the time when any subsequent amendment to the Registration Statement, other than documents incorporated by reference, has been filed with the Commission and/or has become effective or any subsequent supplement to the Prospectus related to the Placement Shares has been filed and of any request by the Commission for any amendment or supplement to the Registration Statement or Prospectus or for additional information; (ii) the Company will not file any amendment or supplement to the Registration Statement or Prospectus relating to the Placement Shares (except for documents incorporated by reference) unless a copy thereof has been submitted to CF&amp;Co a reasonable period of time before the filing and CF&amp;Co has not reasonably objected thereto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 that the failure of CF&amp;Co to make such objection shall not relieve the Company of any obligation or liability hereunder, or affect CF&amp;Co’s right to rely on the representations and warranties made by the Company in this Agreement and (B) that the Company has no obligation to provide CF&amp;Co any advance copy of such filing or to provide CF&amp;Co an opportunity to object to such filing if such filing does not name CF&amp;Co), and the Company will furnish to CF&amp;Co at the time of filing thereof a copy of any document that upon filing is deemed to be incorporated by reference into the Registration Statement or Prospectus, except for those documents available via EDGAR; and (iii) the Company will cause each amendment or supplement to the Prospectus relating to the Placement Shares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7"/>
          <w:szCs w:val="17"/>
          <w:u w:val="single" w:color="auto"/>
          <w:color w:val="auto"/>
        </w:rPr>
        <w:t>Section 7(a)</w:t>
      </w:r>
      <w:r>
        <w:rPr>
          <w:rFonts w:ascii="Arial" w:cs="Arial" w:eastAsia="Arial" w:hAnsi="Arial"/>
          <w:sz w:val="17"/>
          <w:szCs w:val="17"/>
          <w:color w:val="auto"/>
        </w:rPr>
        <w:t>, based on the Company’s reasonable opinion or reasonable objections, shall be made exclusively by the Company).</w:t>
      </w:r>
    </w:p>
    <w:p>
      <w:pPr>
        <w:spacing w:after="0" w:line="72" w:lineRule="exact"/>
        <w:rPr>
          <w:rFonts w:ascii="Arial" w:cs="Arial" w:eastAsia="Arial" w:hAnsi="Arial"/>
          <w:sz w:val="17"/>
          <w:szCs w:val="17"/>
          <w:color w:val="auto"/>
        </w:rPr>
      </w:pPr>
    </w:p>
    <w:p>
      <w:pPr>
        <w:ind w:right="100" w:firstLine="458"/>
        <w:spacing w:after="0" w:line="297" w:lineRule="auto"/>
        <w:tabs>
          <w:tab w:leader="none" w:pos="750"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Notice of Commission Stop Orders</w:t>
      </w:r>
      <w:r>
        <w:rPr>
          <w:rFonts w:ascii="Arial" w:cs="Arial" w:eastAsia="Arial" w:hAnsi="Arial"/>
          <w:sz w:val="16"/>
          <w:szCs w:val="16"/>
          <w:color w:val="auto"/>
        </w:rPr>
        <w:t>. During any period in which a Prospectus relating to any Placement Shares is required to be delivered by CF&amp;Co under the Securities Act, the Company will advise CF&amp;Co,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50" w:lineRule="exact"/>
        <w:rPr>
          <w:rFonts w:ascii="Arial" w:cs="Arial" w:eastAsia="Arial" w:hAnsi="Arial"/>
          <w:sz w:val="16"/>
          <w:szCs w:val="16"/>
          <w:color w:val="auto"/>
        </w:rPr>
      </w:pPr>
    </w:p>
    <w:p>
      <w:pPr>
        <w:ind w:right="120" w:firstLine="458"/>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Delivery of Prospectus; Subsequent Changes</w:t>
      </w:r>
      <w:r>
        <w:rPr>
          <w:rFonts w:ascii="Arial" w:cs="Arial" w:eastAsia="Arial" w:hAnsi="Arial"/>
          <w:sz w:val="18"/>
          <w:szCs w:val="18"/>
          <w:color w:val="auto"/>
        </w:rPr>
        <w:t>. During any period in which a Prospectus relating to the Placement Shares is required to be delivered by CF&amp;Co under the Securities Act with respect to the offer and sale of the Placement Shares, the Company will use its reasonable best efforts to comply with all requirements imposed upon it by the Securities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100"/>
        <w:spacing w:after="0" w:line="291" w:lineRule="auto"/>
        <w:rPr>
          <w:sz w:val="20"/>
          <w:szCs w:val="20"/>
          <w:color w:val="auto"/>
        </w:rPr>
      </w:pPr>
      <w:r>
        <w:rPr>
          <w:rFonts w:ascii="Arial" w:cs="Arial" w:eastAsia="Arial" w:hAnsi="Arial"/>
          <w:sz w:val="16"/>
          <w:szCs w:val="16"/>
          <w:color w:val="auto"/>
        </w:rPr>
        <w:t>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CF&amp;Co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59" w:lineRule="exact"/>
        <w:rPr>
          <w:sz w:val="20"/>
          <w:szCs w:val="20"/>
          <w:color w:val="auto"/>
        </w:rPr>
      </w:pPr>
    </w:p>
    <w:p>
      <w:pPr>
        <w:ind w:right="20" w:firstLine="458"/>
        <w:spacing w:after="0" w:line="255" w:lineRule="auto"/>
        <w:tabs>
          <w:tab w:leader="none" w:pos="75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xml:space="preserve">. During any period in which the Prospectus relating to the Placement Shares is required to be delivered by CF&amp;Co under the Securities Act with respect to the offer and sale of the Placement Shares, the Company will use its commercially reasonable efforts to cause the Placement Shares to be listed on the Exchange and to qualify the Placement Shares for sale under the securities laws of such jurisdictions as CF&amp;Co reasonably designates and to continue such qualifications in effect so long as required for the distribution of the Placement Shares;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required in connection therewith to qualify as a foreign corporation or dealer in securities or file a general consent to service of process in any jurisdiction.</w:t>
      </w:r>
    </w:p>
    <w:p>
      <w:pPr>
        <w:spacing w:after="0" w:line="85" w:lineRule="exact"/>
        <w:rPr>
          <w:rFonts w:ascii="Arial" w:cs="Arial" w:eastAsia="Arial" w:hAnsi="Arial"/>
          <w:sz w:val="18"/>
          <w:szCs w:val="18"/>
          <w:color w:val="auto"/>
        </w:rPr>
      </w:pPr>
    </w:p>
    <w:p>
      <w:pPr>
        <w:ind w:firstLine="458"/>
        <w:spacing w:after="0" w:line="291"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CF&amp;Co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CF&amp;Co may from time to time reasonably request and, at CF&amp;Co’s request, will also furnish copies of the Prospectus to each exchange or market on which sales of the Placement Shares may be made;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furnish any document (other than the Prospectus) to CF&amp;Co to the extent such document is available on EDGAR.</w:t>
      </w:r>
    </w:p>
    <w:p>
      <w:pPr>
        <w:spacing w:after="0" w:line="59" w:lineRule="exact"/>
        <w:rPr>
          <w:rFonts w:ascii="Arial" w:cs="Arial" w:eastAsia="Arial" w:hAnsi="Arial"/>
          <w:sz w:val="16"/>
          <w:szCs w:val="16"/>
          <w:color w:val="auto"/>
        </w:rPr>
      </w:pPr>
    </w:p>
    <w:p>
      <w:pPr>
        <w:ind w:left="720" w:hanging="262"/>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Earnings Statement</w:t>
      </w:r>
      <w:r>
        <w:rPr>
          <w:rFonts w:ascii="Arial" w:cs="Arial" w:eastAsia="Arial" w:hAnsi="Arial"/>
          <w:sz w:val="17"/>
          <w:szCs w:val="17"/>
          <w:color w:val="auto"/>
        </w:rPr>
        <w:t>. The Company will make generally available to its security holders as soon as practicable, but in any event not later than</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15 months after the end of the Company’s current fiscal quarter, an earnings statement covering a 12-month period that satisfies the provisions of Section 11(a) and Rule 158 of the Securities Act.</w:t>
      </w:r>
    </w:p>
    <w:p>
      <w:pPr>
        <w:spacing w:after="0" w:line="76" w:lineRule="exact"/>
        <w:rPr>
          <w:sz w:val="20"/>
          <w:szCs w:val="20"/>
          <w:color w:val="auto"/>
        </w:rPr>
      </w:pPr>
    </w:p>
    <w:p>
      <w:pPr>
        <w:ind w:right="40" w:firstLine="458"/>
        <w:spacing w:after="0" w:line="302" w:lineRule="auto"/>
        <w:tabs>
          <w:tab w:leader="none" w:pos="75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120"/>
        <w:spacing w:after="0" w:line="302" w:lineRule="auto"/>
        <w:rPr>
          <w:sz w:val="20"/>
          <w:szCs w:val="20"/>
          <w:color w:val="auto"/>
        </w:rPr>
      </w:pPr>
      <w:r>
        <w:rPr>
          <w:rFonts w:ascii="Arial" w:cs="Arial" w:eastAsia="Arial" w:hAnsi="Arial"/>
          <w:sz w:val="16"/>
          <w:szCs w:val="16"/>
          <w:color w:val="auto"/>
        </w:rPr>
        <w:t xml:space="preserve">Placement Shares under securities laws in accordance with the provisions of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of this Agreement, including filing fees and any reasonable fees or disbursements of counsel for CF&amp;Co in connection therewith, (iv) the printing and delivery to CF&amp;Co of copies of the Prospectus and any amendments or supplements thereto, and of this Agreement, (v) the fees and expenses incurred in connection with the listing or qualification of the Placement Shares for trading on the Exchange, and (vi) filing fees and expenses, if any, of the Commission and the NASD Corporate Finance Department.</w:t>
      </w:r>
    </w:p>
    <w:p>
      <w:pPr>
        <w:spacing w:after="0" w:line="46" w:lineRule="exact"/>
        <w:rPr>
          <w:sz w:val="20"/>
          <w:szCs w:val="20"/>
          <w:color w:val="auto"/>
        </w:rPr>
      </w:pPr>
    </w:p>
    <w:p>
      <w:pPr>
        <w:ind w:left="760" w:hanging="302"/>
        <w:spacing w:after="0"/>
        <w:tabs>
          <w:tab w:leader="none" w:pos="76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as described in the Prospectus in the section entitled “Use of Proceeds.”</w:t>
      </w:r>
    </w:p>
    <w:p>
      <w:pPr>
        <w:spacing w:after="0" w:line="117" w:lineRule="exact"/>
        <w:rPr>
          <w:rFonts w:ascii="Arial" w:cs="Arial" w:eastAsia="Arial" w:hAnsi="Arial"/>
          <w:sz w:val="18"/>
          <w:szCs w:val="18"/>
          <w:color w:val="auto"/>
        </w:rPr>
      </w:pPr>
    </w:p>
    <w:p>
      <w:pPr>
        <w:ind w:firstLine="458"/>
        <w:spacing w:after="0" w:line="284" w:lineRule="auto"/>
        <w:tabs>
          <w:tab w:leader="none" w:pos="71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During either the pendency of any Placement Notice given hereunder, or any period in which the Prospectus relating to the Placement Shares is required to be delivered by CF&amp;Co, the Company shall provide CF&amp;Co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Arial" w:cs="Arial" w:eastAsia="Arial" w:hAnsi="Arial"/>
          <w:sz w:val="16"/>
          <w:szCs w:val="16"/>
          <w:i w:val="1"/>
          <w:iCs w:val="1"/>
          <w:color w:val="auto"/>
        </w:rPr>
        <w:t>provided</w:t>
      </w:r>
      <w:r>
        <w:rPr>
          <w:rFonts w:ascii="Arial" w:cs="Arial" w:eastAsia="Arial" w:hAnsi="Arial"/>
          <w:sz w:val="16"/>
          <w:szCs w:val="16"/>
          <w:color w:val="auto"/>
        </w:rPr>
        <w:t>, that such notice shall not be required in connection with the (i) issuance, grant or sale of Common Stock, options to purchase shares of Common Stock or Common Stock issuable upon the exercise of options or other equity awards pursuant to any employee or director stock option or benefits plan or stock ownership plan or issuances permitted by NASD Marketplace Rule 4350(i)(1)(A)(iv) or (ii) the issuance or sale of Common Stock pursuant to any dividend reinvestment plan that the Company may adopt from time to time provided the implementation of such is disclosed to CF &amp; Co. in advance or</w:t>
      </w:r>
    </w:p>
    <w:p>
      <w:pPr>
        <w:spacing w:after="0" w:line="1" w:lineRule="exact"/>
        <w:rPr>
          <w:rFonts w:ascii="Arial" w:cs="Arial" w:eastAsia="Arial" w:hAnsi="Arial"/>
          <w:sz w:val="16"/>
          <w:szCs w:val="16"/>
          <w:color w:val="auto"/>
        </w:rPr>
      </w:pPr>
    </w:p>
    <w:p>
      <w:pPr>
        <w:ind w:right="160" w:firstLine="8"/>
        <w:spacing w:after="0" w:line="261"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Common Stock upon the exercise of any currently outstanding warrants, options or other rights in effect or outstanding and disclosed in filings by the Company available on EDGAR.</w:t>
      </w:r>
    </w:p>
    <w:p>
      <w:pPr>
        <w:spacing w:after="0" w:line="75" w:lineRule="exact"/>
        <w:rPr>
          <w:rFonts w:ascii="Arial" w:cs="Arial" w:eastAsia="Arial" w:hAnsi="Arial"/>
          <w:sz w:val="18"/>
          <w:szCs w:val="18"/>
          <w:color w:val="auto"/>
        </w:rPr>
      </w:pPr>
    </w:p>
    <w:p>
      <w:pPr>
        <w:jc w:val="both"/>
        <w:ind w:right="220" w:firstLine="458"/>
        <w:spacing w:after="0" w:line="264" w:lineRule="auto"/>
        <w:tabs>
          <w:tab w:leader="none" w:pos="71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CF&amp;Co promptly after it shall have received notice or obtained knowledge thereof, of any information or fact that would alter or affect in any material respect any opinion, certificate, letter or other document required to be provided to CF&amp;Co pursuant to this Agreement.</w:t>
      </w:r>
    </w:p>
    <w:p>
      <w:pPr>
        <w:spacing w:after="0" w:line="73" w:lineRule="exact"/>
        <w:rPr>
          <w:rFonts w:ascii="Arial" w:cs="Arial" w:eastAsia="Arial" w:hAnsi="Arial"/>
          <w:sz w:val="18"/>
          <w:szCs w:val="18"/>
          <w:color w:val="auto"/>
        </w:rPr>
      </w:pPr>
    </w:p>
    <w:p>
      <w:pPr>
        <w:ind w:right="480" w:firstLine="458"/>
        <w:spacing w:after="0" w:line="286" w:lineRule="auto"/>
        <w:tabs>
          <w:tab w:leader="none" w:pos="75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Due Diligence Cooperation</w:t>
      </w:r>
      <w:r>
        <w:rPr>
          <w:rFonts w:ascii="Arial" w:cs="Arial" w:eastAsia="Arial" w:hAnsi="Arial"/>
          <w:sz w:val="17"/>
          <w:szCs w:val="17"/>
          <w:color w:val="auto"/>
        </w:rPr>
        <w:t>. The Company will cooperate with any reasonable due diligence review conducted by CF&amp;Co or its agents in connection with the transactions contemplated hereby, including, without limitation, providing information and making available documents and senior corporate officers, during regular business hours and at the Company’s principal offices, as CF&amp;Co may reasonably request.</w:t>
      </w:r>
    </w:p>
    <w:p>
      <w:pPr>
        <w:spacing w:after="0" w:line="57" w:lineRule="exact"/>
        <w:rPr>
          <w:rFonts w:ascii="Arial" w:cs="Arial" w:eastAsia="Arial" w:hAnsi="Arial"/>
          <w:sz w:val="17"/>
          <w:szCs w:val="17"/>
          <w:color w:val="auto"/>
        </w:rPr>
      </w:pPr>
    </w:p>
    <w:p>
      <w:pPr>
        <w:ind w:right="120" w:firstLine="458"/>
        <w:spacing w:after="0" w:line="286" w:lineRule="auto"/>
        <w:tabs>
          <w:tab w:leader="none" w:pos="71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Arial" w:cs="Arial" w:eastAsia="Arial" w:hAnsi="Arial"/>
          <w:sz w:val="16"/>
          <w:szCs w:val="16"/>
          <w:b w:val="1"/>
          <w:bCs w:val="1"/>
          <w:u w:val="single" w:color="auto"/>
          <w:color w:val="auto"/>
        </w:rPr>
        <w:t>Filing Date</w:t>
      </w:r>
      <w:r>
        <w:rPr>
          <w:rFonts w:ascii="Arial" w:cs="Arial" w:eastAsia="Arial" w:hAnsi="Arial"/>
          <w:sz w:val="16"/>
          <w:szCs w:val="16"/>
          <w:color w:val="auto"/>
        </w:rPr>
        <w:t>”), which prospectus supplement will set forth, within the relevant period, the amount of Placement Shares sold through CF&amp;Co, the Net Proceeds to the Company and the compensation payable by the Company to CF&amp;Co with respect to such Placement Shares,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 such number 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copies of each such prospectus supplement to each exchange or market on which such sales were effected as may be required by the rules or regulations of such exchange or market.</w:t>
      </w:r>
    </w:p>
    <w:p>
      <w:pPr>
        <w:spacing w:after="0" w:line="62" w:lineRule="exact"/>
        <w:rPr>
          <w:sz w:val="20"/>
          <w:szCs w:val="20"/>
          <w:color w:val="auto"/>
        </w:rPr>
      </w:pPr>
    </w:p>
    <w:p>
      <w:pPr>
        <w:ind w:firstLine="458"/>
        <w:spacing w:after="0" w:line="268" w:lineRule="auto"/>
        <w:tabs>
          <w:tab w:leader="none" w:pos="800"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Representation Dates; Certificate</w:t>
      </w:r>
      <w:r>
        <w:rPr>
          <w:rFonts w:ascii="Arial" w:cs="Arial" w:eastAsia="Arial" w:hAnsi="Arial"/>
          <w:sz w:val="17"/>
          <w:szCs w:val="17"/>
          <w:color w:val="auto"/>
        </w:rPr>
        <w:t xml:space="preserve">. On or prior to the date that the first Shares are sold pursuant to the terms of this Agreement and each time the Company (i) files the Prospectus relating to the Placement Shares or amends or supplements the Registration Statement or the Prospectus relating to the Placement Shares (other than a prospectus supplement filed in accordance with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of this Agreement) by means of a post-effective amendment, sticker, or supplement but not by means of incorporation of documents by reference to the Registration Statement or the Prospectus relating to the Placement Shares; (ii) files an annual report on Form 10-K under the Exchange Act; (iii) files its quarterly reports on Form 10-Q under the Exchange Act; or (iv) files a report on Form 8-K containing amended financial information (other than an earnings release, to “furnish” information pursuant to Items 2.02 or 7.01 of Form 8-K or to provide disclosure pursuant to Item 8.01 of Form 8-K relating to the reclassifications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Representation Date</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furnish CF&amp;Co with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xml:space="preserve">. The requirement to provide a certificate under this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shall be waived for any Representation Date occurring at a time at which no Placement Notice is pending, which waiver shall continue until the earlier to occur of the date the Company issues a Placement Notice hereunder (which for such calendar quarter shall be considered a Representation Date) and the next occurring Representation Date. Notwithstanding the foregoing, if the Company subsequently issues a Placement Notice following a Representation Date when the Company relied on such waiver and did not provide CF&amp;Co with a certificate under this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then the Company shall provide CF&amp;Co with such Placement Notice a certificate, in the form attached hereto as </w:t>
      </w:r>
      <w:r>
        <w:rPr>
          <w:rFonts w:ascii="Arial" w:cs="Arial" w:eastAsia="Arial" w:hAnsi="Arial"/>
          <w:sz w:val="17"/>
          <w:szCs w:val="17"/>
          <w:u w:val="single" w:color="auto"/>
          <w:color w:val="auto"/>
        </w:rPr>
        <w:t>Exhibit 7(m)</w:t>
      </w:r>
      <w:r>
        <w:rPr>
          <w:rFonts w:ascii="Arial" w:cs="Arial" w:eastAsia="Arial" w:hAnsi="Arial"/>
          <w:sz w:val="17"/>
          <w:szCs w:val="17"/>
          <w:color w:val="auto"/>
        </w:rPr>
        <w:t>, dated the date of the Placement Notice.</w:t>
      </w:r>
    </w:p>
    <w:p>
      <w:pPr>
        <w:spacing w:after="0" w:line="75" w:lineRule="exact"/>
        <w:rPr>
          <w:rFonts w:ascii="Arial" w:cs="Arial" w:eastAsia="Arial" w:hAnsi="Arial"/>
          <w:sz w:val="17"/>
          <w:szCs w:val="17"/>
          <w:color w:val="auto"/>
        </w:rPr>
      </w:pPr>
    </w:p>
    <w:p>
      <w:pPr>
        <w:ind w:right="20" w:firstLine="233"/>
        <w:spacing w:after="0" w:line="270" w:lineRule="auto"/>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Legal Opinion</w:t>
      </w:r>
      <w:r>
        <w:rPr>
          <w:rFonts w:ascii="Arial" w:cs="Arial" w:eastAsia="Arial" w:hAnsi="Arial"/>
          <w:sz w:val="17"/>
          <w:szCs w:val="17"/>
          <w:color w:val="auto"/>
        </w:rPr>
        <w:t>. On the date of the first Placement Notice given hereunder, the Company shall cause to be furnished to CF&amp;Co written opinions dated as of the date of such Placement Notice of (i) Ropes &amp; Gray LLP (the “</w:t>
      </w:r>
      <w:r>
        <w:rPr>
          <w:rFonts w:ascii="Arial" w:cs="Arial" w:eastAsia="Arial" w:hAnsi="Arial"/>
          <w:sz w:val="17"/>
          <w:szCs w:val="17"/>
          <w:b w:val="1"/>
          <w:bCs w:val="1"/>
          <w:color w:val="auto"/>
        </w:rPr>
        <w:t>Company Counsel</w:t>
      </w:r>
      <w:r>
        <w:rPr>
          <w:rFonts w:ascii="Arial" w:cs="Arial" w:eastAsia="Arial" w:hAnsi="Arial"/>
          <w:sz w:val="17"/>
          <w:szCs w:val="17"/>
          <w:color w:val="auto"/>
        </w:rPr>
        <w:t xml:space="preserve">”), in a form substantially similar to the form attached hereto as </w:t>
      </w:r>
      <w:r>
        <w:rPr>
          <w:rFonts w:ascii="Arial" w:cs="Arial" w:eastAsia="Arial" w:hAnsi="Arial"/>
          <w:sz w:val="17"/>
          <w:szCs w:val="17"/>
          <w:u w:val="single" w:color="auto"/>
          <w:color w:val="auto"/>
        </w:rPr>
        <w:t>Exhibit 7(n)(1)</w:t>
      </w:r>
      <w:r>
        <w:rPr>
          <w:rFonts w:ascii="Arial" w:cs="Arial" w:eastAsia="Arial" w:hAnsi="Arial"/>
          <w:sz w:val="17"/>
          <w:szCs w:val="17"/>
          <w:color w:val="auto"/>
        </w:rPr>
        <w:t xml:space="preserve">, (ii) Mintz, Levin, Cohn, Ferris, Glovsky and Popeo P.C., in a form reasonably acceptable to CF&amp;Co, and (iii) Covington &amp; Burling, in a form reasonably acceptable to CF&amp;Co. Within five (5) Trading Days of each subsequent Representation Date with respect to which the Company is obligated to deliver a certificate in the form attached hereto as Exhibit 7(m) for which no waiver is applicable, the Company shall cause to be furnished to CF&amp;Co a written opinion of Company Counsel in a form substantially similar to the form attached hereto as </w:t>
      </w:r>
      <w:r>
        <w:rPr>
          <w:rFonts w:ascii="Arial" w:cs="Arial" w:eastAsia="Arial" w:hAnsi="Arial"/>
          <w:sz w:val="17"/>
          <w:szCs w:val="17"/>
          <w:u w:val="single" w:color="auto"/>
          <w:color w:val="auto"/>
        </w:rPr>
        <w:t>Exhibit 7(n)(2)</w:t>
      </w:r>
      <w:r>
        <w:rPr>
          <w:rFonts w:ascii="Arial" w:cs="Arial" w:eastAsia="Arial" w:hAnsi="Arial"/>
          <w:sz w:val="17"/>
          <w:szCs w:val="17"/>
          <w:color w:val="auto"/>
        </w:rPr>
        <w:t xml:space="preserve">, modified, as necessary, to relate to the Registration Statement and the Prospectus as then amended or supplemented;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such opinion, Company Counsel may furnish CF&amp;Co with a letter to the effect that CF&amp;Co may rely on a prior opinion delivered under this Section 7(n) to the same extent as if it were dated the date of such letter (except that statements in such prior opinion shall be deemed to relate to the Registration Statement and the Prospectus as amended or supplemented at such Representation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firstLine="458"/>
        <w:spacing w:after="0" w:line="270" w:lineRule="auto"/>
        <w:tabs>
          <w:tab w:leader="none" w:pos="750"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the date of the first Placement Notice given hereunder and thereafter within five (5) Trading Days of the Representation Date with respect to which the Company is obligated to deliver a certificate in the form attached hereto as Exhibit 7(m) for which no waiver is applicable, the Company shall cause its independent accountants to furnish CF&amp;Co letters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Comfort Letters</w:t>
      </w:r>
      <w:r>
        <w:rPr>
          <w:rFonts w:ascii="Arial" w:cs="Arial" w:eastAsia="Arial" w:hAnsi="Arial"/>
          <w:sz w:val="17"/>
          <w:szCs w:val="17"/>
          <w:b w:val="1"/>
          <w:bCs w:val="1"/>
          <w:color w:val="auto"/>
        </w:rPr>
        <w:t>”</w:t>
      </w:r>
      <w:r>
        <w:rPr>
          <w:rFonts w:ascii="Arial" w:cs="Arial" w:eastAsia="Arial" w:hAnsi="Arial"/>
          <w:sz w:val="17"/>
          <w:szCs w:val="17"/>
          <w:color w:val="auto"/>
        </w:rPr>
        <w:t xml:space="preserve">), dated the date of such Representation Date, in form and substance satisfactory to CF&amp;Co, (i) confirming that they are independent public accountants within the meaning of the Securities Act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Initial Comfort Letter</w:t>
      </w:r>
      <w:r>
        <w:rPr>
          <w:rFonts w:ascii="Arial" w:cs="Arial" w:eastAsia="Arial" w:hAnsi="Arial"/>
          <w:sz w:val="17"/>
          <w:szCs w:val="17"/>
          <w:b w:val="1"/>
          <w:bCs w:val="1"/>
          <w:color w:val="auto"/>
        </w:rPr>
        <w:t>”</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73" w:lineRule="exact"/>
        <w:rPr>
          <w:rFonts w:ascii="Arial" w:cs="Arial" w:eastAsia="Arial" w:hAnsi="Arial"/>
          <w:sz w:val="17"/>
          <w:szCs w:val="17"/>
          <w:color w:val="auto"/>
        </w:rPr>
      </w:pPr>
    </w:p>
    <w:p>
      <w:pPr>
        <w:ind w:right="620" w:firstLine="458"/>
        <w:spacing w:after="0" w:line="264" w:lineRule="auto"/>
        <w:tabs>
          <w:tab w:leader="none" w:pos="75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take any action designed to cause or result in, or that constitutes or might reasonably be expected to constitute, the stabilization or manipulation of the price of any security of the Company to facilitate the sale or resale of the Placement Shares.</w:t>
      </w:r>
    </w:p>
    <w:p>
      <w:pPr>
        <w:spacing w:after="0" w:line="73" w:lineRule="exact"/>
        <w:rPr>
          <w:rFonts w:ascii="Arial" w:cs="Arial" w:eastAsia="Arial" w:hAnsi="Arial"/>
          <w:sz w:val="18"/>
          <w:szCs w:val="18"/>
          <w:color w:val="auto"/>
        </w:rPr>
      </w:pPr>
    </w:p>
    <w:p>
      <w:pPr>
        <w:ind w:right="160" w:firstLine="458"/>
        <w:spacing w:after="0" w:line="312" w:lineRule="auto"/>
        <w:tabs>
          <w:tab w:leader="none" w:pos="75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will conduct its affairs in such a manner so as to reasonably ensure that neither it nor the Subsidiary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38" w:lineRule="exact"/>
        <w:rPr>
          <w:rFonts w:ascii="Arial" w:cs="Arial" w:eastAsia="Arial" w:hAnsi="Arial"/>
          <w:sz w:val="16"/>
          <w:szCs w:val="16"/>
          <w:color w:val="auto"/>
        </w:rPr>
      </w:pPr>
    </w:p>
    <w:p>
      <w:pPr>
        <w:jc w:val="both"/>
        <w:ind w:right="20" w:firstLine="233"/>
        <w:spacing w:after="0" w:line="259" w:lineRule="auto"/>
        <w:tabs>
          <w:tab w:leader="none" w:pos="40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to CF&amp;Co’s Obligations</w:t>
      </w:r>
      <w:r>
        <w:rPr>
          <w:rFonts w:ascii="Arial" w:cs="Arial" w:eastAsia="Arial" w:hAnsi="Arial"/>
          <w:sz w:val="18"/>
          <w:szCs w:val="18"/>
          <w:color w:val="auto"/>
        </w:rPr>
        <w:t>. The obligations of CF&amp;Co hereunder with respect to a Placement Notice will be subject to the continuing accuracy and completeness of the representations and warranties made by the Company herein, to the due performance by the Company of its obligations hereunder, to the completion by CF&amp;Co of a due diligence review satisfactory to CF&amp;Co in its reasonable judgment, and to the continuing satisfaction (or waiver by CF&amp;Co in its sole discretion) of the following additional conditions:</w:t>
      </w:r>
    </w:p>
    <w:p>
      <w:pPr>
        <w:spacing w:after="0" w:line="78" w:lineRule="exact"/>
        <w:rPr>
          <w:rFonts w:ascii="Arial" w:cs="Arial" w:eastAsia="Arial" w:hAnsi="Arial"/>
          <w:sz w:val="18"/>
          <w:szCs w:val="18"/>
          <w:color w:val="auto"/>
        </w:rPr>
      </w:pPr>
    </w:p>
    <w:p>
      <w:pPr>
        <w:ind w:right="200" w:firstLine="458"/>
        <w:spacing w:after="0" w:line="342" w:lineRule="auto"/>
        <w:tabs>
          <w:tab w:leader="none" w:pos="74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have become effective and shall be available for the (i) resale of all Placement Shares issued to CF&amp;Co and not yet sold by CF&amp;Co and (ii) the sale of all Placement Shares contemplated to be issued by any Placement Notice.</w:t>
      </w:r>
    </w:p>
    <w:p>
      <w:pPr>
        <w:spacing w:after="0" w:line="15" w:lineRule="exact"/>
        <w:rPr>
          <w:rFonts w:ascii="Arial" w:cs="Arial" w:eastAsia="Arial" w:hAnsi="Arial"/>
          <w:sz w:val="16"/>
          <w:szCs w:val="16"/>
          <w:color w:val="auto"/>
        </w:rPr>
      </w:pPr>
    </w:p>
    <w:p>
      <w:pPr>
        <w:ind w:right="100" w:firstLine="458"/>
        <w:spacing w:after="0" w:line="259" w:lineRule="auto"/>
        <w:tabs>
          <w:tab w:leader="none" w:pos="75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 Material Notices</w:t>
      </w:r>
      <w:r>
        <w:rPr>
          <w:rFonts w:ascii="Arial" w:cs="Arial" w:eastAsia="Arial" w:hAnsi="Arial"/>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right="120"/>
        <w:spacing w:after="0" w:line="270" w:lineRule="auto"/>
        <w:rPr>
          <w:sz w:val="20"/>
          <w:szCs w:val="20"/>
          <w:color w:val="auto"/>
        </w:rPr>
      </w:pPr>
      <w:r>
        <w:rPr>
          <w:rFonts w:ascii="Arial" w:cs="Arial" w:eastAsia="Arial" w:hAnsi="Arial"/>
          <w:sz w:val="17"/>
          <w:szCs w:val="17"/>
          <w:color w:val="auto"/>
        </w:rPr>
        <w:t>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74" w:lineRule="exact"/>
        <w:rPr>
          <w:sz w:val="20"/>
          <w:szCs w:val="20"/>
          <w:color w:val="auto"/>
        </w:rPr>
      </w:pPr>
    </w:p>
    <w:p>
      <w:pPr>
        <w:ind w:firstLine="458"/>
        <w:spacing w:after="0" w:line="254"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Material Changes</w:t>
      </w:r>
      <w:r>
        <w:rPr>
          <w:rFonts w:ascii="Arial" w:cs="Arial" w:eastAsia="Arial" w:hAnsi="Arial"/>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CF&amp;Co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84" w:lineRule="exact"/>
        <w:rPr>
          <w:rFonts w:ascii="Arial" w:cs="Arial" w:eastAsia="Arial" w:hAnsi="Arial"/>
          <w:sz w:val="18"/>
          <w:szCs w:val="18"/>
          <w:color w:val="auto"/>
        </w:rPr>
      </w:pPr>
    </w:p>
    <w:p>
      <w:pPr>
        <w:ind w:right="120" w:firstLine="458"/>
        <w:spacing w:after="0" w:line="277" w:lineRule="auto"/>
        <w:tabs>
          <w:tab w:leader="none" w:pos="75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xml:space="preserve">. CF&amp;Co shall have received the opinions of Company Counsel required to be delivered pursuant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5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CF&amp;Co shall have received the Comfort Letter required to be delivered pursuant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on or before the date on which such delivery of such opinion is required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20" w:firstLine="458"/>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CF&amp;Co shall have received the certificate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Shares shall not have been suspended on the Exchange.</w:t>
      </w:r>
    </w:p>
    <w:p>
      <w:pPr>
        <w:spacing w:after="0" w:line="117" w:lineRule="exact"/>
        <w:rPr>
          <w:rFonts w:ascii="Arial" w:cs="Arial" w:eastAsia="Arial" w:hAnsi="Arial"/>
          <w:sz w:val="18"/>
          <w:szCs w:val="18"/>
          <w:color w:val="auto"/>
        </w:rPr>
      </w:pPr>
    </w:p>
    <w:p>
      <w:pPr>
        <w:ind w:right="120" w:firstLine="458"/>
        <w:spacing w:after="0" w:line="312" w:lineRule="auto"/>
        <w:tabs>
          <w:tab w:leader="none" w:pos="75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Other Materials</w:t>
      </w:r>
      <w:r>
        <w:rPr>
          <w:rFonts w:ascii="Arial" w:cs="Arial" w:eastAsia="Arial" w:hAnsi="Arial"/>
          <w:sz w:val="16"/>
          <w:szCs w:val="16"/>
          <w:color w:val="auto"/>
        </w:rPr>
        <w:t xml:space="preserve">. On each date on which the Company is required to deliver a certificate pursuant to </w:t>
      </w:r>
      <w:r>
        <w:rPr>
          <w:rFonts w:ascii="Arial" w:cs="Arial" w:eastAsia="Arial" w:hAnsi="Arial"/>
          <w:sz w:val="16"/>
          <w:szCs w:val="16"/>
          <w:u w:val="single" w:color="auto"/>
          <w:color w:val="auto"/>
        </w:rPr>
        <w:t>Section 7(m)</w:t>
      </w:r>
      <w:r>
        <w:rPr>
          <w:rFonts w:ascii="Arial" w:cs="Arial" w:eastAsia="Arial" w:hAnsi="Arial"/>
          <w:sz w:val="16"/>
          <w:szCs w:val="16"/>
          <w:color w:val="auto"/>
        </w:rPr>
        <w:t>, the Company shall use its reasonable best efforts to furnish to CF&amp;Co such appropriate further information, certificates and documents as CF&amp;Co may reasonably request. All such opinions, certificates, letters and other documents will be in compliance with the provisions hereof. The Company will furnish CF&amp;Co with such conformed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copies of such opinions, certificates, letters and other documents as CF&amp;Co shall reasonably request.</w:t>
      </w:r>
    </w:p>
    <w:p>
      <w:pPr>
        <w:spacing w:after="0" w:line="117" w:lineRule="exact"/>
        <w:rPr>
          <w:sz w:val="20"/>
          <w:szCs w:val="20"/>
          <w:color w:val="auto"/>
        </w:rPr>
      </w:pPr>
    </w:p>
    <w:p>
      <w:pPr>
        <w:ind w:right="60" w:firstLine="458"/>
        <w:spacing w:after="0" w:line="308" w:lineRule="auto"/>
        <w:tabs>
          <w:tab w:leader="none" w:pos="710" w:val="left"/>
        </w:tabs>
        <w:numPr>
          <w:ilvl w:val="2"/>
          <w:numId w:val="30"/>
        </w:numPr>
        <w:rPr>
          <w:rFonts w:ascii="Arial" w:cs="Arial" w:eastAsia="Arial" w:hAnsi="Arial"/>
          <w:sz w:val="17"/>
          <w:szCs w:val="17"/>
          <w:color w:val="auto"/>
        </w:rPr>
      </w:pPr>
      <w:r>
        <w:rPr>
          <w:rFonts w:ascii="Arial" w:cs="Arial" w:eastAsia="Arial" w:hAnsi="Arial"/>
          <w:sz w:val="17"/>
          <w:szCs w:val="17"/>
          <w:u w:val="single" w:color="auto"/>
          <w:color w:val="auto"/>
        </w:rPr>
        <w:t>Securities Act Filings Made</w:t>
      </w:r>
      <w:r>
        <w:rPr>
          <w:rFonts w:ascii="Arial" w:cs="Arial" w:eastAsia="Arial" w:hAnsi="Arial"/>
          <w:sz w:val="17"/>
          <w:szCs w:val="17"/>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38" w:lineRule="exact"/>
        <w:rPr>
          <w:rFonts w:ascii="Arial" w:cs="Arial" w:eastAsia="Arial" w:hAnsi="Arial"/>
          <w:sz w:val="17"/>
          <w:szCs w:val="17"/>
          <w:color w:val="auto"/>
        </w:rPr>
      </w:pPr>
    </w:p>
    <w:p>
      <w:pPr>
        <w:ind w:left="720" w:hanging="262"/>
        <w:spacing w:after="0"/>
        <w:tabs>
          <w:tab w:leader="none" w:pos="720"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(i) approved for listing on the Exchange, subject only to notice of issuance,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shall have filed an application for listing of the Placement Shares on the Exchange at, or prior to, the issuance of any Placement Notice.</w:t>
      </w:r>
    </w:p>
    <w:p>
      <w:pPr>
        <w:spacing w:after="0" w:line="125" w:lineRule="exact"/>
        <w:rPr>
          <w:rFonts w:ascii="Arial" w:cs="Arial" w:eastAsia="Arial" w:hAnsi="Arial"/>
          <w:sz w:val="16"/>
          <w:szCs w:val="16"/>
          <w:color w:val="auto"/>
        </w:rPr>
      </w:pPr>
    </w:p>
    <w:p>
      <w:pPr>
        <w:ind w:left="760" w:hanging="302"/>
        <w:spacing w:after="0"/>
        <w:tabs>
          <w:tab w:leader="none" w:pos="760"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xml:space="preserve">. There shall not have occurred any event that would permit CF&amp;Co to terminate this Agreement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460" w:hanging="227"/>
        <w:spacing w:after="0"/>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458"/>
        <w:spacing w:after="0" w:line="286" w:lineRule="auto"/>
        <w:tabs>
          <w:tab w:leader="none" w:pos="740" w:val="left"/>
        </w:tabs>
        <w:numPr>
          <w:ilvl w:val="2"/>
          <w:numId w:val="32"/>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CF&amp;Co, the directors, officers, partners, employees and agents of CF&amp;Co and each person, if any, who (i) controls CF&amp;Co within the meaning of Section 15 of the Securities Act or Section 20 of the Exchange Act, or (ii) is controlled by or is under common control with CF&amp;Co (a “</w:t>
      </w:r>
      <w:r>
        <w:rPr>
          <w:rFonts w:ascii="Arial" w:cs="Arial" w:eastAsia="Arial" w:hAnsi="Arial"/>
          <w:sz w:val="16"/>
          <w:szCs w:val="16"/>
          <w:b w:val="1"/>
          <w:bCs w:val="1"/>
          <w:u w:val="single" w:color="auto"/>
          <w:color w:val="auto"/>
        </w:rPr>
        <w:t>CF&amp;Co Affiliate</w:t>
      </w:r>
      <w:r>
        <w:rPr>
          <w:rFonts w:ascii="Arial" w:cs="Arial" w:eastAsia="Arial" w:hAnsi="Arial"/>
          <w:sz w:val="16"/>
          <w:szCs w:val="16"/>
          <w:color w:val="auto"/>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Section 9(c)) of, any action, suit or proceeding between any of the indemnified parties and any indemnifying parties or between any indemnified party and any third party, or otherwise, or any claim asserted), as and when incurred, to which CF&amp;Co,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(y) the omission or alleged omission to state in such document a material fact required to be stated in it or necessary to make the statements in it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indemnity agreement shall not apply to the extent that such loss, claim, liability, expense or damage arises from or is caused directly or indirectly by an untrue statement or omission or alleged untrue statement or omission made in reliance on and in conformity with information furnished in writing to the Company by or on behalf of CF&amp;Co expressly for inclusion in the Registration Statement or Prospectus. This indemnity agreement will be in addition to any liability that the Company might otherwise have.</w:t>
      </w:r>
    </w:p>
    <w:p>
      <w:pPr>
        <w:spacing w:after="0" w:line="66" w:lineRule="exact"/>
        <w:rPr>
          <w:rFonts w:ascii="Arial" w:cs="Arial" w:eastAsia="Arial" w:hAnsi="Arial"/>
          <w:sz w:val="16"/>
          <w:szCs w:val="16"/>
          <w:color w:val="auto"/>
        </w:rPr>
      </w:pPr>
    </w:p>
    <w:p>
      <w:pPr>
        <w:ind w:firstLine="458"/>
        <w:spacing w:after="0" w:line="257" w:lineRule="auto"/>
        <w:tabs>
          <w:tab w:leader="none" w:pos="75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CF&amp;Co Indemnification</w:t>
      </w:r>
      <w:r>
        <w:rPr>
          <w:rFonts w:ascii="Arial" w:cs="Arial" w:eastAsia="Arial" w:hAnsi="Arial"/>
          <w:sz w:val="18"/>
          <w:szCs w:val="18"/>
          <w:color w:val="auto"/>
        </w:rPr>
        <w:t>. CF&amp;Co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 “</w:t>
      </w:r>
      <w:r>
        <w:rPr>
          <w:rFonts w:ascii="Arial" w:cs="Arial" w:eastAsia="Arial" w:hAnsi="Arial"/>
          <w:sz w:val="18"/>
          <w:szCs w:val="18"/>
          <w:b w:val="1"/>
          <w:bCs w:val="1"/>
          <w:u w:val="single" w:color="auto"/>
          <w:color w:val="auto"/>
        </w:rPr>
        <w:t>Company Affiliate</w:t>
      </w:r>
      <w:r>
        <w:rPr>
          <w:rFonts w:ascii="Arial" w:cs="Arial" w:eastAsia="Arial" w:hAnsi="Arial"/>
          <w:sz w:val="18"/>
          <w:szCs w:val="18"/>
          <w:color w:val="auto"/>
        </w:rPr>
        <w:t>”) against any and all loss, liability, claim, damage and expense to which the Company, or any such person, may become subject under the Securities Act, the Exchange Act or other federal or state statutory law or regulation, at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6" w:name="page27"/>
    <w:bookmarkEnd w:id="26"/>
    <w:p>
      <w:pPr>
        <w:ind w:right="300"/>
        <w:spacing w:after="0" w:line="286" w:lineRule="auto"/>
        <w:rPr>
          <w:sz w:val="20"/>
          <w:szCs w:val="20"/>
          <w:color w:val="auto"/>
        </w:rPr>
      </w:pPr>
      <w:r>
        <w:rPr>
          <w:rFonts w:ascii="Arial" w:cs="Arial" w:eastAsia="Arial" w:hAnsi="Arial"/>
          <w:sz w:val="17"/>
          <w:szCs w:val="17"/>
          <w:color w:val="auto"/>
        </w:rPr>
        <w:t>common law or otherwise, as and when incurred, but only insofar as such loss, liability, claim, damage or expense arises from or is caused directly or indirectly by an untrue statement or omission or alleged untrue statement or omission made in reliance on and in conformity with information furnished in writing to the Company by or on behalf of CF&amp;Co expressly for inclusion in the Registration Statement or Prospectus.</w:t>
      </w:r>
    </w:p>
    <w:p>
      <w:pPr>
        <w:spacing w:after="0" w:line="57" w:lineRule="exact"/>
        <w:rPr>
          <w:sz w:val="20"/>
          <w:szCs w:val="20"/>
          <w:color w:val="auto"/>
        </w:rPr>
      </w:pPr>
    </w:p>
    <w:p>
      <w:pPr>
        <w:ind w:firstLine="458"/>
        <w:spacing w:after="0" w:line="284"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and (ii) any liability that it may have to any indemnified party under the foregoing provision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the written advice of counsel) that there may be legal defenses available to it or other indemnified parties that are different from or in addition to those available to the indemnifying party, (3) a conflict or potential conflict exists (based on the written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(whether or not any indemnified party is a party thereto), unless such settlement, compromise or consent includes an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unconditional release of each indemnified party from all liability arising or that may arise out of such claim, action or proceeding.</w:t>
      </w:r>
    </w:p>
    <w:p>
      <w:pPr>
        <w:spacing w:after="0" w:line="117" w:lineRule="exact"/>
        <w:rPr>
          <w:sz w:val="20"/>
          <w:szCs w:val="20"/>
          <w:color w:val="auto"/>
        </w:rPr>
      </w:pPr>
    </w:p>
    <w:p>
      <w:pPr>
        <w:ind w:firstLine="458"/>
        <w:spacing w:after="0" w:line="284" w:lineRule="auto"/>
        <w:tabs>
          <w:tab w:leader="none" w:pos="75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is applicable in accordance with its terms but for any reason is held to be unavailable from the Company or CF&amp;Co, the Company and CF&amp;Co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CF&amp;Co, if any), to which the Company and CF&amp;Co may be subject in such proportion as shall be appropriate to reflect the relative benefits received by the Company, on the one hand, and CF&amp;Co, on the other. The relative benefits received by the Company on the one hand and CF&amp;Co on the other hand shall be deemed to be in the same proportion as the total net proceeds from the sale of the Placement Shares (before deducting expenses) received by the Company bear to the total compensation received by CF&amp;Co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CF&amp;Co,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on the one hand, or CF&amp;Co, on the other, the intent of the parties and their relative knowledge, access to information and opportunity to correct or prevent such statement or omission. The Company and CF&amp;Co agree that it would not be just and equitable if contributions pursuant to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CF&amp;Co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any person who controls a party to this Agreement within the meaning of the Securities Act, and any officers, directors, partners, employees or agents of CF&amp;Co, will have the same rights to contribution as that party, and each trustee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9(d)</w:t>
      </w:r>
      <w:r>
        <w:rPr>
          <w:rFonts w:ascii="Arial" w:cs="Arial" w:eastAsia="Arial" w:hAnsi="Arial"/>
          <w:sz w:val="16"/>
          <w:szCs w:val="16"/>
          <w:color w:val="auto"/>
        </w:rPr>
        <w:t>, will notify any such party or parties from whom contribution may be sought, but the omission to so notify will not relieve that party or parties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100"/>
        <w:spacing w:after="0" w:line="259" w:lineRule="auto"/>
        <w:rPr>
          <w:sz w:val="20"/>
          <w:szCs w:val="20"/>
          <w:color w:val="auto"/>
        </w:rPr>
      </w:pPr>
      <w:r>
        <w:rPr>
          <w:rFonts w:ascii="Arial" w:cs="Arial" w:eastAsia="Arial" w:hAnsi="Arial"/>
          <w:sz w:val="18"/>
          <w:szCs w:val="18"/>
          <w:color w:val="auto"/>
        </w:rPr>
        <w:t xml:space="preserve">from whom contribution may be sought from any other obligation it or they may have under this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8"/>
          <w:szCs w:val="18"/>
          <w:u w:val="single" w:color="auto"/>
          <w:color w:val="auto"/>
        </w:rPr>
        <w:t>Section 9(c)</w:t>
      </w:r>
      <w:r>
        <w:rPr>
          <w:rFonts w:ascii="Arial" w:cs="Arial" w:eastAsia="Arial" w:hAnsi="Arial"/>
          <w:sz w:val="18"/>
          <w:szCs w:val="18"/>
          <w:color w:val="auto"/>
        </w:rPr>
        <w:t xml:space="preserve"> hereof.</w:t>
      </w:r>
    </w:p>
    <w:p>
      <w:pPr>
        <w:spacing w:after="0" w:line="79" w:lineRule="exact"/>
        <w:rPr>
          <w:sz w:val="20"/>
          <w:szCs w:val="20"/>
          <w:color w:val="auto"/>
        </w:rPr>
      </w:pPr>
    </w:p>
    <w:p>
      <w:pPr>
        <w:ind w:right="60" w:firstLine="233"/>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All representations and warranties of the Company herein or in certificates delivered pursuant hereto shall survive, as of their respective dates, regardless of (i) any investigation made by or on behalf of CF&amp;Co, any controlling persons, or the Company (or any of their respective officers, directors or controlling persons), (ii) delivery and acceptance of the Placement Shares and payment therefor or (iii) any termination of this Agreement.</w:t>
      </w:r>
    </w:p>
    <w:p>
      <w:pPr>
        <w:spacing w:after="0" w:line="78" w:lineRule="exact"/>
        <w:rPr>
          <w:rFonts w:ascii="Arial" w:cs="Arial" w:eastAsia="Arial" w:hAnsi="Arial"/>
          <w:sz w:val="18"/>
          <w:szCs w:val="18"/>
          <w:color w:val="auto"/>
        </w:rPr>
      </w:pPr>
    </w:p>
    <w:p>
      <w:pPr>
        <w:ind w:left="540" w:hanging="307"/>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58"/>
        <w:spacing w:after="0" w:line="287" w:lineRule="auto"/>
        <w:tabs>
          <w:tab w:leader="none" w:pos="7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CF&amp;Co shall have the right by giving notice as hereinafter specified at any time to terminate this Agreement if (i) any Material Adverse Effect, or any development that has actually occurred and that is reasonably expected to cause a Material Adverse Effect has occurred that, in the reasonable judgment of CF&amp;Co, may materially impair the ability of CF&amp;Co to sell the Placement Shares hereunder, (ii) the Company shall have failed, refused or been unable to perform any agreement on its part to be performed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case of any failure of the Company to deliver (or cause another person to deliver) any certification, opinion, or letter required under </w:t>
      </w:r>
      <w:r>
        <w:rPr>
          <w:rFonts w:ascii="Arial" w:cs="Arial" w:eastAsia="Arial" w:hAnsi="Arial"/>
          <w:sz w:val="16"/>
          <w:szCs w:val="16"/>
          <w:u w:val="single" w:color="auto"/>
          <w:color w:val="auto"/>
        </w:rPr>
        <w:t>Sections 7(m)</w:t>
      </w:r>
      <w:r>
        <w:rPr>
          <w:rFonts w:ascii="Arial" w:cs="Arial" w:eastAsia="Arial" w:hAnsi="Arial"/>
          <w:sz w:val="16"/>
          <w:szCs w:val="16"/>
          <w:color w:val="auto"/>
        </w:rPr>
        <w:t xml:space="preserve">, </w:t>
      </w:r>
      <w:r>
        <w:rPr>
          <w:rFonts w:ascii="Arial" w:cs="Arial" w:eastAsia="Arial" w:hAnsi="Arial"/>
          <w:sz w:val="16"/>
          <w:szCs w:val="16"/>
          <w:u w:val="single" w:color="auto"/>
          <w:color w:val="auto"/>
        </w:rPr>
        <w:t>7(n)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7(o)</w:t>
      </w:r>
      <w:r>
        <w:rPr>
          <w:rFonts w:ascii="Arial" w:cs="Arial" w:eastAsia="Arial" w:hAnsi="Arial"/>
          <w:sz w:val="16"/>
          <w:szCs w:val="16"/>
          <w:color w:val="auto"/>
        </w:rPr>
        <w:t xml:space="preserve">, CF&amp;Co’s right to terminate shall not arise unless such failure to deliver (or cause to be delivered) continues for more than thirty (30) days from the date such delivery was required to which such delivery was required; or (iii) any other condition of CF&amp;Co’s obligations hereunder is not fulfilled, or (iv), any suspension or limitation of trading in the Placement Shares or in securities generally on the Exchange shall have occurred. Any such termination shall be without liability of any party to any other party except that the provisions of </w:t>
      </w:r>
      <w:r>
        <w:rPr>
          <w:rFonts w:ascii="Arial" w:cs="Arial" w:eastAsia="Arial" w:hAnsi="Arial"/>
          <w:sz w:val="16"/>
          <w:szCs w:val="16"/>
          <w:u w:val="single" w:color="auto"/>
          <w:color w:val="auto"/>
        </w:rPr>
        <w:t>Section 7(g)</w:t>
      </w:r>
      <w:r>
        <w:rPr>
          <w:rFonts w:ascii="Arial" w:cs="Arial" w:eastAsia="Arial" w:hAnsi="Arial"/>
          <w:sz w:val="16"/>
          <w:szCs w:val="16"/>
          <w:color w:val="auto"/>
        </w:rPr>
        <w:t xml:space="preserve"> (Expenses),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(Indemnification),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(Survival of Representations),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(Applicable Law; Consent to Jurisdiction) and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(Waiver of Jury Trial) hereof shall remain in full force and effect notwithstanding such termination. If CF&amp;Co elects to terminate this Agreement as provided in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CF&amp;Co shall provide the required notice as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(Notices).</w:t>
      </w:r>
    </w:p>
    <w:p>
      <w:pPr>
        <w:spacing w:after="0" w:line="64" w:lineRule="exact"/>
        <w:rPr>
          <w:rFonts w:ascii="Arial" w:cs="Arial" w:eastAsia="Arial" w:hAnsi="Arial"/>
          <w:sz w:val="16"/>
          <w:szCs w:val="16"/>
          <w:color w:val="auto"/>
        </w:rPr>
      </w:pPr>
    </w:p>
    <w:p>
      <w:pPr>
        <w:ind w:right="20" w:firstLine="458"/>
        <w:spacing w:after="0" w:line="286" w:lineRule="auto"/>
        <w:tabs>
          <w:tab w:leader="none" w:pos="75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jc w:val="both"/>
        <w:ind w:right="300" w:firstLine="458"/>
        <w:spacing w:after="0" w:line="286" w:lineRule="auto"/>
        <w:tabs>
          <w:tab w:leader="none" w:pos="7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CF&amp;Co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jc w:val="both"/>
        <w:ind w:right="680" w:firstLine="458"/>
        <w:spacing w:after="0" w:line="286" w:lineRule="auto"/>
        <w:tabs>
          <w:tab w:leader="none" w:pos="750"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Unless earlier terminated pursuant to this Section 11, this Agreement shall automatically terminate upon the issuance and sale of all of the Placement Shares through CF&amp;Co on the terms and subject to the conditions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shall remain in full force and effect notwithstanding such termination.</w:t>
      </w:r>
    </w:p>
    <w:p>
      <w:pPr>
        <w:spacing w:after="0" w:line="57" w:lineRule="exact"/>
        <w:rPr>
          <w:rFonts w:ascii="Arial" w:cs="Arial" w:eastAsia="Arial" w:hAnsi="Arial"/>
          <w:sz w:val="17"/>
          <w:szCs w:val="17"/>
          <w:color w:val="auto"/>
        </w:rPr>
      </w:pPr>
    </w:p>
    <w:p>
      <w:pPr>
        <w:ind w:right="400" w:firstLine="458"/>
        <w:spacing w:after="0" w:line="264" w:lineRule="auto"/>
        <w:tabs>
          <w:tab w:leader="none" w:pos="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 or (d)</w:t>
      </w:r>
      <w:r>
        <w:rPr>
          <w:rFonts w:ascii="Arial" w:cs="Arial" w:eastAsia="Arial" w:hAnsi="Arial"/>
          <w:sz w:val="18"/>
          <w:szCs w:val="18"/>
          <w:color w:val="auto"/>
        </w:rPr>
        <w:t xml:space="preserve"> above or otherwise by mutual agreement of the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such termination by mutual agreement shall in all cases be deemed to provide that </w:t>
      </w:r>
      <w:r>
        <w:rPr>
          <w:rFonts w:ascii="Arial" w:cs="Arial" w:eastAsia="Arial" w:hAnsi="Arial"/>
          <w:sz w:val="18"/>
          <w:szCs w:val="18"/>
          <w:u w:val="single" w:color="auto"/>
          <w:color w:val="auto"/>
        </w:rPr>
        <w:t>Section 7(g)</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remain in full force and effect.</w:t>
      </w:r>
    </w:p>
    <w:p>
      <w:pPr>
        <w:spacing w:after="0" w:line="73" w:lineRule="exact"/>
        <w:rPr>
          <w:rFonts w:ascii="Arial" w:cs="Arial" w:eastAsia="Arial" w:hAnsi="Arial"/>
          <w:sz w:val="18"/>
          <w:szCs w:val="18"/>
          <w:color w:val="auto"/>
        </w:rPr>
      </w:pPr>
    </w:p>
    <w:p>
      <w:pPr>
        <w:ind w:right="60" w:firstLine="458"/>
        <w:spacing w:after="0" w:line="312" w:lineRule="auto"/>
        <w:tabs>
          <w:tab w:leader="none" w:pos="7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Any termination of this Agreement shall be effective on the date specified in such notice of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termination shall not be effective until the close of business on the date of receipt of such notice by CF&amp;Co or the Company, as the case may be. If such termination shall occur prior to the Settlement Date for any sale of Placement Shares, such Placement Shares shall settle in accordance with the provisions of this Agreement.</w:t>
      </w:r>
    </w:p>
    <w:p>
      <w:pPr>
        <w:spacing w:after="0" w:line="38" w:lineRule="exact"/>
        <w:rPr>
          <w:rFonts w:ascii="Arial" w:cs="Arial" w:eastAsia="Arial" w:hAnsi="Arial"/>
          <w:sz w:val="16"/>
          <w:szCs w:val="16"/>
          <w:color w:val="auto"/>
        </w:rPr>
      </w:pPr>
    </w:p>
    <w:p>
      <w:pPr>
        <w:ind w:left="540" w:hanging="307"/>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All notices or other communications required or permitted to be given by any party to any other party pursuant to the terms of this Agreement shall be in writing and if sent to CF&amp;Co, shall be delivered to CF&amp;Co at Cantor Fitzgerald &amp; Co., 110 East 59th Street, New York, New York 10022, fax no.</w:t>
      </w:r>
    </w:p>
    <w:p>
      <w:pPr>
        <w:ind w:firstLine="8"/>
        <w:spacing w:after="0" w:line="268" w:lineRule="auto"/>
        <w:tabs>
          <w:tab w:leader="none" w:pos="4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829-4972, Attention: ITD-Investment Banking, with copies to Stephen Merkel, General Counsel, at the same address, and DLA Piper Rudnick Gray Cary US LLP, 1251 Avenue of the Americas, New York, NY 10020, fax no. (212) 884-8494, Attention: Dean M. Colucci; or if sent to the Company, shall be delivered to Stemcells, Inc., 3155 Porter Drive, Palo Alto, CA 94304, fax no. 650-475-3101, attention: Rodney Young, Chief Financial Officer, with a copy to Ropes &amp; Gray LLP, One International Place, Boston, MA 02110, fax no. (617) 951-7050, attention: Geoffrey Davis, Esq.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shall mean any day on which the Exchange and commercial banks in the City of New York are open for business.</w:t>
      </w:r>
    </w:p>
    <w:p>
      <w:pPr>
        <w:spacing w:after="0" w:line="71" w:lineRule="exact"/>
        <w:rPr>
          <w:rFonts w:ascii="Arial" w:cs="Arial" w:eastAsia="Arial" w:hAnsi="Arial"/>
          <w:sz w:val="17"/>
          <w:szCs w:val="17"/>
          <w:color w:val="auto"/>
        </w:rPr>
      </w:pPr>
    </w:p>
    <w:p>
      <w:pPr>
        <w:ind w:right="60" w:firstLine="233"/>
        <w:spacing w:after="0" w:line="257" w:lineRule="auto"/>
        <w:tabs>
          <w:tab w:leader="none" w:pos="54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Company and CF&amp;Co and their respective successors and the affiliates, controlling persons, officers and directors referred to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provided in this Agreement. Neither party may assign its rights or obligations under this Agreement without the prior written consent of the other party.</w:t>
      </w:r>
    </w:p>
    <w:p>
      <w:pPr>
        <w:spacing w:after="0" w:line="129" w:lineRule="exact"/>
        <w:rPr>
          <w:sz w:val="20"/>
          <w:szCs w:val="20"/>
          <w:color w:val="auto"/>
        </w:rPr>
      </w:pPr>
    </w:p>
    <w:p>
      <w:pPr>
        <w:ind w:right="120" w:firstLine="233"/>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62" w:lineRule="exact"/>
        <w:rPr>
          <w:rFonts w:ascii="Arial" w:cs="Arial" w:eastAsia="Arial" w:hAnsi="Arial"/>
          <w:sz w:val="18"/>
          <w:szCs w:val="18"/>
          <w:color w:val="auto"/>
        </w:rPr>
      </w:pPr>
    </w:p>
    <w:p>
      <w:pPr>
        <w:ind w:right="120" w:firstLine="233"/>
        <w:spacing w:after="0" w:line="290"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CF&amp;Co.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58" w:lineRule="exact"/>
        <w:rPr>
          <w:rFonts w:ascii="Arial" w:cs="Arial" w:eastAsia="Arial" w:hAnsi="Arial"/>
          <w:sz w:val="16"/>
          <w:szCs w:val="16"/>
          <w:color w:val="auto"/>
        </w:rPr>
      </w:pPr>
    </w:p>
    <w:p>
      <w:pPr>
        <w:ind w:firstLine="233"/>
        <w:spacing w:after="0" w:line="270"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Applicable Law; Consent to Jurisdiction</w:t>
      </w:r>
      <w:r>
        <w:rPr>
          <w:rFonts w:ascii="Arial" w:cs="Arial" w:eastAsia="Arial" w:hAnsi="Arial"/>
          <w:sz w:val="17"/>
          <w:szCs w:val="17"/>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73" w:lineRule="exact"/>
        <w:rPr>
          <w:rFonts w:ascii="Arial" w:cs="Arial" w:eastAsia="Arial" w:hAnsi="Arial"/>
          <w:sz w:val="17"/>
          <w:szCs w:val="17"/>
          <w:color w:val="auto"/>
        </w:rPr>
      </w:pPr>
    </w:p>
    <w:p>
      <w:pPr>
        <w:ind w:right="120" w:firstLine="233"/>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CF&amp;Co each hereby irrevocably waives any right it may have to a trial by jury in respect of any claim based upon or arising out of this agreement or any transaction contemplated hereby.</w:t>
      </w:r>
    </w:p>
    <w:p>
      <w:pPr>
        <w:spacing w:after="0" w:line="62" w:lineRule="exact"/>
        <w:rPr>
          <w:rFonts w:ascii="Arial" w:cs="Arial" w:eastAsia="Arial" w:hAnsi="Arial"/>
          <w:sz w:val="18"/>
          <w:szCs w:val="18"/>
          <w:color w:val="auto"/>
        </w:rPr>
      </w:pPr>
    </w:p>
    <w:p>
      <w:pPr>
        <w:ind w:firstLine="233"/>
        <w:spacing w:after="0" w:line="34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firstLine="450"/>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CF&amp;Co, please so indicate in the space provided below for that purpose, whereupon this letter shall constitute a binding agreement between the Company and CF&amp;Co.</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Iris Brest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Iris Brest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first-above written:</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CANTOR FITZGERALD &amp; CO.</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Marc Blazer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Marc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Head of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935" w:right="7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CF&amp;Co shall be paid compensation equal to five percent (5%) of the gross proceeds from the sales of Shares pursuant to the terms of this Agreement.</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4">
    <w:nsid w:val="721DA317"/>
    <w:multiLevelType w:val="hybridMultilevel"/>
    <w:lvl w:ilvl="0">
      <w:lvlJc w:val="left"/>
      <w:lvlText w:val="%1."/>
      <w:numFmt w:val="decimal"/>
      <w:start w:val="6"/>
    </w:lvl>
    <w:lvl w:ilvl="1">
      <w:lvlJc w:val="left"/>
      <w:lvlText w:val="(%2)"/>
      <w:numFmt w:val="lowerLetter"/>
      <w:start w:val="1"/>
    </w:lvl>
  </w:abstractNum>
  <w:abstractNum w:abstractNumId="5">
    <w:nsid w:val="2443A858"/>
    <w:multiLevelType w:val="hybridMultilevel"/>
    <w:lvl w:ilvl="0">
      <w:lvlJc w:val="left"/>
      <w:lvlText w:val="%1"/>
      <w:numFmt w:val="lowerLetter"/>
      <w:start w:val="1"/>
    </w:lvl>
    <w:lvl w:ilvl="1">
      <w:lvlJc w:val="left"/>
      <w:lvlText w:val="(%2)"/>
      <w:numFmt w:val="lowerLetter"/>
      <w:start w:val="4"/>
    </w:lvl>
  </w:abstractNum>
  <w:abstractNum w:abstractNumId="6">
    <w:nsid w:val="2D1D5AE9"/>
    <w:multiLevelType w:val="hybridMultilevel"/>
    <w:lvl w:ilvl="0">
      <w:lvlJc w:val="left"/>
      <w:lvlText w:val="(%1)"/>
      <w:numFmt w:val="lowerLetter"/>
      <w:start w:val="9"/>
    </w:lvl>
    <w:lvl w:ilvl="1">
      <w:lvlJc w:val="left"/>
      <w:lvlText w:val="%2"/>
      <w:numFmt w:val="lowerLetter"/>
      <w:start w:val="1"/>
    </w:lvl>
  </w:abstractNum>
  <w:abstractNum w:abstractNumId="7">
    <w:nsid w:val="6763845E"/>
    <w:multiLevelType w:val="hybridMultilevel"/>
    <w:lvl w:ilvl="0">
      <w:lvlJc w:val="left"/>
      <w:lvlText w:val="(%1)"/>
      <w:numFmt w:val="lowerLetter"/>
      <w:start w:val="7"/>
    </w:lvl>
    <w:lvl w:ilvl="1">
      <w:lvlJc w:val="left"/>
      <w:lvlText w:val="(%2)"/>
      <w:numFmt w:val="decimal"/>
      <w:start w:val="2"/>
    </w:lvl>
  </w:abstractNum>
  <w:abstractNum w:abstractNumId="8">
    <w:nsid w:val="75A2A8D4"/>
    <w:multiLevelType w:val="hybridMultilevel"/>
    <w:lvl w:ilvl="0">
      <w:lvlJc w:val="left"/>
      <w:lvlText w:val="(%1)"/>
      <w:numFmt w:val="lowerLetter"/>
      <w:start w:val="9"/>
    </w:lvl>
    <w:lvl w:ilvl="1">
      <w:lvlJc w:val="left"/>
      <w:lvlText w:val="-"/>
      <w:numFmt w:val="bullet"/>
      <w:start w:val="1"/>
    </w:lvl>
  </w:abstractNum>
  <w:abstractNum w:abstractNumId="9">
    <w:nsid w:val="8EDBDAB"/>
    <w:multiLevelType w:val="hybridMultilevel"/>
    <w:lvl w:ilvl="0">
      <w:lvlJc w:val="left"/>
      <w:lvlText w:val="(%1)"/>
      <w:numFmt w:val="lowerLetter"/>
      <w:start w:val="13"/>
    </w:lvl>
  </w:abstractNum>
  <w:abstractNum w:abstractNumId="10">
    <w:nsid w:val="79838CB2"/>
    <w:multiLevelType w:val="hybridMultilevel"/>
    <w:lvl w:ilvl="0">
      <w:lvlJc w:val="left"/>
      <w:lvlText w:val="%1"/>
      <w:numFmt w:val="lowerLetter"/>
      <w:start w:val="1"/>
    </w:lvl>
    <w:lvl w:ilvl="1">
      <w:lvlJc w:val="left"/>
      <w:lvlText w:val="(%2)"/>
      <w:numFmt w:val="lowerLetter"/>
      <w:start w:val="16"/>
    </w:lvl>
  </w:abstractNum>
  <w:abstractNum w:abstractNumId="11">
    <w:nsid w:val="4353D0CD"/>
    <w:multiLevelType w:val="hybridMultilevel"/>
    <w:lvl w:ilvl="0">
      <w:lvlJc w:val="left"/>
      <w:lvlText w:val="(%1)"/>
      <w:numFmt w:val="lowerLetter"/>
      <w:start w:val="9"/>
    </w:lvl>
    <w:lvl w:ilvl="1">
      <w:lvlJc w:val="left"/>
      <w:lvlText w:val="(%2)"/>
      <w:numFmt w:val="lowerLetter"/>
      <w:start w:val="17"/>
    </w:lvl>
  </w:abstractNum>
  <w:abstractNum w:abstractNumId="12">
    <w:nsid w:val="B03E0C6"/>
    <w:multiLevelType w:val="hybridMultilevel"/>
    <w:lvl w:ilvl="0">
      <w:lvlJc w:val="left"/>
      <w:lvlText w:val="(%1)"/>
      <w:numFmt w:val="lowerLetter"/>
      <w:start w:val="22"/>
    </w:lvl>
  </w:abstractNum>
  <w:abstractNum w:abstractNumId="13">
    <w:nsid w:val="189A769B"/>
    <w:multiLevelType w:val="hybridMultilevel"/>
    <w:lvl w:ilvl="0">
      <w:lvlJc w:val="left"/>
      <w:lvlText w:val="(%1)"/>
      <w:numFmt w:val="lowerLetter"/>
      <w:start w:val="27"/>
    </w:lvl>
  </w:abstractNum>
  <w:abstractNum w:abstractNumId="14">
    <w:nsid w:val="54E49EB4"/>
    <w:multiLevelType w:val="hybridMultilevel"/>
    <w:lvl w:ilvl="0">
      <w:lvlJc w:val="left"/>
      <w:lvlText w:val="(%1)"/>
      <w:numFmt w:val="lowerLetter"/>
      <w:start w:val="31"/>
    </w:lvl>
  </w:abstractNum>
  <w:abstractNum w:abstractNumId="15">
    <w:nsid w:val="71F32454"/>
    <w:multiLevelType w:val="hybridMultilevel"/>
    <w:lvl w:ilvl="0">
      <w:lvlJc w:val="left"/>
      <w:lvlText w:val="%1"/>
      <w:numFmt w:val="lowerLetter"/>
      <w:start w:val="1"/>
    </w:lvl>
    <w:lvl w:ilvl="1">
      <w:lvlJc w:val="left"/>
      <w:lvlText w:val="(%2)"/>
      <w:numFmt w:val="lowerLetter"/>
      <w:start w:val="37"/>
    </w:lvl>
  </w:abstractNum>
  <w:abstractNum w:abstractNumId="16">
    <w:nsid w:val="2CA88611"/>
    <w:multiLevelType w:val="hybridMultilevel"/>
    <w:lvl w:ilvl="0">
      <w:lvlJc w:val="left"/>
      <w:lvlText w:val="(%1)"/>
      <w:numFmt w:val="lowerLetter"/>
      <w:start w:val="35"/>
    </w:lvl>
    <w:lvl w:ilvl="1">
      <w:lvlJc w:val="left"/>
      <w:lvlText w:val="(%2)"/>
      <w:numFmt w:val="lowerLetter"/>
      <w:start w:val="39"/>
    </w:lvl>
  </w:abstractNum>
  <w:abstractNum w:abstractNumId="17">
    <w:nsid w:val="836C40E"/>
    <w:multiLevelType w:val="hybridMultilevel"/>
    <w:lvl w:ilvl="0">
      <w:lvlJc w:val="left"/>
      <w:lvlText w:val="(%1)"/>
      <w:numFmt w:val="lowerLetter"/>
      <w:start w:val="35"/>
    </w:lvl>
    <w:lvl w:ilvl="1">
      <w:lvlJc w:val="left"/>
      <w:lvlText w:val="%2"/>
      <w:numFmt w:val="lowerLetter"/>
      <w:start w:val="1"/>
    </w:lvl>
  </w:abstractNum>
  <w:abstractNum w:abstractNumId="18">
    <w:nsid w:val="2901D82"/>
    <w:multiLevelType w:val="hybridMultilevel"/>
    <w:lvl w:ilvl="0">
      <w:lvlJc w:val="left"/>
      <w:lvlText w:val="%1."/>
      <w:numFmt w:val="decimal"/>
      <w:start w:val="7"/>
    </w:lvl>
    <w:lvl w:ilvl="1">
      <w:lvlJc w:val="left"/>
      <w:lvlText w:val="(%2)"/>
      <w:numFmt w:val="lowerLetter"/>
      <w:start w:val="1"/>
    </w:lvl>
  </w:abstractNum>
  <w:abstractNum w:abstractNumId="19">
    <w:nsid w:val="3A95F874"/>
    <w:multiLevelType w:val="hybridMultilevel"/>
    <w:lvl w:ilvl="0">
      <w:lvlJc w:val="left"/>
      <w:lvlText w:val="(%1)"/>
      <w:numFmt w:val="lowerLetter"/>
      <w:start w:val="4"/>
    </w:lvl>
  </w:abstractNum>
  <w:abstractNum w:abstractNumId="20">
    <w:nsid w:val="8138641"/>
    <w:multiLevelType w:val="hybridMultilevel"/>
    <w:lvl w:ilvl="0">
      <w:lvlJc w:val="left"/>
      <w:lvlText w:val="(%1)"/>
      <w:numFmt w:val="lowerLetter"/>
      <w:start w:val="7"/>
    </w:lvl>
  </w:abstractNum>
  <w:abstractNum w:abstractNumId="21">
    <w:nsid w:val="1E7FF521"/>
    <w:multiLevelType w:val="hybridMultilevel"/>
    <w:lvl w:ilvl="0">
      <w:lvlJc w:val="left"/>
      <w:lvlText w:val="%1"/>
      <w:numFmt w:val="lowerLetter"/>
      <w:start w:val="1"/>
    </w:lvl>
    <w:lvl w:ilvl="1">
      <w:lvlJc w:val="left"/>
      <w:lvlText w:val="(%2)"/>
      <w:numFmt w:val="lowerLetter"/>
      <w:start w:val="8"/>
    </w:lvl>
  </w:abstractNum>
  <w:abstractNum w:abstractNumId="22">
    <w:nsid w:val="7C3DBD3D"/>
    <w:multiLevelType w:val="hybridMultilevel"/>
    <w:lvl w:ilvl="0">
      <w:lvlJc w:val="left"/>
      <w:lvlText w:val="(%1)"/>
      <w:numFmt w:val="lowerLetter"/>
      <w:start w:val="61"/>
    </w:lvl>
    <w:lvl w:ilvl="1">
      <w:lvlJc w:val="left"/>
      <w:lvlText w:val="(%2)"/>
      <w:numFmt w:val="lowerLetter"/>
      <w:start w:val="10"/>
    </w:lvl>
  </w:abstractNum>
  <w:abstractNum w:abstractNumId="23">
    <w:nsid w:val="737B8DDC"/>
    <w:multiLevelType w:val="hybridMultilevel"/>
    <w:lvl w:ilvl="0">
      <w:lvlJc w:val="left"/>
      <w:lvlText w:val="(%1)"/>
      <w:numFmt w:val="lowerLetter"/>
      <w:start w:val="35"/>
    </w:lvl>
    <w:lvl w:ilvl="1">
      <w:lvlJc w:val="left"/>
      <w:lvlText w:val="%2"/>
      <w:numFmt w:val="lowerLetter"/>
      <w:start w:val="1"/>
    </w:lvl>
  </w:abstractNum>
  <w:abstractNum w:abstractNumId="24">
    <w:nsid w:val="6CEAF087"/>
    <w:multiLevelType w:val="hybridMultilevel"/>
    <w:lvl w:ilvl="0">
      <w:lvlJc w:val="left"/>
      <w:lvlText w:val="%1"/>
      <w:numFmt w:val="lowerLetter"/>
      <w:start w:val="1"/>
    </w:lvl>
    <w:lvl w:ilvl="1">
      <w:lvlJc w:val="left"/>
      <w:lvlText w:val="(%2)"/>
      <w:numFmt w:val="lowerLetter"/>
      <w:start w:val="13"/>
    </w:lvl>
  </w:abstractNum>
  <w:abstractNum w:abstractNumId="25">
    <w:nsid w:val="22221A70"/>
    <w:multiLevelType w:val="hybridMultilevel"/>
    <w:lvl w:ilvl="0">
      <w:lvlJc w:val="left"/>
      <w:lvlText w:val="(%1)"/>
      <w:numFmt w:val="lowerLetter"/>
      <w:start w:val="14"/>
    </w:lvl>
    <w:lvl w:ilvl="1">
      <w:lvlJc w:val="left"/>
      <w:lvlText w:val="%2"/>
      <w:numFmt w:val="lowerLetter"/>
      <w:start w:val="1"/>
    </w:lvl>
  </w:abstractNum>
  <w:abstractNum w:abstractNumId="26">
    <w:nsid w:val="4516DDE9"/>
    <w:multiLevelType w:val="hybridMultilevel"/>
    <w:lvl w:ilvl="0">
      <w:lvlJc w:val="left"/>
      <w:lvlText w:val="%1"/>
      <w:numFmt w:val="decimal"/>
      <w:start w:val="1"/>
    </w:lvl>
    <w:lvl w:ilvl="1">
      <w:lvlJc w:val="left"/>
      <w:lvlText w:val="(%2)"/>
      <w:numFmt w:val="lowerLetter"/>
      <w:start w:val="15"/>
    </w:lvl>
  </w:abstractNum>
  <w:abstractNum w:abstractNumId="27">
    <w:nsid w:val="3006C83E"/>
    <w:multiLevelType w:val="hybridMultilevel"/>
    <w:lvl w:ilvl="0">
      <w:lvlJc w:val="left"/>
      <w:lvlText w:val="%1."/>
      <w:numFmt w:val="decimal"/>
      <w:start w:val="8"/>
    </w:lvl>
    <w:lvl w:ilvl="1">
      <w:lvlJc w:val="left"/>
      <w:lvlText w:val="(%2)"/>
      <w:numFmt w:val="lowerLetter"/>
      <w:start w:val="1"/>
    </w:lvl>
  </w:abstractNum>
  <w:abstractNum w:abstractNumId="28">
    <w:nsid w:val="614FD4A1"/>
    <w:multiLevelType w:val="hybridMultilevel"/>
    <w:lvl w:ilvl="0">
      <w:lvlJc w:val="left"/>
      <w:lvlText w:val="(%1)"/>
      <w:numFmt w:val="lowerLetter"/>
      <w:start w:val="3"/>
    </w:lvl>
  </w:abstractNum>
  <w:abstractNum w:abstractNumId="29">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0">
    <w:nsid w:val="5577F8E1"/>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1"/>
    </w:lvl>
  </w:abstractNum>
  <w:abstractNum w:abstractNumId="31">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2">
    <w:nsid w:val="5072367"/>
    <w:multiLevelType w:val="hybridMultilevel"/>
    <w:lvl w:ilvl="0">
      <w:lvlJc w:val="left"/>
      <w:lvlText w:val="(%1)"/>
      <w:numFmt w:val="lowerLetter"/>
      <w:start w:val="3"/>
    </w:lvl>
  </w:abstractNum>
  <w:abstractNum w:abstractNumId="33">
    <w:nsid w:val="3804823E"/>
    <w:multiLevelType w:val="hybridMultilevel"/>
    <w:lvl w:ilvl="0">
      <w:lvlJc w:val="left"/>
      <w:lvlText w:val="(%1)"/>
      <w:numFmt w:val="lowerLetter"/>
      <w:start w:val="4"/>
    </w:lvl>
  </w:abstractNum>
  <w:abstractNum w:abstractNumId="34">
    <w:nsid w:val="77465F01"/>
    <w:multiLevelType w:val="hybridMultilevel"/>
    <w:lvl w:ilvl="0">
      <w:lvlJc w:val="left"/>
      <w:lvlText w:val="%1."/>
      <w:numFmt w:val="decimal"/>
      <w:start w:val="10"/>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4"/>
    </w:lvl>
  </w:abstractNum>
  <w:abstractNum w:abstractNumId="36">
    <w:nsid w:val="5C482A97"/>
    <w:multiLevelType w:val="hybridMultilevel"/>
    <w:lvl w:ilvl="0">
      <w:lvlJc w:val="left"/>
      <w:lvlText w:val="%1."/>
      <w:numFmt w:val="decimal"/>
      <w:start w:val="12"/>
    </w:lvl>
    <w:lvl w:ilvl="1">
      <w:lvlJc w:val="left"/>
      <w:lvlText w:val="%2"/>
      <w:numFmt w:val="lowerLetter"/>
      <w:start w:val="1"/>
    </w:lvl>
  </w:abstractNum>
  <w:abstractNum w:abstractNumId="37">
    <w:nsid w:val="2463B9EA"/>
    <w:multiLevelType w:val="hybridMultilevel"/>
    <w:lvl w:ilvl="0">
      <w:lvlJc w:val="left"/>
      <w:lvlText w:val="(%1)"/>
      <w:numFmt w:val="decimal"/>
      <w:start w:val="212"/>
    </w:lvl>
    <w:lvl w:ilvl="1">
      <w:lvlJc w:val="left"/>
      <w:lvlText w:val="%2."/>
      <w:numFmt w:val="decimal"/>
      <w:start w:val="13"/>
    </w:lvl>
  </w:abstractNum>
  <w:abstractNum w:abstractNumId="38">
    <w:nsid w:val="5E884AD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2019-12-13T21:00:01Z</dcterms:created>
  <dcterms:modified xsi:type="dcterms:W3CDTF">2019-12-13T21:00:01Z</dcterms:modified>
</cp:coreProperties>
</file>