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144780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13 or 15(d)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STEMCELLS,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Delaware</w:t>
            </w:r>
          </w:p>
        </w:tc>
        <w:tc>
          <w:tcPr>
            <w:tcW w:w="388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0-19871</w:t>
            </w:r>
          </w:p>
        </w:tc>
        <w:tc>
          <w:tcPr>
            <w:tcW w:w="1260" w:type="dxa"/>
            <w:vAlign w:val="bottom"/>
          </w:tcPr>
          <w:p>
            <w:pPr>
              <w:spacing w:after="0"/>
              <w:rPr>
                <w:sz w:val="19"/>
                <w:szCs w:val="19"/>
                <w:color w:val="auto"/>
              </w:rPr>
            </w:pPr>
          </w:p>
        </w:tc>
        <w:tc>
          <w:tcPr>
            <w:tcW w:w="298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94-3078125</w:t>
            </w:r>
          </w:p>
        </w:tc>
      </w:tr>
      <w:tr>
        <w:trPr>
          <w:trHeight w:val="426"/>
        </w:trPr>
        <w:tc>
          <w:tcPr>
            <w:tcW w:w="3300" w:type="dxa"/>
            <w:vAlign w:val="bottom"/>
          </w:tcPr>
          <w:p>
            <w:pPr>
              <w:jc w:val="center"/>
              <w:ind w:left="752"/>
              <w:spacing w:after="0"/>
              <w:rPr>
                <w:sz w:val="20"/>
                <w:szCs w:val="20"/>
                <w:color w:val="auto"/>
              </w:rPr>
            </w:pPr>
            <w:r>
              <w:rPr>
                <w:rFonts w:ascii="Arial" w:cs="Arial" w:eastAsia="Arial" w:hAnsi="Arial"/>
                <w:sz w:val="18"/>
                <w:szCs w:val="18"/>
                <w:color w:val="auto"/>
                <w:w w:val="90"/>
              </w:rPr>
              <w:t>(State or other jurisdiction</w:t>
            </w:r>
          </w:p>
        </w:tc>
        <w:tc>
          <w:tcPr>
            <w:tcW w:w="920" w:type="dxa"/>
            <w:vAlign w:val="bottom"/>
          </w:tcPr>
          <w:p>
            <w:pPr>
              <w:spacing w:after="0"/>
              <w:rPr>
                <w:sz w:val="24"/>
                <w:szCs w:val="24"/>
                <w:color w:val="auto"/>
              </w:rPr>
            </w:pPr>
          </w:p>
        </w:tc>
        <w:tc>
          <w:tcPr>
            <w:tcW w:w="4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(Commission File Number)</w:t>
            </w:r>
          </w:p>
        </w:tc>
        <w:tc>
          <w:tcPr>
            <w:tcW w:w="2980" w:type="dxa"/>
            <w:vAlign w:val="bottom"/>
          </w:tcPr>
          <w:p>
            <w:pPr>
              <w:jc w:val="center"/>
              <w:ind w:right="1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left="752"/>
              <w:spacing w:after="0"/>
              <w:rPr>
                <w:sz w:val="20"/>
                <w:szCs w:val="20"/>
                <w:color w:val="auto"/>
              </w:rPr>
            </w:pPr>
            <w:r>
              <w:rPr>
                <w:rFonts w:ascii="Arial" w:cs="Arial" w:eastAsia="Arial" w:hAnsi="Arial"/>
                <w:sz w:val="18"/>
                <w:szCs w:val="18"/>
                <w:color w:val="auto"/>
                <w:w w:val="90"/>
              </w:rPr>
              <w:t>of incorporation)</w:t>
            </w:r>
          </w:p>
        </w:tc>
        <w:tc>
          <w:tcPr>
            <w:tcW w:w="9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80" w:type="dxa"/>
            <w:vAlign w:val="bottom"/>
          </w:tcPr>
          <w:p>
            <w:pPr>
              <w:jc w:val="center"/>
              <w:ind w:right="12"/>
              <w:spacing w:after="0"/>
              <w:rPr>
                <w:sz w:val="20"/>
                <w:szCs w:val="20"/>
                <w:color w:val="auto"/>
              </w:rPr>
            </w:pPr>
            <w:r>
              <w:rPr>
                <w:rFonts w:ascii="Arial" w:cs="Arial" w:eastAsia="Arial" w:hAnsi="Arial"/>
                <w:sz w:val="18"/>
                <w:szCs w:val="18"/>
                <w:color w:val="auto"/>
                <w:w w:val="93"/>
              </w:rPr>
              <w:t>Identification Number)</w:t>
            </w:r>
          </w:p>
        </w:tc>
      </w:tr>
      <w:tr>
        <w:trPr>
          <w:trHeight w:val="420"/>
        </w:trPr>
        <w:tc>
          <w:tcPr>
            <w:tcW w:w="3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0"/>
              </w:rPr>
              <w:t>3155 Porter Drive</w:t>
            </w:r>
          </w:p>
        </w:tc>
        <w:tc>
          <w:tcPr>
            <w:tcW w:w="2980" w:type="dxa"/>
            <w:vAlign w:val="bottom"/>
          </w:tcPr>
          <w:p>
            <w:pPr>
              <w:spacing w:after="0"/>
              <w:rPr>
                <w:sz w:val="24"/>
                <w:szCs w:val="24"/>
                <w:color w:val="auto"/>
              </w:rPr>
            </w:pPr>
          </w:p>
        </w:tc>
      </w:tr>
      <w:tr>
        <w:trPr>
          <w:trHeight w:val="228"/>
        </w:trPr>
        <w:tc>
          <w:tcPr>
            <w:tcW w:w="3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2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0"/>
              </w:rPr>
              <w:t>Palo Alto, California 94304</w:t>
            </w:r>
          </w:p>
        </w:tc>
        <w:tc>
          <w:tcPr>
            <w:tcW w:w="2980" w:type="dxa"/>
            <w:vAlign w:val="bottom"/>
          </w:tcPr>
          <w:p>
            <w:pPr>
              <w:spacing w:after="0"/>
              <w:rPr>
                <w:sz w:val="19"/>
                <w:szCs w:val="19"/>
                <w:color w:val="auto"/>
              </w:rPr>
            </w:pPr>
          </w:p>
        </w:tc>
      </w:tr>
      <w:tr>
        <w:trPr>
          <w:trHeight w:val="432"/>
        </w:trPr>
        <w:tc>
          <w:tcPr>
            <w:tcW w:w="3300" w:type="dxa"/>
            <w:vAlign w:val="bottom"/>
          </w:tcPr>
          <w:p>
            <w:pPr>
              <w:spacing w:after="0"/>
              <w:rPr>
                <w:sz w:val="24"/>
                <w:szCs w:val="24"/>
                <w:color w:val="auto"/>
              </w:rPr>
            </w:pPr>
          </w:p>
        </w:tc>
        <w:tc>
          <w:tcPr>
            <w:tcW w:w="51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98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3880" w:type="dxa"/>
            <w:vAlign w:val="bottom"/>
            <w:gridSpan w:val="2"/>
          </w:tcPr>
          <w:p>
            <w:pPr>
              <w:jc w:val="center"/>
              <w:ind w:left="852"/>
              <w:spacing w:after="0"/>
              <w:rPr>
                <w:sz w:val="20"/>
                <w:szCs w:val="20"/>
                <w:color w:val="auto"/>
              </w:rPr>
            </w:pPr>
            <w:r>
              <w:rPr>
                <w:rFonts w:ascii="Arial" w:cs="Arial" w:eastAsia="Arial" w:hAnsi="Arial"/>
                <w:sz w:val="18"/>
                <w:szCs w:val="18"/>
                <w:b w:val="1"/>
                <w:bCs w:val="1"/>
                <w:color w:val="auto"/>
                <w:w w:val="89"/>
              </w:rPr>
              <w:t>(650) 475-3100</w:t>
            </w:r>
          </w:p>
        </w:tc>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514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(Registrant’s Telephone number including area code)</w:t>
            </w:r>
          </w:p>
        </w:tc>
        <w:tc>
          <w:tcPr>
            <w:tcW w:w="2980" w:type="dxa"/>
            <w:vAlign w:val="bottom"/>
          </w:tcPr>
          <w:p>
            <w:pPr>
              <w:spacing w:after="0"/>
              <w:rPr>
                <w:sz w:val="24"/>
                <w:szCs w:val="24"/>
                <w:color w:val="auto"/>
              </w:rPr>
            </w:pPr>
          </w:p>
        </w:tc>
      </w:tr>
      <w:tr>
        <w:trPr>
          <w:trHeight w:val="218"/>
        </w:trPr>
        <w:tc>
          <w:tcPr>
            <w:tcW w:w="3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12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166"/>
        </w:trPr>
        <w:tc>
          <w:tcPr>
            <w:tcW w:w="3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61"/>
        </w:trPr>
        <w:tc>
          <w:tcPr>
            <w:tcW w:w="33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r>
      <w:tr>
        <w:trPr>
          <w:trHeight w:val="655"/>
        </w:trPr>
        <w:tc>
          <w:tcPr>
            <w:tcW w:w="33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99.1</w:t>
      </w: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5. Other Events</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On December 9, 2003, the Company issued 5,000,000 shares of common stock pursuant to its previously filed shelf-registration statement on Form S-3 to one institutional investor in exchange for total consideration of $9.5 million, or $1.90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Item 7. Financial Statements, Pro Forma Financial Information and 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Form of Securities Purchase Agreement dated as of December 9, 2003 between StemCells, Inc. and The Riverview Group, LLC</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December 10, 2003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Form of Securities Purchase Agreement dated as of December 9, 2003 between StemCells, Inc. and The Riverview Group, LLC</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December 10, 2003</w:t>
      </w:r>
    </w:p>
    <w:p>
      <w:pPr>
        <w:sectPr>
          <w:pgSz w:w="11900" w:h="16838" w:orient="portrait"/>
          <w:cols w:equalWidth="0" w:num="1">
            <w:col w:w="10219"/>
          </w:cols>
          <w:pgMar w:left="240" w:top="419"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SECURITIES PURCHASE AGREEMENT (the "AGREEMENT"), dated as of December 9, 2003, by and among StemCells, Inc., a Delaware corporation, with headquarters located at 3155 Porter Drive, Palo Alto, California 94304 (the "COMPANY"), and the investors listed on the Schedule of Buyers attached hereto (individually, a "BUYER" and collectively, the "BUYERS").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right="1879" w:firstLine="956"/>
        <w:spacing w:after="0" w:line="237" w:lineRule="auto"/>
        <w:tabs>
          <w:tab w:leader="none" w:pos="189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Buyer desire to enter into this transaction to purchase the securities set forth herein pursuant to a currently effective shelf registration statement on Form S-3, as amended (Registration Number 333-83992) (the "REGISTRATION STATEMENT"), which Registration Statement has been declared effective in accordance with the Securities Act of 1933, as amended (the "1933 ACT"), by the United States Securities and Exchange Commission (the "SEC").</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Buyer wishes to purchase, and the Company wishes to sell, upon the terms and conditions stated in this Agreement, that aggregate principal amount of shares of the Company's Common Stock, par value $0.01 per share (the "COMMON STOCK") set forth opposite such Buyer's name in column (3) on the Schedule of Buyers (which aggregate amount for all Buyers together shall be 5,000,000 shares and shall collectively be referred to herein as the "COMMON SHARES").</w:t>
      </w:r>
    </w:p>
    <w:p>
      <w:pPr>
        <w:spacing w:after="0" w:line="211" w:lineRule="exact"/>
        <w:rPr>
          <w:rFonts w:ascii="Courier New" w:cs="Courier New" w:eastAsia="Courier New" w:hAnsi="Courier New"/>
          <w:sz w:val="18"/>
          <w:szCs w:val="18"/>
          <w:color w:val="auto"/>
        </w:rPr>
      </w:pPr>
    </w:p>
    <w:p>
      <w:pPr>
        <w:ind w:left="960" w:right="1879" w:hanging="4"/>
        <w:spacing w:after="0" w:line="536" w:lineRule="auto"/>
        <w:tabs>
          <w:tab w:leader="none" w:pos="190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Shares are referred to herein as the "SECURITIES". NOW, THEREFORE, the Company and each Buyer hereby agree as follows:</w:t>
      </w:r>
    </w:p>
    <w:p>
      <w:pPr>
        <w:ind w:left="1900" w:hanging="944"/>
        <w:spacing w:after="0" w:line="234"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COMMON SHARES.</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Common Shares.</w:t>
      </w:r>
    </w:p>
    <w:p>
      <w:pPr>
        <w:spacing w:after="0" w:line="207" w:lineRule="exact"/>
        <w:rPr>
          <w:sz w:val="20"/>
          <w:szCs w:val="20"/>
          <w:color w:val="auto"/>
        </w:rPr>
      </w:pPr>
    </w:p>
    <w:p>
      <w:pPr>
        <w:ind w:right="1879" w:firstLine="2844"/>
        <w:spacing w:after="0" w:line="237" w:lineRule="auto"/>
        <w:rPr>
          <w:sz w:val="20"/>
          <w:szCs w:val="20"/>
          <w:color w:val="auto"/>
        </w:rPr>
      </w:pPr>
      <w:r>
        <w:rPr>
          <w:rFonts w:ascii="Courier New" w:cs="Courier New" w:eastAsia="Courier New" w:hAnsi="Courier New"/>
          <w:sz w:val="18"/>
          <w:szCs w:val="18"/>
          <w:color w:val="auto"/>
        </w:rPr>
        <w:t>Subject to the satisfaction (or waiver) of the conditions set forth in Sections 5(a) and 6(a) below, the Company shall issue and sell to each Buyer, and each Buyer severally, but not jointly, agrees to purchase from the Company on the Closing Date (as defined below), the number of Common Shares as is set forth opposite such Buyer's name in column (3) on the Schedule of Buyers (the "CLOSING").</w:t>
      </w:r>
    </w:p>
    <w:p>
      <w:pPr>
        <w:spacing w:after="0" w:line="210" w:lineRule="exact"/>
        <w:rPr>
          <w:sz w:val="20"/>
          <w:szCs w:val="20"/>
          <w:color w:val="auto"/>
        </w:rPr>
      </w:pPr>
    </w:p>
    <w:p>
      <w:pPr>
        <w:ind w:right="1779" w:firstLine="1904"/>
        <w:spacing w:after="0" w:line="237" w:lineRule="auto"/>
        <w:tabs>
          <w:tab w:leader="none" w:pos="28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for each Buyer (the "PURCHASE PRICE") of the Common Shares to be purchased by each such Buyer at Closing shall be equal to $1.90 for each Common Share being purchased by such Buyer at the Closing.</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The date and time of the Closing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shall be 10:00 a.m., New York City Time, on the date hereof after notification of satisfaction (or waiver) of the conditions to the Closing set forth in Sections 5(a) and 6(a) below (or such later date as is mutually agreed to by the Company and each Buyer).</w:t>
      </w:r>
    </w:p>
    <w:p>
      <w:pPr>
        <w:sectPr>
          <w:pgSz w:w="11900" w:h="16838" w:orient="portrait"/>
          <w:cols w:equalWidth="0" w:num="1">
            <w:col w:w="10219"/>
          </w:cols>
          <w:pgMar w:left="240" w:top="541" w:right="1440" w:bottom="1440" w:gutter="0" w:footer="0" w:header="0"/>
        </w:sectPr>
      </w:pPr>
    </w:p>
    <w:bookmarkStart w:id="7" w:name="page8"/>
    <w:bookmarkEnd w:id="7"/>
    <w:p>
      <w:pPr>
        <w:ind w:right="1779" w:firstLine="1904"/>
        <w:spacing w:after="0" w:line="237" w:lineRule="auto"/>
        <w:tabs>
          <w:tab w:leader="none" w:pos="2844"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On the Closing Date, (i) each Buyer shall pay its Purchase Price to the Company for the Common Shares to be issued and sold to such Buyer at the Closing, by wire transfer of immediately available funds in accordance with the Company's written wire instructions, and (ii) the Company shall cause the Company's transfer agent (the "TRANSFER AGENT") pursuant to the Depository Trust Company ("DTC") Fast Automated Securities Transfer Program, to credit such aggregate number of Common Shares that such Buyer is purchasing as is set forth opposite such Buyer's name in column (3) of the Schedule of Buyers to the Buyer's or its designee's balance account with DTC through its Deposit Withdrawal Agent Commission system.</w:t>
      </w:r>
    </w:p>
    <w:p>
      <w:pPr>
        <w:spacing w:after="0" w:line="209"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REPRESENTATIONS AND WARRANTIES.</w:t>
      </w:r>
    </w:p>
    <w:p>
      <w:pPr>
        <w:spacing w:after="0" w:line="207" w:lineRule="exact"/>
        <w:rPr>
          <w:sz w:val="20"/>
          <w:szCs w:val="20"/>
          <w:color w:val="auto"/>
        </w:rPr>
      </w:pPr>
    </w:p>
    <w:p>
      <w:pPr>
        <w:ind w:right="1879" w:firstLine="1791"/>
        <w:spacing w:after="0" w:line="235" w:lineRule="auto"/>
        <w:rPr>
          <w:sz w:val="20"/>
          <w:szCs w:val="20"/>
          <w:color w:val="auto"/>
        </w:rPr>
      </w:pPr>
      <w:r>
        <w:rPr>
          <w:rFonts w:ascii="Courier New" w:cs="Courier New" w:eastAsia="Courier New" w:hAnsi="Courier New"/>
          <w:sz w:val="18"/>
          <w:szCs w:val="18"/>
          <w:color w:val="auto"/>
        </w:rPr>
        <w:t>Each Buyer represents and warrants with respect to only itself as of the date hereof and as of the Closing Date that:</w:t>
      </w:r>
    </w:p>
    <w:p>
      <w:pPr>
        <w:spacing w:after="0" w:line="208" w:lineRule="exact"/>
        <w:rPr>
          <w:sz w:val="20"/>
          <w:szCs w:val="20"/>
          <w:color w:val="auto"/>
        </w:rPr>
      </w:pPr>
    </w:p>
    <w:p>
      <w:pPr>
        <w:ind w:right="1779" w:firstLine="1904"/>
        <w:spacing w:after="0" w:line="237" w:lineRule="auto"/>
        <w:tabs>
          <w:tab w:leader="none" w:pos="28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Validity; Enforcement. This Agreement has been duly and validly authorized, executed and delivered on behalf of such Buyer and shall constitute the legal, valid and binding obligations of such Buyer enforceable against such Buyer in accordance with its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206"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Residency. Such Buyer is a resident of that country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state specified below its address on the Schedule of Buyers.</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Such Buyer duly organized and validly</w:t>
      </w:r>
    </w:p>
    <w:p>
      <w:pPr>
        <w:spacing w:after="0" w:line="4" w:lineRule="exact"/>
        <w:rPr>
          <w:rFonts w:ascii="Courier New" w:cs="Courier New" w:eastAsia="Courier New" w:hAnsi="Courier New"/>
          <w:sz w:val="18"/>
          <w:szCs w:val="18"/>
          <w:color w:val="auto"/>
        </w:rPr>
      </w:pPr>
    </w:p>
    <w:p>
      <w:pPr>
        <w:ind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existing in good standing under the laws of the jurisdiction of its organization, and has the requisite power and authorization to execute and deliver this Agreement and to consummate the transaction contemplated hereby.</w:t>
      </w:r>
    </w:p>
    <w:p>
      <w:pPr>
        <w:spacing w:after="0" w:line="178"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delivery and performance</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this Agreement by such Buyer and the consummation by such Buyer of the transactions contemplated hereby will not (i) result in a violation of the constituent documents of such Buyer or (ii) conflict with, or constitute a default (or an event which with notice or lapse of time or both would become a default) under, or give to others any rights of termination, amendment, acceleration or cancellation of, any material agreement, indenture or instrument to which such Buyer is a party, or (iii) result in a violation of any law, rule, regulation, order, judgment or decree applicable to such Buyer or by which any property or asset of such Buyer is bound or affected, except in the case of clauses (ii) and (iii), for such breaches or defaults as would not be reasonably expected to have a material adverse effect on such Buyer's ability to consummate the transactions contemplated hereby.</w:t>
      </w:r>
    </w:p>
    <w:p>
      <w:pPr>
        <w:spacing w:after="0" w:line="201"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Representations and Warranties. Each Buyer</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that, except for the representations and warranties contained in the Transaction Documents, the Seller is not making any other express or implied representation or warranty on its behalf.</w:t>
      </w:r>
    </w:p>
    <w:p>
      <w:pPr>
        <w:sectPr>
          <w:pgSz w:w="11900" w:h="16838" w:orient="portrait"/>
          <w:cols w:equalWidth="0" w:num="1">
            <w:col w:w="10219"/>
          </w:cols>
          <w:pgMar w:left="240" w:top="723" w:right="1440" w:bottom="1440" w:gutter="0" w:footer="0" w:header="0"/>
        </w:sectPr>
      </w:pPr>
    </w:p>
    <w:bookmarkStart w:id="8" w:name="page9"/>
    <w:bookmarkEnd w:id="8"/>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Except as is set forth in the SEC Documents (as defined below) or the Disclosure Schedules, the Company represents and warrants to each of the Buyers as of the date hereof and as of the Closing Date that:</w:t>
      </w:r>
    </w:p>
    <w:p>
      <w:pPr>
        <w:spacing w:after="0" w:line="203" w:lineRule="exact"/>
        <w:rPr>
          <w:sz w:val="20"/>
          <w:szCs w:val="20"/>
          <w:color w:val="auto"/>
        </w:rPr>
      </w:pPr>
    </w:p>
    <w:p>
      <w:pPr>
        <w:ind w:left="2860" w:hanging="956"/>
        <w:spacing w:after="0"/>
        <w:tabs>
          <w:tab w:leader="none" w:pos="2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Qualification. Each of the Company</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its Subsidiaries are corporations duly organized and validly existing in good standing under the laws of the jurisdiction in which they are incorporated, and have the requisite corporate power and authorization to own their properties and to carry on their business as now being conducted. Each of the Company and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"MATERIAL ADVERSE EFFECT" means any material adverse effect on the business, properties, assets, operations, results of operations, or financial condition of the Company and its Subsidiaries, taken as a whole, or on the transactions contemplated hereby or by the agreements and instruments to be entered into in connection herewith, or on the authority or ability of the Company to perform its obligations under the Transaction Documents (as defined below). For purposes of this Agreement, "SUBSIDIARY" means any entity in which the Company, directly or indirectly, owns capital stock or holds an equity or similar interest. The Company has no Subsidiaries other than StemCells California, Inc., a California corporation.</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Enforcement; Validity. The Company has</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requisite corporate power and authority to enter into and perform its obligations under this Agreement and each of the other agreements entered into or to be entered into on the Closing Date by the parties hereto in connection with the transactions contemplated by this Agreement (collectively, the "TRANSACTION DOCUMENTS") and, to issue the Securities in accordance with the terms hereof and thereof. The execution and delivery of the Transaction Documents by the Company and the consummation by the Company of the transactions contemplated hereby and thereby, including, without limitation, the issuance of the Common Shares have been duly authorized by the Company's Board of Directors and no further consent or authorization is required by the Company, its Board of Directors or its stockholders. This Agreement and the other Transaction Documents of even date herewith have been duly executed and delivered by the Company, and constitute the legal, valid and binding obligations of the Company enforceable against the Company in accordance with their respective terms, except (i) as such enforceability may be limited by general principles of equity or applicable bankruptcy, insolvency, reorganization, moratorium, liquidation or similar laws relating to, or affecting generally, the enforcement of applicable creditors' rights and remedies, or (ii) as any rights to indemnity or contribution hereunder may be limited by federal and state securities laws and public policy consideration.</w:t>
      </w:r>
    </w:p>
    <w:p>
      <w:pPr>
        <w:spacing w:after="0" w:line="209" w:lineRule="exact"/>
        <w:rPr>
          <w:rFonts w:ascii="Courier New" w:cs="Courier New" w:eastAsia="Courier New" w:hAnsi="Courier New"/>
          <w:sz w:val="16"/>
          <w:szCs w:val="16"/>
          <w:color w:val="auto"/>
        </w:rPr>
      </w:pPr>
    </w:p>
    <w:p>
      <w:pPr>
        <w:ind w:right="1779" w:firstLine="1904"/>
        <w:spacing w:after="0" w:line="237" w:lineRule="auto"/>
        <w:tabs>
          <w:tab w:leader="none" w:pos="28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Securities. The Common Shares are duly authorized and, upon issuance in accordance with the terms hereof, shall be free from all taxes, liens and charges with respect to the issue thereof. The issuance by the Company of the Securities has been registered under the 1933 Act and all of the Securities are freely transferable and tradable by the Buyers without restriction (other than restrictions that may be applicable to a particular Buyer by virtue of the nature of such Buyer). The Common Shares are being issued pursuant to the</w:t>
      </w:r>
    </w:p>
    <w:p>
      <w:pPr>
        <w:sectPr>
          <w:pgSz w:w="11900" w:h="16838" w:orient="portrait"/>
          <w:cols w:equalWidth="0" w:num="1">
            <w:col w:w="10219"/>
          </w:cols>
          <w:pgMar w:left="240" w:top="717" w:right="1440" w:bottom="1440" w:gutter="0" w:footer="0" w:header="0"/>
        </w:sectPr>
      </w:pPr>
    </w:p>
    <w:bookmarkStart w:id="9" w:name="page10"/>
    <w:bookmarkEnd w:id="9"/>
    <w:p>
      <w:pPr>
        <w:ind w:right="1779"/>
        <w:spacing w:after="0" w:line="271" w:lineRule="auto"/>
        <w:rPr>
          <w:sz w:val="20"/>
          <w:szCs w:val="20"/>
          <w:color w:val="auto"/>
        </w:rPr>
      </w:pPr>
      <w:r>
        <w:rPr>
          <w:rFonts w:ascii="Courier New" w:cs="Courier New" w:eastAsia="Courier New" w:hAnsi="Courier New"/>
          <w:sz w:val="16"/>
          <w:szCs w:val="16"/>
          <w:color w:val="auto"/>
        </w:rPr>
        <w:t>Registration Statement.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under the Registration Statement permits the sale of the Securities hereunder. Upon receipt of the Securities, the Buyers will have good and marketable title to such Securities and such Securities will be freely tradable on The Nasdaq SmallCap Market (the "PRINCIPAL MARKET").</w:t>
      </w:r>
    </w:p>
    <w:p>
      <w:pPr>
        <w:spacing w:after="0" w:line="386" w:lineRule="exact"/>
        <w:rPr>
          <w:sz w:val="20"/>
          <w:szCs w:val="20"/>
          <w:color w:val="auto"/>
        </w:rPr>
      </w:pPr>
    </w:p>
    <w:p>
      <w:pPr>
        <w:ind w:right="1779" w:firstLine="1904"/>
        <w:spacing w:after="0" w:line="269" w:lineRule="auto"/>
        <w:tabs>
          <w:tab w:leader="none" w:pos="28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Assuming the accuracy of all representations made by the Buyers herein, the execution, delivery and performance of the Transaction Documents by the Company and the consummation by the Company of the transactions contemplated hereby and thereby (including, without limitation, the issuance of the Common Shares) will not (i) result in a violation of the certificate of incorporation, any certificate of designations, preferences and rights of any outstanding series of preferred stock or Bylaws of the Company or any Subsidiary or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Subsidiary is a party, or (iii) result in a violation of any law, rule, regulation, order, judgment or decree (including federal and state securities laws and regulations and the rules and regulations of the Principal Market applicable to the Company or any Subsidiary or by which any property or asset of the Company or any Subsidiary is bound or affected, except in the case of clauses (ii) and (iii), for such breaches or defaults as would not be reasonably expected to have a Material Adverse Effect.</w:t>
      </w:r>
    </w:p>
    <w:p>
      <w:pPr>
        <w:spacing w:after="0" w:line="395" w:lineRule="exact"/>
        <w:rPr>
          <w:rFonts w:ascii="Courier New" w:cs="Courier New" w:eastAsia="Courier New" w:hAnsi="Courier New"/>
          <w:sz w:val="16"/>
          <w:szCs w:val="16"/>
          <w:color w:val="auto"/>
        </w:rPr>
      </w:pPr>
    </w:p>
    <w:p>
      <w:pPr>
        <w:ind w:right="1779" w:firstLine="1904"/>
        <w:spacing w:after="0" w:line="269" w:lineRule="auto"/>
        <w:tabs>
          <w:tab w:leader="none" w:pos="28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The Company is not required to obtain any consent, authorization or order of, or make any filing or registration with,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is required to obtain pursuant to the preceding sentence have been obtained or effected on or prior to the Closing Date other than (i) the application(s) to the Principal Market for the listing of the Common Shares for trading thereon in the time and manner required thereby, and applicable Blue Sky filings, (b) such as have already been obtained, and (c) compliance with Rule 4310(c)(17) of the National Association of Securities Dealers, Inc. The Company and each Subsidiary are unaware of any facts or circumstances that might prevent the Company from obtaining or effecting any of the foregoing. Except (i) for the facts that the Common Stock has previously traded below $1.00 and the Company's shareholders equity is (as of the date hereof) less than $2.5 million and (ii) as disclosed on Schedule 3(e), the Company is not in violation of the listing requirements of the Principal Market and has no knowledge of any facts that would reasonably lead to delisting or suspension of the Common Stock in the foreseeable future.</w:t>
      </w:r>
    </w:p>
    <w:p>
      <w:pPr>
        <w:spacing w:after="0" w:line="394" w:lineRule="exact"/>
        <w:rPr>
          <w:rFonts w:ascii="Courier New" w:cs="Courier New" w:eastAsia="Courier New" w:hAnsi="Courier New"/>
          <w:sz w:val="16"/>
          <w:szCs w:val="16"/>
          <w:color w:val="auto"/>
        </w:rPr>
      </w:pPr>
    </w:p>
    <w:p>
      <w:pPr>
        <w:ind w:right="1779" w:firstLine="1904"/>
        <w:spacing w:after="0" w:line="237" w:lineRule="auto"/>
        <w:tabs>
          <w:tab w:leader="none" w:pos="284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Regarding Buyer's Purchase of Securities. The Company acknowledges and agrees that each Buyer is acting solely in the capacity of arm's length purchaser with respect to the Transaction Documents and the transactions contemplated</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hereby and thereby. The Company further acknowledges that no Buyer is acting as a financial advisor or fiduciary of the Company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pacing w:after="0" w:line="209" w:lineRule="exact"/>
        <w:rPr>
          <w:sz w:val="20"/>
          <w:szCs w:val="20"/>
          <w:color w:val="auto"/>
        </w:rPr>
      </w:pPr>
    </w:p>
    <w:p>
      <w:pPr>
        <w:ind w:left="2860" w:hanging="956"/>
        <w:spacing w:after="0"/>
        <w:tabs>
          <w:tab w:leader="none" w:pos="2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Placement Agent's Fees. The Company shall be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responsible for the payment of any placement agent's fees, financial advisory fees, or brokers' commissions (other than for persons engaged by any Buyer or its investment advisor, or at the direction of any of them) relating to or arising out of the transactions contemplated hereby. The Company shall pay, and hold each Buyer harmless against, any liability, loss or expense (including, without limitation, attorney's fees and out-of-pocket expenses) arising in connection with any such claim.</w:t>
      </w:r>
    </w:p>
    <w:p>
      <w:pPr>
        <w:spacing w:after="0" w:line="211" w:lineRule="exact"/>
        <w:rPr>
          <w:rFonts w:ascii="Courier New" w:cs="Courier New" w:eastAsia="Courier New" w:hAnsi="Courier New"/>
          <w:sz w:val="18"/>
          <w:szCs w:val="18"/>
          <w:color w:val="auto"/>
        </w:rPr>
      </w:pPr>
    </w:p>
    <w:p>
      <w:pPr>
        <w:ind w:right="1779" w:firstLine="1904"/>
        <w:spacing w:after="0" w:line="238" w:lineRule="auto"/>
        <w:tabs>
          <w:tab w:leader="none" w:pos="284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Securities Law Violations. None of the Company, its Subsidiaries, any of their affiliates, and any Person acting on their behalf has, directly or indirectly, made any offers or sales of any security or solicited any offers to buy any security, under circumstances that would cause the issuance of the Securities to be in violation of the 1933 Act or cause this offering of the Securities to be integrated with prior offerings by the Company for purposes of any applicable stockholder approval provisions, including, without limitation, under the rules and regulations of any exchange or automated quotation system on which any of the securities of the Company are listed or designated. None of the Company, its Subsidiaries, their affiliates and any Person acting on their behalf will take any action or steps referred to in the preceding sentence that would cause the issuance of any of the Securities to be in violation of the 1933 Act or cause the offering of the Securities to be integrated with other offerings as set forth herein.</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Takeover Protections; Rights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The Company and its board of directors have taken all necessary action, if any, in order to render inapplicable any control share acquisition, business combination, poison pill (including any distribution under a rights agreement) or other similar anti-takeover provision under the Certificate of Incorporation (as defined in Section 3(q)) or the laws of the state of its incorporation which is or could become applicable to any Buyer as a result of the transactions contemplated by this Agreement, including, without limitation, the Company's issuance of the Securities and any Buyer's ownership of the Securities.</w:t>
      </w:r>
    </w:p>
    <w:p>
      <w:pPr>
        <w:spacing w:after="0" w:line="213" w:lineRule="exact"/>
        <w:rPr>
          <w:rFonts w:ascii="Courier New" w:cs="Courier New" w:eastAsia="Courier New" w:hAnsi="Courier New"/>
          <w:sz w:val="18"/>
          <w:szCs w:val="18"/>
          <w:color w:val="auto"/>
        </w:rPr>
      </w:pPr>
    </w:p>
    <w:p>
      <w:pPr>
        <w:ind w:right="1779" w:firstLine="1904"/>
        <w:spacing w:after="0" w:line="270" w:lineRule="auto"/>
        <w:tabs>
          <w:tab w:leader="none" w:pos="2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Financial Statements. Since December 31, 2001, the Company has timely filed all reports, schedules, forms, statements and other documents required to be filed by it with the SEC pursuant to the reporting requirements of the 1934 Act (all of the foregoing filed prior to the date hereof or prior to the date of the Closing, including the Registration Statement and any prospectus pursuant thereto, and all exhibits included therein and financial statements and schedules thereto and documents incorporated by reference therein being hereinafter referred to as the "SEC DOCUMENTS"). The Company has delivered to the Buyers or their respective representatives true, correct and complete copies of the SEC Documents not available on the EDGAR system. As of their respective dates, the SEC Documents complied in all material respects with the requirements of the 1934 Act and the rules</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and each Subsidiary as of the dates thereof and the results of its operations and cash flows for the periods then ended (subject, in the case of unaudited statements, to normal year-end audit adjustments). After giving effect to the 8-K Filing (as defined below), no other information provided by or on behalf of the Company to the Buyers which is not included in the SEC Documents contains any untrue statement of a material fact or omits to state any material fact necessary in order to make the statements therein, in the light of the circumstance under which they are or were made, not misleading.</w:t>
      </w:r>
    </w:p>
    <w:p>
      <w:pPr>
        <w:spacing w:after="0" w:line="205" w:lineRule="exact"/>
        <w:rPr>
          <w:sz w:val="20"/>
          <w:szCs w:val="20"/>
          <w:color w:val="auto"/>
        </w:rPr>
      </w:pPr>
    </w:p>
    <w:p>
      <w:pPr>
        <w:ind w:left="2860" w:hanging="956"/>
        <w:spacing w:after="0"/>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Except as disclosed in</w:t>
      </w:r>
    </w:p>
    <w:p>
      <w:pPr>
        <w:spacing w:after="0" w:line="4"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Schedule 3(l), since December 31, 2002, there has been no material adverse change and no material adverse development in the business, properties, operations, financial condition, or results of operations of the Company or any Subsidiary. Since December 31, 2002, the Company has not (i) declared or paid any dividends (other than in connection with the Company's 3% Cumulative Convertible Preferred Stock), (ii) sold any assets, individually or in the aggregate, in excess of $100,000 outside of the ordinary course of business or</w:t>
      </w:r>
    </w:p>
    <w:p>
      <w:pPr>
        <w:ind w:left="640"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capital expenditures, individually or in the aggregate, in excess of</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$500,000. The Company has not taken any steps to seek protection pursuant to any bankruptcy law nor does the Company have any knowledge or reason to believe that its creditors intend to initiate involuntary bankruptcy proceedings or any actual knowledge of any fact which would reasonably lead a creditor to do so. The Company, after giving effect to the transactions contemplated hereby to occur at each Closing, will not be Insolvent (as defined below). For purposes of this Section 3(k), "INSOLVENT"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 (iv) the Company has unreasonably small capital with which to conduct the business in which it is engaged as such business is now conducted and is proposed to be conducted.</w:t>
      </w:r>
    </w:p>
    <w:p>
      <w:pPr>
        <w:spacing w:after="0" w:line="387" w:lineRule="exact"/>
        <w:rPr>
          <w:sz w:val="20"/>
          <w:szCs w:val="20"/>
          <w:color w:val="auto"/>
        </w:rPr>
      </w:pPr>
    </w:p>
    <w:p>
      <w:pPr>
        <w:ind w:right="1779" w:firstLine="1904"/>
        <w:spacing w:after="0" w:line="237" w:lineRule="auto"/>
        <w:tabs>
          <w:tab w:leader="none" w:pos="28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Undisclosed Events, Liabilities, Developments or Circumstances. No event, liability, development or circumstance has occurred or exists, or is contemplated to occur, with respect to the Company or any Subsidiary or their respective business, properties, prospects, operations or financial condition, that would be required to be disclosed by the Company under applicable securities laws on a registration statement on Form S-1 filed with the SEC relating to an issuance and sale by the Company of its Common Stock and which has not been publicly</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announced.</w:t>
      </w:r>
    </w:p>
    <w:p>
      <w:pPr>
        <w:spacing w:after="0" w:line="207" w:lineRule="exact"/>
        <w:rPr>
          <w:sz w:val="20"/>
          <w:szCs w:val="20"/>
          <w:color w:val="auto"/>
        </w:rPr>
      </w:pPr>
    </w:p>
    <w:p>
      <w:pPr>
        <w:ind w:left="2860" w:hanging="956"/>
        <w:spacing w:after="0"/>
        <w:tabs>
          <w:tab w:leader="none" w:pos="28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Business; Regulatory Permits. Neither the</w:t>
      </w:r>
    </w:p>
    <w:p>
      <w:pPr>
        <w:spacing w:after="0" w:line="2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nor any Subsidiary is in violation of any term of or in default under its Certificate of Incorporation, any Certificate of Designations, Preferences and Rights of any outstanding series of preferred stock of the Company or Bylaws or their organizational charter or bylaws, respectively. Neither the Company nor any Subsidiary is in violation of any judgment, decree or order or any statute, ordinance, rule or regulation applicable to the Company or any Subsidiary, except for possible violations which would not, individually or in the aggregate, have a Material Adverse Effect. Except as set forth in Section 3(e) hereof (including Schedule 3(e)) and without limiting the generality of the foregoing, the Company is not in violation of any of the rules, regulations or requirements of the Principal Market and has no knowledge of any facts or circumstances that would reasonably lead to delisting or suspension of the Common Stock by the Principal Market in the foreseeable future. Except as set forth in Section 3(e) hereof (including Schedule 3(e)), since December 23, 2002,</w:t>
      </w:r>
    </w:p>
    <w:p>
      <w:pPr>
        <w:spacing w:after="0" w:line="185"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has been designated for quotation or listed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its Subsidiaries possess all certificates, authorizations and permits issued by the appropriate federal, state or foreign regulatory authorities necessary to conduct their respective businesses, except where the failure to possess such certificates, authorizations or permits would not have, individually or in the aggregate, a Material Adverse Effect, and neither the Company nor any Subsidiary has received any notice of proceedings relating to the revocation or modification of its certificate, authorization or permit.</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Corrupt Practices. Neither the Company, nor</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nor any director, officer, agent, employee or other Person acting on behalf of the Company or any Subsidiary has, in the course of its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Affiliates. Except as set forth in the Company's Annual Report on Form 10-K for the year ended December 31, 2002,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corporation, partnership, trust or other entity in which any such officer, director, or employee has a substantial interest or is an officer, director, trustee or partner.</w:t>
      </w:r>
    </w:p>
    <w:p>
      <w:pPr>
        <w:spacing w:after="0" w:line="210"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Capitalization. Except for subsequent</w:t>
      </w:r>
    </w:p>
    <w:p>
      <w:pPr>
        <w:spacing w:after="0" w:line="4" w:lineRule="exact"/>
        <w:rPr>
          <w:rFonts w:ascii="Courier New" w:cs="Courier New" w:eastAsia="Courier New" w:hAnsi="Courier New"/>
          <w:sz w:val="18"/>
          <w:szCs w:val="18"/>
          <w:color w:val="auto"/>
        </w:rPr>
      </w:pPr>
    </w:p>
    <w:p>
      <w:pPr>
        <w:ind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issuances of common stock upon exercise or conversion of common stock equivalents set forth in the Company's most</w:t>
      </w:r>
    </w:p>
    <w:p>
      <w:pPr>
        <w:sectPr>
          <w:pgSz w:w="11900" w:h="16838" w:orient="portrait"/>
          <w:cols w:equalWidth="0" w:num="1">
            <w:col w:w="10219"/>
          </w:cols>
          <w:pgMar w:left="240" w:top="717" w:right="1440" w:bottom="1440" w:gutter="0" w:footer="0" w:header="0"/>
        </w:sectPr>
      </w:pPr>
    </w:p>
    <w:bookmarkStart w:id="13" w:name="page14"/>
    <w:bookmarkEnd w:id="13"/>
    <w:p>
      <w:pPr>
        <w:ind w:right="1779"/>
        <w:spacing w:after="0" w:line="268" w:lineRule="auto"/>
        <w:rPr>
          <w:sz w:val="20"/>
          <w:szCs w:val="20"/>
          <w:color w:val="auto"/>
        </w:rPr>
      </w:pPr>
      <w:r>
        <w:rPr>
          <w:rFonts w:ascii="Courier New" w:cs="Courier New" w:eastAsia="Courier New" w:hAnsi="Courier New"/>
          <w:sz w:val="16"/>
          <w:szCs w:val="16"/>
          <w:color w:val="auto"/>
        </w:rPr>
        <w:t>recent periodic report filed with the SEC, the capitalization of the Company is as set forth in the Company's most recent periodic report and most recent current report on Form 8-K filed with the SEC. Except as set forth in the SEC Documents (i) no shares of the Company's capital stock are subject to preemptive rights or any other similar rights or any liens or encumbrances suffered or permitted by the Company; (ii) 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 (iii) there are no outstanding debt securities, notes, credit agreements, credit facilities or other agreements, documents or instruments evidencing Indebtedness (as defined in Section 3(q)) of the Company or any Subsidiary or by which the Company or any Subsidiary is or may become bound; (iv) there are no financing statements securing obligations in any material amounts, either singly or in the aggregate, filed in connection with the Company; (v) there are no agreements or arrangements under which the Company or any Subsidiary is obligated to register the sale of their securities under the 1933 Act; (vi) there are no outstanding securities or instruments of the Company or any Subsidiary which contain any redemption or similar provisions, and there are no contracts, commitments, understandings or arrangements by which the Company or any Subsidiary is or may become bound to redeem a security of the Company or any Subsidiary; (vii) there are no securities or instruments containing anti-dilution or similar provisions that will be triggered by the issuance of the Securities; (viii) the Company does not have any stock appreciation rights or "phantom stock" plans or agreements or any similar plan or agreement; and (ix) the Company and its Subsidiaries have no liabilities or obligations required to be disclosed in the SEC Documents (as defined herein) but not so disclosed in the SEC Documents, other than those incurred in the ordinary course of the Company's or any Subsidiary's respective businesses and which, individually or in the aggregate, do not or would not have a Material Adverse Effect. The Company has furnished to the Buyer true, correct and complete copies of the Company's Certificate of Incorporation, as amended and as in effect on the date hereof (the "CERTIFICATE OF INCORPORATION"), and the Company's Bylaws, as amended and as in effect on the date hereof (the "BYLAWS"), and the terms of all securities convertible into, or exercisable or exchangeable for, Common Stock and the material rights of the holders thereof in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60" w:hanging="956"/>
        <w:spacing w:after="0"/>
        <w:tabs>
          <w:tab w:leader="none" w:pos="2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and Other Contracts. Except as disclosed</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SEC Documents, neither the Company nor any Subsidiary (i) has any material outstanding Indebtedness (as defined below), (ii) is a party to any contract, agreement or instrument, the violation of which, or default under which, by the other party(ies) to such contract, agreement or instrument would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The SEC Documents set forth each of the Company's "material contracts," as such term is used in Item 601 of Regulation S-K promulgated by the SEC. For purposes of this Agreement: (x) "INDEBTEDNESS" of any Person means, without</w:t>
      </w:r>
    </w:p>
    <w:p>
      <w:pPr>
        <w:sectPr>
          <w:pgSz w:w="11900" w:h="16838" w:orient="portrait"/>
          <w:cols w:equalWidth="0" w:num="1">
            <w:col w:w="10219"/>
          </w:cols>
          <w:pgMar w:left="240" w:top="723" w:right="1440" w:bottom="1440" w:gutter="0" w:footer="0" w:header="0"/>
        </w:sectPr>
      </w:pPr>
    </w:p>
    <w:bookmarkStart w:id="14" w:name="page15"/>
    <w:bookmarkEnd w:id="14"/>
    <w:p>
      <w:pPr>
        <w:ind w:right="1779"/>
        <w:spacing w:after="0" w:line="269" w:lineRule="auto"/>
        <w:rPr>
          <w:sz w:val="20"/>
          <w:szCs w:val="20"/>
          <w:color w:val="auto"/>
        </w:rPr>
      </w:pPr>
      <w:r>
        <w:rPr>
          <w:rFonts w:ascii="Courier New" w:cs="Courier New" w:eastAsia="Courier New" w:hAnsi="Courier New"/>
          <w:sz w:val="16"/>
          <w:szCs w:val="16"/>
          <w:color w:val="auto"/>
        </w:rPr>
        <w:t>duplication (A) all indebtedness for borrowed money, (B) all obligations issued, undertaken or assumed as the deferred purchase price of property or services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"CONTINGENT OBLIGATION"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w:t>
      </w:r>
    </w:p>
    <w:p>
      <w:pPr>
        <w:spacing w:after="0" w:line="389" w:lineRule="exact"/>
        <w:rPr>
          <w:sz w:val="20"/>
          <w:szCs w:val="20"/>
          <w:color w:val="auto"/>
        </w:rPr>
      </w:pPr>
    </w:p>
    <w:p>
      <w:pPr>
        <w:ind w:right="1879" w:firstLine="8"/>
        <w:spacing w:after="0" w:line="236"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a limited liability company, a partnership, a joint venture, a corporation, a trust, an unincorporated organization and a government or any department or agency thereof.</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Litigation. There is no action, suit, proceeding, inquiry or investigation before or by the Principal Market, any court, public board, government agency, self-regulatory organization or body pending or, to the knowledge of the Company, threatened against or affecting the Company, the Common Stock or any Subsidiary or any of the Company's or any Subsidiary's officers or directors in their capacities as such.</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Company and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Relations. (i) Neither the Company nor any</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is a party to any collective bargaining agreement or employs any member of a union. The Company</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and its Subsidiaries believe that their relations with their employees are good. No executive officer of the Company (as defined in Rule 501(f) of the 1933 Act) has notified the Company that such officer intends to leave the Company or otherwise terminate such officer's employment with the Company. No executive officer of the Company, to the knowledge of the Company,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does not subject the Company or any Subsidiary to any liability with respect to any of the foregoing matters.</w:t>
      </w:r>
    </w:p>
    <w:p>
      <w:pPr>
        <w:spacing w:after="0" w:line="210" w:lineRule="exact"/>
        <w:rPr>
          <w:sz w:val="20"/>
          <w:szCs w:val="20"/>
          <w:color w:val="auto"/>
        </w:rPr>
      </w:pPr>
    </w:p>
    <w:p>
      <w:pPr>
        <w:ind w:left="3800" w:hanging="948"/>
        <w:spacing w:after="0"/>
        <w:tabs>
          <w:tab w:leader="none" w:pos="380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are in</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208" w:lineRule="exact"/>
        <w:rPr>
          <w:rFonts w:ascii="Courier New" w:cs="Courier New" w:eastAsia="Courier New" w:hAnsi="Courier New"/>
          <w:sz w:val="18"/>
          <w:szCs w:val="18"/>
          <w:color w:val="auto"/>
        </w:rPr>
      </w:pPr>
    </w:p>
    <w:p>
      <w:pPr>
        <w:ind w:right="1779" w:firstLine="1904"/>
        <w:spacing w:after="0" w:line="270" w:lineRule="auto"/>
        <w:tabs>
          <w:tab w:leader="none" w:pos="284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The Company and its Subsidiaries have good and marketable title to all personal property owned by them which is material to the business of the Company and its Subsidiaries, in each case free and clear of all liens, encumbrances and defects or such as do not materially affect the value of such property and do not interfere with the use made and proposed to be made of such property by the Company and its Subsidiaries. Neither the Company nor any Subsidiary owns any real property.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391" w:lineRule="exact"/>
        <w:rPr>
          <w:rFonts w:ascii="Courier New" w:cs="Courier New" w:eastAsia="Courier New" w:hAnsi="Courier New"/>
          <w:sz w:val="16"/>
          <w:szCs w:val="16"/>
          <w:color w:val="auto"/>
        </w:rPr>
      </w:pPr>
    </w:p>
    <w:p>
      <w:pPr>
        <w:ind w:right="1779" w:firstLine="1904"/>
        <w:spacing w:after="0" w:line="269" w:lineRule="auto"/>
        <w:tabs>
          <w:tab w:leader="none" w:pos="284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Rights. The Company and its Subsidiaries own or possess adequate rights or licenses to use all trademarks, trade names, service marks, service mark registrations, service names, patents, patent rights, copyrights, inventions, licenses, approvals, governmental authorizations, trade secrets and other intellectual property rights ("INTELLECTUAL PROPERTY RIGHTS") necessary to conduct their respective businesses as now conducted. Except as set forth in Schedule 3(v), none of the Company's issued patents that are assigned to it or any Intellectual Property Rights that are material to the business of the Company have expired or terminated, or are expected to expire or terminate within three years from the date of this Agreement. The Company does not have any knowledge of any infringement by the Company or any Subsidiary of Intellectual Property Rights of others except where such infringement would not, individually or in the aggregate, have a Material Adverse Effect on the Company. There is no claim, action or proceeding being made or brought, or to the knowledge of the Company, being threatened, against the Company or any Subsidiary regarding its Intellectual Property Rights which could have a Material Adverse Effect. The Company is unaware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The Company and its Subsidiaries</w:t>
      </w:r>
    </w:p>
    <w:p>
      <w:pPr>
        <w:spacing w:after="0" w:line="21"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compliance with any and all Environmental Laws (as hereinafter defined), (ii) have received all</w:t>
      </w:r>
    </w:p>
    <w:p>
      <w:pPr>
        <w:sectPr>
          <w:pgSz w:w="11900" w:h="16838" w:orient="portrait"/>
          <w:cols w:equalWidth="0" w:num="1">
            <w:col w:w="10219"/>
          </w:cols>
          <w:pgMar w:left="240" w:top="723" w:right="1440" w:bottom="1440" w:gutter="0" w:footer="0" w:header="0"/>
        </w:sectPr>
      </w:pPr>
    </w:p>
    <w:bookmarkStart w:id="16" w:name="page17"/>
    <w:bookmarkEnd w:id="16"/>
    <w:p>
      <w:pPr>
        <w:ind w:right="1779"/>
        <w:spacing w:after="0" w:line="269" w:lineRule="auto"/>
        <w:rPr>
          <w:sz w:val="20"/>
          <w:szCs w:val="20"/>
          <w:color w:val="auto"/>
        </w:rPr>
      </w:pPr>
      <w:r>
        <w:rPr>
          <w:rFonts w:ascii="Courier New" w:cs="Courier New" w:eastAsia="Courier New" w:hAnsi="Courier New"/>
          <w:sz w:val="16"/>
          <w:szCs w:val="16"/>
          <w:color w:val="auto"/>
        </w:rPr>
        <w:t>permits, licenses or other approvals required of them under applicable Environmental Laws to conduct their respective businesses and (iii) are in compliance with all terms and conditions of any such permit, license or approval where, in each of the foregoing clauses (i), (ii) and (iii), the failure to so comply could be reasonably expected to have, individually or in the aggregate, a Material Adverse Effect.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396" w:lineRule="exact"/>
        <w:rPr>
          <w:sz w:val="20"/>
          <w:szCs w:val="20"/>
          <w:color w:val="auto"/>
        </w:rPr>
      </w:pPr>
    </w:p>
    <w:p>
      <w:pPr>
        <w:ind w:right="1779" w:firstLine="1904"/>
        <w:spacing w:after="0" w:line="237" w:lineRule="auto"/>
        <w:tabs>
          <w:tab w:leader="none" w:pos="284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Rights. The Company has the unrestricted right to vote, and (subject to limitations imposed by applicable law) to receive dividends and distributions on, all capital securities of each Subsidiary as owned by the Company.</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The Company and each Subsidiary (i) has</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made or filed all federal and state income and all other tax returns, reports and declarations required by any jurisdiction to which it is subject, (ii) has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reasonable basis for any such claim.</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Accounting Controls. The Company and each</w:t>
      </w:r>
    </w:p>
    <w:p>
      <w:pPr>
        <w:spacing w:after="0" w:line="4" w:lineRule="exact"/>
        <w:rPr>
          <w:rFonts w:ascii="Courier New" w:cs="Courier New" w:eastAsia="Courier New" w:hAnsi="Courier New"/>
          <w:sz w:val="18"/>
          <w:szCs w:val="18"/>
          <w:color w:val="auto"/>
        </w:rPr>
      </w:pPr>
    </w:p>
    <w:p>
      <w:pPr>
        <w:ind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In addition, the Company has established and maintains disclosure controls and procedures as defined in Rule 13a-14 under the 1934 Act and in compliance with Rule 13a-15 under the 1934 Act.</w:t>
      </w:r>
    </w:p>
    <w:p>
      <w:pPr>
        <w:spacing w:after="0" w:line="207" w:lineRule="exact"/>
        <w:rPr>
          <w:sz w:val="20"/>
          <w:szCs w:val="20"/>
          <w:color w:val="auto"/>
        </w:rPr>
      </w:pPr>
    </w:p>
    <w:p>
      <w:pPr>
        <w:ind w:right="2099" w:firstLine="1904"/>
        <w:spacing w:after="0" w:line="237" w:lineRule="auto"/>
        <w:tabs>
          <w:tab w:leader="none" w:pos="284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Except for the existence and terms of this Agreement and the transactions contemplated hereby, the Company confirms that neither it nor any other Person acting on its behalf has provided any of the Buyers or their respective agents or counsel with any information that constitutes or might constitute material, nonpublic information. The Borrower understands and confirms that each of the Buyers will rely on the foregoing representations in effecting transactions in securities of the Company. All disclosure provided to the Buyers</w:t>
      </w:r>
    </w:p>
    <w:p>
      <w:pPr>
        <w:sectPr>
          <w:pgSz w:w="11900" w:h="16838" w:orient="portrait"/>
          <w:cols w:equalWidth="0" w:num="1">
            <w:col w:w="10219"/>
          </w:cols>
          <w:pgMar w:left="240" w:top="723" w:right="1440" w:bottom="1440" w:gutter="0" w:footer="0" w:header="0"/>
        </w:sectPr>
      </w:pPr>
    </w:p>
    <w:bookmarkStart w:id="17" w:name="page18"/>
    <w:bookmarkEnd w:id="17"/>
    <w:p>
      <w:pPr>
        <w:ind w:right="1779"/>
        <w:spacing w:after="0" w:line="238" w:lineRule="auto"/>
        <w:rPr>
          <w:sz w:val="20"/>
          <w:szCs w:val="20"/>
          <w:color w:val="auto"/>
        </w:rPr>
      </w:pPr>
      <w:r>
        <w:rPr>
          <w:rFonts w:ascii="Courier New" w:cs="Courier New" w:eastAsia="Courier New" w:hAnsi="Courier New"/>
          <w:sz w:val="18"/>
          <w:szCs w:val="18"/>
          <w:color w:val="auto"/>
        </w:rPr>
        <w:t>regarding the Company, its business and the transactions contemplated hereby, including the Schedules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No event or circumstance has occurred or information exists with respect to the Company or any Subsidiary or either of its or their respective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Exchange Act of 1934, as amended, are being incorporated into an effective registration statement filed by the Company under the 1933 Act). The Company acknowledges and agrees that no Buyer makes or has made any representations or warranties with respect to the transactions contemplated hereby other than those specifically set forth in Section 2.</w:t>
      </w:r>
    </w:p>
    <w:p>
      <w:pPr>
        <w:spacing w:after="0" w:line="208" w:lineRule="exact"/>
        <w:rPr>
          <w:sz w:val="20"/>
          <w:szCs w:val="20"/>
          <w:color w:val="auto"/>
        </w:rPr>
      </w:pPr>
    </w:p>
    <w:p>
      <w:pPr>
        <w:ind w:right="1779" w:firstLine="1904"/>
        <w:spacing w:after="0" w:line="237" w:lineRule="auto"/>
        <w:tabs>
          <w:tab w:leader="none" w:pos="2844"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Sarbanes-Oxley Act. The Company is in compliance with any and all applicable requirements of the Sarbanes-Oxley Act of 2002 that are effective as of the date hereof, and any and all applicable rules and regulations promulgated by the SEC thereunder that are effective as of the date hereof, except where such noncompliance would not have a Material Adverse Effect.</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FDA Compliance. The Company and its Subsidiaries, and</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manufacture, marketing and sales of the Company's products, complies with any and all applicable requirements of the Federal Food, Drug and Cosmetic Act, 21 U.S.C. Section 301, et seq., any rules and regulations of the Food and Drug Administration promugulated thereunder, and any similar laws outside of the United States to which the company is subject, except where such noncompliance would not have a Material Adverse Effect.</w:t>
      </w:r>
    </w:p>
    <w:p>
      <w:pPr>
        <w:spacing w:after="0" w:line="204"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6" w:lineRule="exact"/>
        <w:rPr>
          <w:rFonts w:ascii="Courier New" w:cs="Courier New" w:eastAsia="Courier New" w:hAnsi="Courier New"/>
          <w:sz w:val="18"/>
          <w:szCs w:val="18"/>
          <w:color w:val="auto"/>
        </w:rPr>
      </w:pPr>
    </w:p>
    <w:p>
      <w:pPr>
        <w:ind w:right="1779" w:firstLine="1904"/>
        <w:spacing w:after="0" w:line="236" w:lineRule="auto"/>
        <w:tabs>
          <w:tab w:leader="none" w:pos="284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Best Efforts. Each party shall use its reasonable best efforts timely to satisfy each of the conditions to be satisfied by it as provided in Sections 5 and 6 of this Agreement.</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84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Supplement and Blue Sky. On or before the Closing the Company shall deliver, and as soon as practicable after the Closing the Company shall file, a prospectus supplement to the Registration Statement with respect to the Securities as required under and in conformity with the 1933 Act. If required, the Company, on or before the Closing Date, shall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The Company shall make all filings and reports relating to the offer and sale of the Securities required under applicable securities or "Blue Sky" laws of the states of the United States following the Closing Date.</w:t>
      </w:r>
    </w:p>
    <w:p>
      <w:pPr>
        <w:spacing w:after="0" w:line="207"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Status. Until the date on which the Buyers</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have sold all the Common Shares (the "REPORTING PERIOD"), the Company shall timely file all reports required</w:t>
      </w:r>
    </w:p>
    <w:p>
      <w:pPr>
        <w:sectPr>
          <w:pgSz w:w="11900" w:h="16838" w:orient="portrait"/>
          <w:cols w:equalWidth="0" w:num="1">
            <w:col w:w="10219"/>
          </w:cols>
          <w:pgMar w:left="240" w:top="723" w:right="1440" w:bottom="1440" w:gutter="0" w:footer="0" w:header="0"/>
        </w:sectPr>
      </w:pPr>
    </w:p>
    <w:bookmarkStart w:id="18" w:name="page19"/>
    <w:bookmarkEnd w:id="18"/>
    <w:p>
      <w:pPr>
        <w:jc w:val="both"/>
        <w:ind w:right="2099"/>
        <w:spacing w:after="0" w:line="237" w:lineRule="auto"/>
        <w:rPr>
          <w:sz w:val="20"/>
          <w:szCs w:val="20"/>
          <w:color w:val="auto"/>
        </w:rPr>
      </w:pPr>
      <w:r>
        <w:rPr>
          <w:rFonts w:ascii="Courier New" w:cs="Courier New" w:eastAsia="Courier New" w:hAnsi="Courier New"/>
          <w:sz w:val="18"/>
          <w:szCs w:val="18"/>
          <w:color w:val="auto"/>
        </w:rPr>
        <w:t>to be filed with the SEC pursuant to the 1934 Act, and the Company shall not terminate its status as an issuer required to file reports under the 1934 Act even if the 1934 Act or the rules and regulations thereunder would otherwise permit such termination.</w:t>
      </w:r>
    </w:p>
    <w:p>
      <w:pPr>
        <w:spacing w:after="0" w:line="207" w:lineRule="exact"/>
        <w:rPr>
          <w:sz w:val="20"/>
          <w:szCs w:val="20"/>
          <w:color w:val="auto"/>
        </w:rPr>
      </w:pPr>
    </w:p>
    <w:p>
      <w:pPr>
        <w:ind w:right="1779" w:firstLine="1904"/>
        <w:spacing w:after="0" w:line="236" w:lineRule="auto"/>
        <w:tabs>
          <w:tab w:leader="none" w:pos="28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The Company will use the proceeds from the sale of the Securities for working capital, general corporate and other purposes.</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The Company shall promptly secure the</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listing of the Common Shares upon each national securities exchange and automated quotation system, if any, upon which shares of Common Stock are then listed (subject to official notice of issuance) and shall maintain, so long as any other shares of Common Stock shall be so listed, such listing of all the Common Shares from time to time issuable under the terms of the Transaction Documents. The Company shall use its best efforts to maintain the Common Stock's authorization for quotation on the Principal Market. Neither the Company nor any Subsidiary shall take any action which would be reasonably expected to result in the delisting or suspension of the Common Stock on the Principal Market and shall comply, in all material respect, with the rules and regulations of the Principal Market. The Company shall pay all fees and expenses in connection with satisfying its obligations under this Section 4(e).</w:t>
      </w:r>
    </w:p>
    <w:p>
      <w:pPr>
        <w:spacing w:after="0" w:line="390"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The Company shall reimburse the Buyers in the aggregate $10,000 for the Buyers reasonable expenses incurred in connection with the preparation, execution and performance of this Agreement and the transactions contemplated hereunder. The Company shall be responsible for the payment of any placement agent's fees or broker's commissions relating to or arising out of the transactions contemplated hereby. Except as otherwise set forth in this Agreement, each party to this Agreement shall bear its own expenses in connection with the sale of the Securities to the Buyers.</w:t>
      </w:r>
    </w:p>
    <w:p>
      <w:pPr>
        <w:spacing w:after="0" w:line="206"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of Transactions and Other Material</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Information. On or before 8:30 a.m., New York City Time, on the first trading day following the date hereof, issue a press release reasonably acceptable to the Buyers disclosing all material terms of the transactions contemplated hereby. On or before 5:00 p.m., New York City Time, on the first business day following the execution and delivery of this Agreement, the Company shall file a Current Report on Form 8-K describing the terms of the transactions contemplated by the Transaction Documents in the form required by the 1934 Act, and attaching the material Transaction Documents (including, without limitation, this Agreement) as exhibits to such filing (including all attachments, the "8-K FILING"). From and after the filing of the 8-K Filing with the SEC, no Buyer shall be in possession of any material, nonpublic information received from the Company, any Subsidiary or any of its respective officers, directors, employees or agents, that is not disclosed in the 8-K Filing. The Company shall not, and shall cause each Subsidiary and each of its respective officers, directors, employees and agents, not to, provide any Buyer with any material nonpublic information regarding the Company or any Subsidiary from and after the filing of the 8-K Filing with the SEC (x) without the express written consent of such Buyer and (y) unless such Buyer shall have executed a customary and reasonable written agreement regarding the confidentiality of such information. In the event of a breach of the foregoing covenant by the Company, any Subsidiary, or its each of respective officers, directors, employees and agents, in addition to any other remedy provided herein or in the Transaction Documents, a Buyer shall have the right to demand that the Company make a public disclosure,</w:t>
      </w:r>
    </w:p>
    <w:p>
      <w:pPr>
        <w:sectPr>
          <w:pgSz w:w="11900" w:h="16838" w:orient="portrait"/>
          <w:cols w:equalWidth="0" w:num="1">
            <w:col w:w="10219"/>
          </w:cols>
          <w:pgMar w:left="240" w:top="723" w:right="1440" w:bottom="1440" w:gutter="0" w:footer="0" w:header="0"/>
        </w:sectPr>
      </w:pPr>
    </w:p>
    <w:bookmarkStart w:id="19" w:name="page20"/>
    <w:bookmarkEnd w:id="19"/>
    <w:p>
      <w:pPr>
        <w:ind w:right="1879"/>
        <w:spacing w:after="0" w:line="269" w:lineRule="auto"/>
        <w:rPr>
          <w:sz w:val="20"/>
          <w:szCs w:val="20"/>
          <w:color w:val="auto"/>
        </w:rPr>
      </w:pPr>
      <w:r>
        <w:rPr>
          <w:rFonts w:ascii="Courier New" w:cs="Courier New" w:eastAsia="Courier New" w:hAnsi="Courier New"/>
          <w:sz w:val="16"/>
          <w:szCs w:val="16"/>
          <w:color w:val="auto"/>
        </w:rPr>
        <w:t>and if the Company fails to do so within two Business Days the Buyer may make a public disclosure, in the form of a press release, public advertisement or otherwise, of such material nonpublic information without the prior approval by the Company, each Subsidiary, or each of its respective officers, directors, employees or agents. (As used herein, "BUSINESS DAY" means any day other than Saturday, Sunday or other day on which commercial banks in The City of New York are authorized or required by law to remain closed.) No Buyer shall have any liability to the Company, any Subsidiary, or any of its or their respective officers, directors, employees, shareholders or agents for any such disclosure unless such Buyer acts with gross negligence or willful misconduct. Subject to the foregoing, neither the Company nor any Buyer shall issue any press releases or any other public statements with respect to the transactions contemplated hereby without the prior written consent of the Company, in the case of such a press release or public statement by any Buyer, or the Buyers, in the case of such a press release or public statement by the Company, such consent not to be unreasonably withheld or delayed; provided, however, that the Company shall be entitled, without the prior approval of any Buyer, to make any press release or other public disclosure with respect to such transactions (i) in substantial conformity with the 8-K Filing (1) and contemporaneously therewith or (2) in connection with the Company's periodic reports filed with the Commission and</w:t>
      </w:r>
    </w:p>
    <w:p>
      <w:pPr>
        <w:spacing w:after="0" w:line="192" w:lineRule="exact"/>
        <w:rPr>
          <w:sz w:val="20"/>
          <w:szCs w:val="20"/>
          <w:color w:val="auto"/>
        </w:rPr>
      </w:pPr>
    </w:p>
    <w:p>
      <w:pPr>
        <w:ind w:right="1879" w:firstLine="8"/>
        <w:spacing w:after="0" w:line="275" w:lineRule="auto"/>
        <w:tabs>
          <w:tab w:leader="none" w:pos="52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is required by applicable law and regulations, including the applicable rules and regulations of the Principal Market (provided that in the case of clause (i) each Buyer shall be consulted by the Company in connection with any such press release or other public disclosure prior to its release).</w:t>
      </w:r>
    </w:p>
    <w:p>
      <w:pPr>
        <w:spacing w:after="0" w:line="182" w:lineRule="exact"/>
        <w:rPr>
          <w:rFonts w:ascii="Courier New" w:cs="Courier New" w:eastAsia="Courier New" w:hAnsi="Courier New"/>
          <w:sz w:val="16"/>
          <w:szCs w:val="16"/>
          <w:color w:val="auto"/>
        </w:rPr>
      </w:pPr>
    </w:p>
    <w:p>
      <w:pPr>
        <w:ind w:right="1779" w:firstLine="1904"/>
        <w:spacing w:after="0" w:line="238" w:lineRule="auto"/>
        <w:tabs>
          <w:tab w:leader="none" w:pos="2844"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Issuances of Securities. From the date hereof until March 15, 2004, the Company covenants and agrees that the Company will not, directly or indirectly, sell, grant any option to purchase, or otherwise dispose of (or announce any sale, grant or any option to purchase or other disposition of), whether pursuant to the Registration Statement or otherwise, any of its or its Subsidiaries' equity or equity equivalent securities, including without limitation any debt, preferred stock or other instrument or security that is, at any time during its life and under any circumstances, convertible into or exchangeable or exercisable for Common Stock or any rights, warrants or options to subscribe for or purchase Common Stock or Convertible Securities or any stock or securities convertible into or exercisable or exchangeable for Common Stock. The foregoing restrictions shall not apply (1) in connection with any employee benefit plan which has been approved by the Board of Directors of the Company, pursuant to which the Company's securities may be issued to any employee, officer or director for services provided to the Company or any of its Subsidiaries, or pursuant to the exercise of any securities of the Company issued thereunder; (2) upon conversion of any options or convertible securities that are outstanding on the day immediately preceding the Closing Date, provided, that the terms of such options or convertible securities are not amended, modified or changed on or after the Closing Date; or (3) to transactions involving a strategic alliance, acquisition of stock or assets, merger, collaboration, joint venture, partnership or other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 the Company's business.</w:t>
      </w:r>
    </w:p>
    <w:p>
      <w:pPr>
        <w:sectPr>
          <w:pgSz w:w="11900" w:h="16838" w:orient="portrait"/>
          <w:cols w:equalWidth="0" w:num="1">
            <w:col w:w="10219"/>
          </w:cols>
          <w:pgMar w:left="240" w:top="723" w:right="1440" w:bottom="1440" w:gutter="0" w:footer="0" w:header="0"/>
        </w:sectPr>
      </w:pPr>
    </w:p>
    <w:bookmarkStart w:id="20" w:name="page21"/>
    <w:bookmarkEnd w:id="20"/>
    <w:p>
      <w:pPr>
        <w:ind w:left="1900" w:hanging="944"/>
        <w:spacing w:after="0"/>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COMPANY'S OBLIGATION TO SELL.</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The obligation of the Company hereunder to issue and sell the Common Shares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204"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Buyer shall have executed each of the</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Documents to which it is a party and delivered the same to the Company.</w:t>
      </w:r>
    </w:p>
    <w:p>
      <w:pPr>
        <w:spacing w:after="0" w:line="202"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Buyer shall have delivered to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the Purchase Price (less, the amounts withheld pursuant to Section 4(f)) for the Common Shares being purchased by such Buyer at the Closing by wire transfer of immediately available funds pursuant to the wire instructions provided by the Company.</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such</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Buyer shall be true and correct in all material respects (except for representations and warranties that are qualified by materiality, which shall be true and correct in all respects) as of the date when made and as of the Closing Date as though made at that time (except for representations and warranties that speak as of a specific date), and such Buyer shall have performed, satisfied and complied in all material respects (except for covenants, agreements and conditions that are qualified by materiality, which shall be complied with in all respects) with the covenants, agreements and conditions required by this Agreement to be performed, satisfied or complied with by such Buyer at or prior to the Closing Date. The Company shall have received a certificate, executed by an authorized officer of each Buyer, dated as of the Closing Date, to the foregoing effect in the form attached hereto as Exhibit A.</w:t>
      </w:r>
    </w:p>
    <w:p>
      <w:pPr>
        <w:spacing w:after="0" w:line="384"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EACH BUYER'S OBLIGATION TO PURCHASE.</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84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The obligation of each Buyer hereunder to purchase the Common Shares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204"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executed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to such Buyer each of the Transaction Documents.</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Buyer shall have received the opinion</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Ropes &amp; Gray LLP, the Company's counsel, dated as of the Closing Date, in form, scope and substance reasonably satisfactory to such Buyer and in substantially the form of Exhibit B attached hereto.</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such</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Buyer a certificate evidencing the incorporation and good standing of the Company in its state of incorporation issued by the Secretary of State of such state of incorporation as of a date within 10 days of the Closing Date.</w:t>
      </w:r>
    </w:p>
    <w:p>
      <w:pPr>
        <w:sectPr>
          <w:pgSz w:w="11900" w:h="16838" w:orient="portrait"/>
          <w:cols w:equalWidth="0" w:num="1">
            <w:col w:w="10219"/>
          </w:cols>
          <w:pgMar w:left="240" w:top="717" w:right="1440" w:bottom="1440" w:gutter="0" w:footer="0" w:header="0"/>
        </w:sectPr>
      </w:pPr>
    </w:p>
    <w:bookmarkStart w:id="21" w:name="page22"/>
    <w:bookmarkEnd w:id="21"/>
    <w:p>
      <w:pPr>
        <w:ind w:left="3800" w:hanging="948"/>
        <w:spacing w:after="0"/>
        <w:tabs>
          <w:tab w:leader="none" w:pos="38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such</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Buyer a certificate evidencing the Company's qualification as a foreign corporation and good standing issued by the Secretary of State of the State of California as of a date within 10 days of the Closing Date.</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such</w:t>
      </w:r>
    </w:p>
    <w:p>
      <w:pPr>
        <w:spacing w:after="0" w:line="4" w:lineRule="exact"/>
        <w:rPr>
          <w:rFonts w:ascii="Courier New" w:cs="Courier New" w:eastAsia="Courier New" w:hAnsi="Courier New"/>
          <w:sz w:val="18"/>
          <w:szCs w:val="18"/>
          <w:color w:val="auto"/>
        </w:rPr>
      </w:pPr>
    </w:p>
    <w:p>
      <w:pPr>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Buyer a certified copy of the Certificate of Incorporation as certified by the Secretary of State of the State of Delaware within 10 days of the Closing Date.</w:t>
      </w:r>
    </w:p>
    <w:p>
      <w:pPr>
        <w:spacing w:after="0" w:line="169" w:lineRule="exact"/>
        <w:rPr>
          <w:rFonts w:ascii="Courier New" w:cs="Courier New" w:eastAsia="Courier New" w:hAnsi="Courier New"/>
          <w:sz w:val="18"/>
          <w:szCs w:val="18"/>
          <w:color w:val="auto"/>
        </w:rPr>
      </w:pPr>
    </w:p>
    <w:p>
      <w:pPr>
        <w:ind w:right="1879" w:firstLine="2852"/>
        <w:spacing w:after="0" w:line="237" w:lineRule="auto"/>
        <w:tabs>
          <w:tab w:leader="none" w:pos="379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such Buyer a certificate, executed by the Secretary of the Company and dated as of the Closing Date, as to (i) the resolutions consistent with Section 3(b) as adopted by the Company's Board of Directors in a form reasonably acceptable to such Buyer (the "RESOLUTIONS"), (ii) the Certificate of Incorporation and (iii) the Bylaws, each as in effect at the Closing, in the form attached hereto as Exhibit C.</w:t>
      </w:r>
    </w:p>
    <w:p>
      <w:pPr>
        <w:spacing w:after="0" w:line="205"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Company shall be true and correct in all material respects (except for representations and warranties that are qualified by materiality, which shall be true and correct in all respects) as of the date when made and as of the Closing Date as though made at that time (except for representations and warranties that speak as of a specific date) and the Company shall have performed, satisfied and complied in all material respects (except for covenants, agreements and conditions that are qualified by materiality, which shall be complied with in all respects) with the covenants, agreements and conditions required by the Transaction Documents to be performed, satisfied or complied with by the Company at or prior to the Closing Date. Such Buyer shall have received a certificate, executed by the Chief Executive Officer of the Company, dated as of the Closing Date, to the foregoing effect and as to such other matters as may be reasonably requested by such Buyer in the form attached hereto as Exhibit D.</w:t>
      </w:r>
    </w:p>
    <w:p>
      <w:pPr>
        <w:spacing w:after="0" w:line="383"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such</w:t>
      </w:r>
    </w:p>
    <w:p>
      <w:pPr>
        <w:spacing w:after="0" w:line="4" w:lineRule="exact"/>
        <w:rPr>
          <w:rFonts w:ascii="Courier New" w:cs="Courier New" w:eastAsia="Courier New" w:hAnsi="Courier New"/>
          <w:sz w:val="18"/>
          <w:szCs w:val="18"/>
          <w:color w:val="auto"/>
        </w:rPr>
      </w:pPr>
    </w:p>
    <w:p>
      <w:pPr>
        <w:ind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Buyer a letter from the Company's transfer agent certifying the number of shares of Common Stock outstanding as of a date within five days of the Closing Date.</w:t>
      </w:r>
    </w:p>
    <w:p>
      <w:pPr>
        <w:spacing w:after="0" w:line="169" w:lineRule="exact"/>
        <w:rPr>
          <w:rFonts w:ascii="Courier New" w:cs="Courier New" w:eastAsia="Courier New" w:hAnsi="Courier New"/>
          <w:sz w:val="18"/>
          <w:szCs w:val="18"/>
          <w:color w:val="auto"/>
        </w:rPr>
      </w:pPr>
    </w:p>
    <w:p>
      <w:pPr>
        <w:ind w:right="1879" w:firstLine="2852"/>
        <w:spacing w:after="0" w:line="237" w:lineRule="auto"/>
        <w:tabs>
          <w:tab w:leader="none" w:pos="379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obtained all governmental, regulatory or third party consents and approvals, if any, necessary for the sale of the Common Shares, including, without limitation, the expiration or waiver of the 15-day period set forth in Rule 4310(c)(17) of the National Association of Securities Dealers, Inc.</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be</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and available for the issuance and sale of the Securities hereunder and the Company shall have delivered to the Buyer the prospectus required thereunder.</w:t>
      </w:r>
    </w:p>
    <w:p>
      <w:pPr>
        <w:spacing w:after="0" w:line="208" w:lineRule="exact"/>
        <w:rPr>
          <w:rFonts w:ascii="Courier New" w:cs="Courier New" w:eastAsia="Courier New" w:hAnsi="Courier New"/>
          <w:sz w:val="18"/>
          <w:szCs w:val="18"/>
          <w:color w:val="auto"/>
        </w:rPr>
      </w:pPr>
    </w:p>
    <w:p>
      <w:pPr>
        <w:jc w:val="both"/>
        <w:ind w:right="2199" w:firstLine="2852"/>
        <w:spacing w:after="0" w:line="236" w:lineRule="auto"/>
        <w:tabs>
          <w:tab w:leader="none" w:pos="379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such Buyer such other documents relating to the transactions contemplated by this Agreement as such Buyer or its counsel may reasonably request.</w:t>
      </w:r>
    </w:p>
    <w:p>
      <w:pPr>
        <w:spacing w:after="0" w:line="208" w:lineRule="exact"/>
        <w:rPr>
          <w:rFonts w:ascii="Courier New" w:cs="Courier New" w:eastAsia="Courier New" w:hAnsi="Courier New"/>
          <w:sz w:val="18"/>
          <w:szCs w:val="18"/>
          <w:color w:val="auto"/>
        </w:rPr>
      </w:pPr>
    </w:p>
    <w:p>
      <w:pPr>
        <w:ind w:right="2199" w:firstLine="956"/>
        <w:spacing w:after="0" w:line="237" w:lineRule="auto"/>
        <w:tabs>
          <w:tab w:leader="none" w:pos="189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In the event that the Closing shall not have occurred with respect to a Buyer on the Closing Date due to the Company's or such Buyer's failure to satisfy the conditions set forth in Sections 5 and 6 above (and the nonbreaching party's failure to waive</w:t>
      </w:r>
    </w:p>
    <w:p>
      <w:pPr>
        <w:sectPr>
          <w:pgSz w:w="11900" w:h="16838" w:orient="portrait"/>
          <w:cols w:equalWidth="0" w:num="1">
            <w:col w:w="10219"/>
          </w:cols>
          <w:pgMar w:left="240" w:top="717"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such unsatisfied condition(s)), the nonbreaching party shall have the option to terminate this Agreement with respect to such breaching party at the close of business on such date without liability of any party to any other party; provided, however, that if this Agreement is terminated pursuant to this Section 7, the Company shall remain obligated to reimburse the Buyers for the expenses described in Section 4(f) above.</w:t>
      </w:r>
    </w:p>
    <w:p>
      <w:pPr>
        <w:spacing w:after="0" w:line="204" w:lineRule="exact"/>
        <w:rPr>
          <w:sz w:val="20"/>
          <w:szCs w:val="20"/>
          <w:color w:val="auto"/>
        </w:rPr>
      </w:pPr>
    </w:p>
    <w:p>
      <w:pPr>
        <w:ind w:left="1900" w:hanging="944"/>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1904"/>
        <w:spacing w:after="0" w:line="269" w:lineRule="auto"/>
        <w:tabs>
          <w:tab w:leader="none" w:pos="284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Jurisdiction; Jury Trial.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PARTY HEREBY IRREVOCABLY WAIVES ANY RIGHT IT MAY HAVE, AND AGREES NOT TO REQUEST, A JURY TRIAL FOR THE ADJUDICATION OF ANY DISPUTE HEREUNDER OR IN CONNECTION WITH OR ARISING OUT OF THIS AGREEMENT OR ANY TRANSACTION CONTEMPLATED HEREBY.</w:t>
      </w:r>
    </w:p>
    <w:p>
      <w:pPr>
        <w:spacing w:after="0" w:line="201"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204"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this Agreement are for</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convenience of reference and shall not form part of, or affect the interpretation of, this Agreement.</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w:t>
      </w:r>
    </w:p>
    <w:p>
      <w:pPr>
        <w:spacing w:after="0" w:line="4" w:lineRule="exact"/>
        <w:rPr>
          <w:rFonts w:ascii="Courier New" w:cs="Courier New" w:eastAsia="Courier New" w:hAnsi="Courier New"/>
          <w:sz w:val="18"/>
          <w:szCs w:val="18"/>
          <w:color w:val="auto"/>
        </w:rPr>
      </w:pPr>
    </w:p>
    <w:p>
      <w:pPr>
        <w:ind w:right="21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76"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Amendments. This Agreement</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supersedes all other prior oral or written agreements between the Buyers, the Company, their affiliates and Persons</w:t>
      </w:r>
    </w:p>
    <w:p>
      <w:pPr>
        <w:sectPr>
          <w:pgSz w:w="11900" w:h="16838" w:orient="portrait"/>
          <w:cols w:equalWidth="0" w:num="1">
            <w:col w:w="10219"/>
          </w:cols>
          <w:pgMar w:left="240" w:top="722" w:right="1440" w:bottom="1440" w:gutter="0" w:footer="0" w:header="0"/>
        </w:sectPr>
      </w:pPr>
    </w:p>
    <w:bookmarkStart w:id="23" w:name="page24"/>
    <w:bookmarkEnd w:id="23"/>
    <w:p>
      <w:pPr>
        <w:ind w:right="1779"/>
        <w:spacing w:after="0" w:line="238" w:lineRule="auto"/>
        <w:rPr>
          <w:sz w:val="20"/>
          <w:szCs w:val="20"/>
          <w:color w:val="auto"/>
        </w:rPr>
      </w:pPr>
      <w:r>
        <w:rPr>
          <w:rFonts w:ascii="Courier New" w:cs="Courier New" w:eastAsia="Courier New" w:hAnsi="Courier New"/>
          <w:sz w:val="18"/>
          <w:szCs w:val="18"/>
          <w:color w:val="auto"/>
        </w:rPr>
        <w:t>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Company and the holders of Common Shares representing at least a majority of the amount of the Common Shares, or, if prior to the Closing Date, the Buyers listed on the Schedule of Buyers as being obligated to purchase at least a majority of the amount of the Common Shares. No provision hereof may be waived other than by an instrument in writing signed by the party against whom enforcement is sought. No such amendment shall be effective to the extent that it applies to less than all of the holders of the Common Shares then outstanding. No consideration shall be offered or paid to any Person to amend or consent to a waiver or modification of any provision of any of the Transaction Documents unless the same consideration also is offered to all of the parties to the Transaction Documents or holders of Common Shares, as the case may be. The Company has not, directly or indirectly, made any agreements with any Buyers relating to the terms or conditions of the transactions contemplated by the Transaction Documents except as set forth in the Transaction Documents.</w:t>
      </w:r>
    </w:p>
    <w:p>
      <w:pPr>
        <w:spacing w:after="0" w:line="205" w:lineRule="exact"/>
        <w:rPr>
          <w:sz w:val="20"/>
          <w:szCs w:val="20"/>
          <w:color w:val="auto"/>
        </w:rPr>
      </w:pPr>
    </w:p>
    <w:p>
      <w:pPr>
        <w:ind w:left="2860" w:hanging="956"/>
        <w:spacing w:after="0"/>
        <w:tabs>
          <w:tab w:leader="none" w:pos="2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notices, consents, waivers or other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Business Day after deposit with an overnight courier service, in each case properly addressed to the party to receive the same. The addresses and facsimile numbers for such communications shall be:</w:t>
      </w: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If to the Company:</w:t>
            </w: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780" w:type="dxa"/>
            <w:vAlign w:val="bottom"/>
          </w:tcPr>
          <w:p>
            <w:pPr>
              <w:ind w:left="940"/>
              <w:spacing w:after="0"/>
              <w:rPr>
                <w:sz w:val="20"/>
                <w:szCs w:val="20"/>
                <w:color w:val="auto"/>
              </w:rPr>
            </w:pPr>
            <w:r>
              <w:rPr>
                <w:rFonts w:ascii="Courier New" w:cs="Courier New" w:eastAsia="Courier New" w:hAnsi="Courier New"/>
                <w:sz w:val="18"/>
                <w:szCs w:val="18"/>
                <w:color w:val="auto"/>
              </w:rPr>
              <w:t>StemCells, Inc.</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3155 Porter Drive</w:t>
            </w: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Palo Alto, California</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94304</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Telephone: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(650)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475-3100</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Facsimile: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(650)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475-3101</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Attention: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Martin McGlynn</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2780" w:type="dxa"/>
            <w:vAlign w:val="bottom"/>
          </w:tcPr>
          <w:p>
            <w:pPr>
              <w:ind w:left="940"/>
              <w:spacing w:after="0"/>
              <w:rPr>
                <w:sz w:val="20"/>
                <w:szCs w:val="20"/>
                <w:color w:val="auto"/>
              </w:rPr>
            </w:pPr>
            <w:r>
              <w:rPr>
                <w:rFonts w:ascii="Courier New" w:cs="Courier New" w:eastAsia="Courier New" w:hAnsi="Courier New"/>
                <w:sz w:val="18"/>
                <w:szCs w:val="18"/>
                <w:color w:val="auto"/>
              </w:rPr>
              <w:t>Ropes &amp; Gray LLP</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One International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Place</w:t>
            </w:r>
          </w:p>
        </w:tc>
        <w:tc>
          <w:tcPr>
            <w:tcW w:w="960" w:type="dxa"/>
            <w:vAlign w:val="bottom"/>
          </w:tcPr>
          <w:p>
            <w:pPr>
              <w:spacing w:after="0"/>
              <w:rPr>
                <w:sz w:val="17"/>
                <w:szCs w:val="17"/>
                <w:color w:val="auto"/>
              </w:rPr>
            </w:pPr>
          </w:p>
        </w:tc>
      </w:tr>
      <w:tr>
        <w:trPr>
          <w:trHeight w:val="203"/>
        </w:trPr>
        <w:tc>
          <w:tcPr>
            <w:tcW w:w="33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Boston, Massachusetts</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02110</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Telephone: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(617)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951-7000</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Facsimile: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(617)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951-7050</w:t>
            </w:r>
          </w:p>
        </w:tc>
      </w:tr>
      <w:tr>
        <w:trPr>
          <w:trHeight w:val="203"/>
        </w:trPr>
        <w:tc>
          <w:tcPr>
            <w:tcW w:w="2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Attention: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Geoffrey Davis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the Transfer Agent: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EquiServe Trust Company, L.P.</w:t>
      </w:r>
    </w:p>
    <w:p>
      <w:pPr>
        <w:sectPr>
          <w:pgSz w:w="11900" w:h="16838" w:orient="portrait"/>
          <w:cols w:equalWidth="0" w:num="1">
            <w:col w:w="10219"/>
          </w:cols>
          <w:pgMar w:left="240" w:top="723" w:right="1440" w:bottom="1440" w:gutter="0" w:footer="0" w:header="0"/>
        </w:sectPr>
      </w:pPr>
    </w:p>
    <w:bookmarkStart w:id="24" w:name="page25"/>
    <w:bookmarkEnd w:id="24"/>
    <w:p>
      <w:pPr>
        <w:ind w:left="1900"/>
        <w:spacing w:after="0"/>
        <w:rPr>
          <w:sz w:val="20"/>
          <w:szCs w:val="20"/>
          <w:color w:val="auto"/>
        </w:rPr>
      </w:pPr>
      <w:r>
        <w:rPr>
          <w:rFonts w:ascii="Courier New" w:cs="Courier New" w:eastAsia="Courier New" w:hAnsi="Courier New"/>
          <w:sz w:val="18"/>
          <w:szCs w:val="18"/>
          <w:color w:val="auto"/>
        </w:rPr>
        <w:t>P.O. Box 8040</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02266-8040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(781) 575-2130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(781) 575-2549</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to a Buyer, to its address and facsimile number set forth on the Schedule of Buyers, with copies to such Buyer's representatives as set forth on the Schedule of Buyers,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207" w:lineRule="exact"/>
        <w:rPr>
          <w:sz w:val="20"/>
          <w:szCs w:val="20"/>
          <w:color w:val="auto"/>
        </w:rPr>
      </w:pPr>
    </w:p>
    <w:p>
      <w:pPr>
        <w:ind w:right="1779" w:firstLine="1904"/>
        <w:spacing w:after="0" w:line="237" w:lineRule="auto"/>
        <w:tabs>
          <w:tab w:leader="none" w:pos="28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Agreement shall be binding upon and inure to the benefit of the parties and their respective successors and assigns, including any purchasers of the Common Shares. The Company shall not assign this Agreement or any rights or obligations hereunder without the prior written consent of the holders of Common Shares representing at least a majority of the number of the Common Shares. A Buyer may assign some or all of its rights hereunder without the consent of the Company, in which event such assignee shall be deemed to be a Buyer hereunder with respect to such assigned rights.</w:t>
      </w:r>
    </w:p>
    <w:p>
      <w:pPr>
        <w:spacing w:after="0" w:line="207"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Beneficiaries. This Agreement is</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intended for the benefit of the parties hereto and their respective permitted successors and assigns, and is not for the benefit of, nor may any provision hereof be enforced by, any other Person.</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Unless this Agreement is terminated under</w:t>
      </w:r>
    </w:p>
    <w:p>
      <w:pPr>
        <w:spacing w:after="0" w:line="4" w:lineRule="exact"/>
        <w:rPr>
          <w:rFonts w:ascii="Courier New" w:cs="Courier New" w:eastAsia="Courier New" w:hAnsi="Courier New"/>
          <w:sz w:val="18"/>
          <w:szCs w:val="18"/>
          <w:color w:val="auto"/>
        </w:rPr>
      </w:pPr>
    </w:p>
    <w:p>
      <w:pPr>
        <w:ind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7, the representations and warranties of the Company and the Buyers contained in Sections 2 and 3, the agreements and covenants set forth in Sections 4 and 8 shall survive the Closing. Each Buyer shall be responsible only for its own representations, warranties, agreements and covenants hereunder.</w:t>
      </w:r>
    </w:p>
    <w:p>
      <w:pPr>
        <w:spacing w:after="0" w:line="182"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other holder of the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w:t>
      </w:r>
    </w:p>
    <w:p>
      <w:pPr>
        <w:sectPr>
          <w:pgSz w:w="11900" w:h="16838" w:orient="portrait"/>
          <w:cols w:equalWidth="0" w:num="1">
            <w:col w:w="10219"/>
          </w:cols>
          <w:pgMar w:left="240" w:top="717" w:right="1440" w:bottom="1440" w:gutter="0" w:footer="0" w:header="0"/>
        </w:sectPr>
      </w:pPr>
    </w:p>
    <w:bookmarkStart w:id="25" w:name="page26"/>
    <w:bookmarkEnd w:id="25"/>
    <w:p>
      <w:pPr>
        <w:ind w:right="1779"/>
        <w:spacing w:after="0" w:line="268" w:lineRule="auto"/>
        <w:rPr>
          <w:sz w:val="20"/>
          <w:szCs w:val="20"/>
          <w:color w:val="auto"/>
        </w:rPr>
      </w:pPr>
      <w:r>
        <w:rPr>
          <w:rFonts w:ascii="Courier New" w:cs="Courier New" w:eastAsia="Courier New" w:hAnsi="Courier New"/>
          <w:sz w:val="16"/>
          <w:szCs w:val="16"/>
          <w:color w:val="auto"/>
        </w:rPr>
        <w:t>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to the extent resulting from or relating to (a) any misrepresentation or breach of any representation or warranty made by the Company in the Transaction Documents or any other certificate, instrument or document contemplated hereby or thereby,</w:t>
      </w:r>
    </w:p>
    <w:p>
      <w:pPr>
        <w:spacing w:after="0" w:line="2" w:lineRule="exact"/>
        <w:rPr>
          <w:sz w:val="20"/>
          <w:szCs w:val="20"/>
          <w:color w:val="auto"/>
        </w:rPr>
      </w:pPr>
    </w:p>
    <w:p>
      <w:pPr>
        <w:ind w:right="1779" w:firstLine="8"/>
        <w:spacing w:after="0" w:line="238"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covenant, agreement or obligation of the Company contained in the Transaction Documents or any other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the Transaction Documents or any other certificate, instrument or document contemplated hereby or thereby, (ii) any transaction financed or to be financed in whole or in part, directly or indirectly, with the proceeds of the issuance of the Securities, or (iii) the status of such Buyer or holder of the Securities as an investor in the Company.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2"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Indemnitee</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this Section 8(k) of notice of the commencement of any action or proceeding (including any governmental action or proceeding) involving an Indemnified Liability, such Indemnitee shall, if an Indemnified Liability in respect thereof is to be made against any indemnifying party under this Section 8(k),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provided, however, that an Indemnitee shall have the right to retain its own counsel with the fees and expenses of not more than one counsel for such Indemnitee to be paid by the indemnifying party, if, in the reasonable opinion of the Indemnitee, the representation by such counsel of the Indemnitee and the indemnifying party would be inappropriate due to actual or potential differing interests between such Indemnitee and any other party represented by such counsel in such proceeding. Legal counsel referred to in the immediately preceding sentence shall be selected by the Investors holding at least a majority of the Purchased Shares. The Indemnitee shall cooperate fully with the indemnifying party in connection with any negotiation or defense of any such action or Indemnified Liabilities by the indemnifying party and shall furnish to the indemnifying party all information reasonably available to the Indemnitee that relates to such action or Indemnified Liabilities. The indemnifying party shall keep the Indemnitee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respect to such Indemnified Liabilities or litigation.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Section 8(k), except to the extent that the indemnifying party is prejudiced in its ability to defend such action.</w:t>
      </w:r>
    </w:p>
    <w:p>
      <w:pPr>
        <w:spacing w:after="0" w:line="214" w:lineRule="exact"/>
        <w:rPr>
          <w:sz w:val="20"/>
          <w:szCs w:val="20"/>
          <w:color w:val="auto"/>
        </w:rPr>
      </w:pPr>
    </w:p>
    <w:p>
      <w:pPr>
        <w:ind w:left="3800" w:hanging="948"/>
        <w:spacing w:after="0"/>
        <w:tabs>
          <w:tab w:leader="none" w:pos="38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required by this Section</w:t>
      </w:r>
    </w:p>
    <w:p>
      <w:pPr>
        <w:spacing w:after="0" w:line="2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8(k) shall be made by periodic payments of the amount thereof during the course of the investigation or defense, as and when bills are received or Indemnified Liabilities are incurred.</w:t>
      </w:r>
    </w:p>
    <w:p>
      <w:pPr>
        <w:spacing w:after="0" w:line="203" w:lineRule="exact"/>
        <w:rPr>
          <w:rFonts w:ascii="Courier New" w:cs="Courier New" w:eastAsia="Courier New" w:hAnsi="Courier New"/>
          <w:sz w:val="16"/>
          <w:szCs w:val="16"/>
          <w:color w:val="auto"/>
        </w:rPr>
      </w:pPr>
    </w:p>
    <w:p>
      <w:pPr>
        <w:ind w:left="3800" w:hanging="948"/>
        <w:spacing w:after="0"/>
        <w:tabs>
          <w:tab w:leader="none" w:pos="38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agreements contained herein</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in addition to (i) any cause of action or similar right of the Indemnitee against the indemnifying party or others, and (ii) any liabilities the indemnifying party may be subject to pursuant to the law.</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8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Strict Construction. The language used in this Agreement will be deemed to be the language chosen by the parties to express their mutual intent, and no rules of strict construction will be applied against any party.</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Each Buyer and each holder of the</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this Agreement, any remedy at law may prove to be inadequate relief to the Buyers. The Company therefore agrees that the Buyers shall be entitled to seek temporary and permanent injunctive relief in any such case without the necessity of proving actual damages and without posting a bond or other security.</w:t>
      </w:r>
    </w:p>
    <w:p>
      <w:pPr>
        <w:spacing w:after="0" w:line="389" w:lineRule="exact"/>
        <w:rPr>
          <w:rFonts w:ascii="Courier New" w:cs="Courier New" w:eastAsia="Courier New" w:hAnsi="Courier New"/>
          <w:sz w:val="18"/>
          <w:szCs w:val="18"/>
          <w:color w:val="auto"/>
        </w:rPr>
      </w:pPr>
    </w:p>
    <w:p>
      <w:pPr>
        <w:ind w:right="1879" w:firstLine="1904"/>
        <w:spacing w:after="0" w:line="238" w:lineRule="auto"/>
        <w:tabs>
          <w:tab w:leader="none" w:pos="28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Set Aside. To the extent that the Company makes a payment or payments to the Buyers hereunder or pursuant to any of the other Transaction Documents or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7" w:lineRule="exact"/>
        <w:rPr>
          <w:rFonts w:ascii="Courier New" w:cs="Courier New" w:eastAsia="Courier New" w:hAnsi="Courier New"/>
          <w:sz w:val="18"/>
          <w:szCs w:val="18"/>
          <w:color w:val="auto"/>
        </w:rPr>
      </w:pPr>
    </w:p>
    <w:p>
      <w:pPr>
        <w:jc w:val="both"/>
        <w:ind w:right="1779" w:firstLine="1904"/>
        <w:spacing w:after="0" w:line="236" w:lineRule="auto"/>
        <w:tabs>
          <w:tab w:leader="none" w:pos="28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Nature of Buyers' Obligations and Rights. The obligations of each Buyer under any Transaction Document are several and not joint with the obligations of any</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8" w:lineRule="auto"/>
        <w:rPr>
          <w:sz w:val="20"/>
          <w:szCs w:val="20"/>
          <w:color w:val="auto"/>
        </w:rPr>
      </w:pPr>
      <w:r>
        <w:rPr>
          <w:rFonts w:ascii="Courier New" w:cs="Courier New" w:eastAsia="Courier New" w:hAnsi="Courier New"/>
          <w:sz w:val="18"/>
          <w:szCs w:val="18"/>
          <w:color w:val="auto"/>
        </w:rPr>
        <w:t>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 partnership, an association, a joint venture or any other kind of entity, or create a presumption that the Buyers are in any way acting in concert or as a group with respect to such obligations or the transactions contemplated by the Transaction Documents. Each Buyer confirms that it has independently participated in the negotiation of the transaction contemplated hereby with the advice of its own counsel and advisors. Each Buyer shall be entitled to independently protect and enforce its rights, including, without limitations, the rights arising out of this Agreement or out of any other Transaction Documents, and it shall not be necessary for any other Buyer to be joined as an additional party in any proceeding for such purpose.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ectPr>
          <w:pgSz w:w="11900" w:h="16838" w:orient="portrait"/>
          <w:cols w:equalWidth="0" w:num="1">
            <w:col w:w="10219"/>
          </w:cols>
          <w:pgMar w:left="240" w:top="723" w:right="1440" w:bottom="1440" w:gutter="0" w:footer="0" w:header="0"/>
        </w:sectPr>
      </w:pPr>
    </w:p>
    <w:bookmarkStart w:id="28" w:name="page29"/>
    <w:bookmarkEnd w:id="28"/>
    <w:p>
      <w:pPr>
        <w:ind w:right="1999" w:firstLine="948"/>
        <w:spacing w:after="0" w:line="236" w:lineRule="auto"/>
        <w:rPr>
          <w:sz w:val="20"/>
          <w:szCs w:val="20"/>
          <w:color w:val="auto"/>
        </w:rPr>
      </w:pPr>
      <w:r>
        <w:rPr>
          <w:rFonts w:ascii="Courier New" w:cs="Courier New" w:eastAsia="Courier New" w:hAnsi="Courier New"/>
          <w:sz w:val="18"/>
          <w:szCs w:val="18"/>
          <w:color w:val="auto"/>
        </w:rPr>
        <w:t>IN WITNESS WHEREOF, each Buyer and the Company have caused this Securities Purchase Agreement to be duly executed as of the date first written above.</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BUYERS:</w:t>
      </w:r>
    </w:p>
    <w:p>
      <w:pPr>
        <w:spacing w:after="0" w:line="200" w:lineRule="exact"/>
        <w:rPr>
          <w:sz w:val="20"/>
          <w:szCs w:val="20"/>
          <w:color w:val="auto"/>
        </w:rPr>
      </w:pPr>
    </w:p>
    <w:p>
      <w:pPr>
        <w:sectPr>
          <w:pgSz w:w="11900" w:h="16838" w:orient="portrait"/>
          <w:cols w:equalWidth="0" w:num="2">
            <w:col w:w="5080" w:space="720"/>
            <w:col w:w="44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RIVERVIEW GROUP LLC</w:t>
      </w:r>
    </w:p>
    <w:p>
      <w:pPr>
        <w:spacing w:after="0" w:line="200" w:lineRule="exact"/>
        <w:rPr>
          <w:sz w:val="20"/>
          <w:szCs w:val="20"/>
          <w:color w:val="auto"/>
        </w:rPr>
      </w:pPr>
    </w:p>
    <w:p>
      <w:pPr>
        <w:sectPr>
          <w:pgSz w:w="11900" w:h="16838" w:orient="portrait"/>
          <w:cols w:equalWidth="0" w:num="2">
            <w:col w:w="5080" w:space="720"/>
            <w:col w:w="44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2">
            <w:col w:w="5080" w:space="720"/>
            <w:col w:w="4419"/>
          </w:cols>
          <w:pgMar w:left="240" w:top="723" w:right="1440" w:bottom="1440" w:gutter="0" w:footer="0" w:header="0"/>
          <w:type w:val="continuous"/>
        </w:sectPr>
      </w:pPr>
    </w:p>
    <w:bookmarkStart w:id="29" w:name="page30"/>
    <w:bookmarkEnd w:id="29"/>
    <w:p>
      <w:pPr>
        <w:ind w:left="3280"/>
        <w:spacing w:after="0"/>
        <w:rPr>
          <w:sz w:val="20"/>
          <w:szCs w:val="20"/>
          <w:color w:val="auto"/>
        </w:rPr>
      </w:pPr>
      <w:r>
        <w:rPr>
          <w:rFonts w:ascii="Courier New" w:cs="Courier New" w:eastAsia="Courier New" w:hAnsi="Courier New"/>
          <w:sz w:val="18"/>
          <w:szCs w:val="18"/>
          <w:color w:val="auto"/>
        </w:rPr>
        <w:t>SCHEDULE OF BUYERS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3780" w:val="left"/>
          <w:tab w:leader="none" w:pos="6300" w:val="left"/>
          <w:tab w:leader="none" w:pos="87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(4)</w:t>
      </w:r>
    </w:p>
    <w:p>
      <w:pPr>
        <w:ind w:left="6020"/>
        <w:spacing w:after="0" w:line="238" w:lineRule="auto"/>
        <w:rPr>
          <w:sz w:val="20"/>
          <w:szCs w:val="20"/>
          <w:color w:val="auto"/>
        </w:rPr>
      </w:pPr>
      <w:r>
        <w:rPr>
          <w:rFonts w:ascii="Courier New" w:cs="Courier New" w:eastAsia="Courier New" w:hAnsi="Courier New"/>
          <w:sz w:val="18"/>
          <w:szCs w:val="18"/>
          <w:color w:val="auto"/>
        </w:rPr>
        <w:t>NUMBER OF</w:t>
      </w:r>
    </w:p>
    <w:p>
      <w:pPr>
        <w:ind w:left="6120"/>
        <w:spacing w:after="0"/>
        <w:tabs>
          <w:tab w:leader="none" w:pos="768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LEGAL REPRESENTATIVE'S</w:t>
      </w:r>
    </w:p>
    <w:p>
      <w:pPr>
        <w:ind w:left="740"/>
        <w:spacing w:after="0"/>
        <w:tabs>
          <w:tab w:leader="none" w:pos="2520" w:val="left"/>
          <w:tab w:leader="none" w:pos="6100" w:val="left"/>
          <w:tab w:leader="none" w:pos="7460" w:val="left"/>
        </w:tabs>
        <w:rPr>
          <w:sz w:val="20"/>
          <w:szCs w:val="20"/>
          <w:color w:val="auto"/>
        </w:rPr>
      </w:pPr>
      <w:r>
        <w:rPr>
          <w:rFonts w:ascii="Courier New" w:cs="Courier New" w:eastAsia="Courier New" w:hAnsi="Courier New"/>
          <w:sz w:val="18"/>
          <w:szCs w:val="18"/>
          <w:color w:val="auto"/>
        </w:rPr>
        <w:t>BUYER</w:t>
      </w:r>
      <w:r>
        <w:rPr>
          <w:sz w:val="20"/>
          <w:szCs w:val="20"/>
          <w:color w:val="auto"/>
        </w:rPr>
        <w:tab/>
      </w:r>
      <w:r>
        <w:rPr>
          <w:rFonts w:ascii="Courier New" w:cs="Courier New" w:eastAsia="Courier New" w:hAnsi="Courier New"/>
          <w:sz w:val="18"/>
          <w:szCs w:val="18"/>
          <w:color w:val="auto"/>
        </w:rPr>
        <w:t>ADDRESS AND FACSIMILE NUMBER</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ADDRESS AND FACSIMILE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THE RIVERVIEW GROUP</w:t>
            </w:r>
          </w:p>
        </w:tc>
        <w:tc>
          <w:tcPr>
            <w:tcW w:w="3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666 Fifth Avenue, 8th floor</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5,000,000</w:t>
            </w:r>
          </w:p>
        </w:tc>
        <w:tc>
          <w:tcPr>
            <w:tcW w:w="312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Schulte Roth &amp; Zabel LLP</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LLC</w:t>
            </w:r>
          </w:p>
        </w:tc>
        <w:tc>
          <w:tcPr>
            <w:tcW w:w="2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New York, New York</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10103</w:t>
            </w:r>
          </w:p>
        </w:tc>
        <w:tc>
          <w:tcPr>
            <w:tcW w:w="1620" w:type="dxa"/>
            <w:vAlign w:val="bottom"/>
          </w:tcPr>
          <w:p>
            <w:pPr>
              <w:spacing w:after="0"/>
              <w:rPr>
                <w:sz w:val="17"/>
                <w:szCs w:val="17"/>
                <w:color w:val="auto"/>
              </w:rPr>
            </w:pPr>
          </w:p>
        </w:tc>
        <w:tc>
          <w:tcPr>
            <w:tcW w:w="22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919 Third Avenue</w:t>
            </w:r>
          </w:p>
        </w:tc>
        <w:tc>
          <w:tcPr>
            <w:tcW w:w="8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Attention:</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Daniel Cardella</w:t>
            </w:r>
          </w:p>
        </w:tc>
        <w:tc>
          <w:tcPr>
            <w:tcW w:w="1620" w:type="dxa"/>
            <w:vAlign w:val="bottom"/>
          </w:tcPr>
          <w:p>
            <w:pPr>
              <w:spacing w:after="0"/>
              <w:rPr>
                <w:sz w:val="17"/>
                <w:szCs w:val="17"/>
                <w:color w:val="auto"/>
              </w:rPr>
            </w:pPr>
          </w:p>
        </w:tc>
        <w:tc>
          <w:tcPr>
            <w:tcW w:w="22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New York, NY 10022</w:t>
            </w:r>
          </w:p>
        </w:tc>
        <w:tc>
          <w:tcPr>
            <w:tcW w:w="8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Facsimile: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977-1667</w:t>
            </w:r>
          </w:p>
        </w:tc>
        <w:tc>
          <w:tcPr>
            <w:tcW w:w="1620" w:type="dxa"/>
            <w:vAlign w:val="bottom"/>
          </w:tcPr>
          <w:p>
            <w:pPr>
              <w:spacing w:after="0"/>
              <w:rPr>
                <w:sz w:val="17"/>
                <w:szCs w:val="17"/>
                <w:color w:val="auto"/>
              </w:rPr>
            </w:pPr>
          </w:p>
        </w:tc>
        <w:tc>
          <w:tcPr>
            <w:tcW w:w="31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w w:val="96"/>
              </w:rPr>
              <w:t>Attn:  Eleazer Klein, Esq.</w:t>
            </w:r>
          </w:p>
        </w:tc>
      </w:tr>
      <w:tr>
        <w:trPr>
          <w:trHeight w:val="203"/>
        </w:trPr>
        <w:tc>
          <w:tcPr>
            <w:tcW w:w="2280" w:type="dxa"/>
            <w:vAlign w:val="bottom"/>
          </w:tcPr>
          <w:p>
            <w:pPr>
              <w:spacing w:after="0"/>
              <w:rPr>
                <w:sz w:val="17"/>
                <w:szCs w:val="17"/>
                <w:color w:val="auto"/>
              </w:rPr>
            </w:pPr>
          </w:p>
        </w:tc>
        <w:tc>
          <w:tcPr>
            <w:tcW w:w="3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Telephone: (212) 841-4100</w:t>
            </w:r>
          </w:p>
        </w:tc>
        <w:tc>
          <w:tcPr>
            <w:tcW w:w="162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Facsimile:</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593-5955</w:t>
            </w:r>
          </w:p>
        </w:tc>
      </w:tr>
      <w:tr>
        <w:trPr>
          <w:trHeight w:val="203"/>
        </w:trPr>
        <w:tc>
          <w:tcPr>
            <w:tcW w:w="228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Residence:</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Delaware</w:t>
            </w:r>
          </w:p>
        </w:tc>
        <w:tc>
          <w:tcPr>
            <w:tcW w:w="162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Telephone:</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756-2000</w:t>
            </w:r>
          </w:p>
        </w:tc>
      </w:tr>
    </w:tbl>
    <w:p>
      <w:pPr>
        <w:sectPr>
          <w:pgSz w:w="11900" w:h="16838" w:orient="portrait"/>
          <w:cols w:equalWidth="0" w:num="1">
            <w:col w:w="10640"/>
          </w:cols>
          <w:pgMar w:left="240" w:top="717" w:right="1019" w:bottom="1440" w:gutter="0" w:footer="0" w:header="0"/>
        </w:sectPr>
      </w:pPr>
    </w:p>
    <w:bookmarkStart w:id="30" w:name="page31"/>
    <w:bookmarkEnd w:id="30"/>
    <w:p>
      <w:pPr>
        <w:ind w:left="3800"/>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Exhibit A Exhibit B Exhibit C Exhibit 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Buyer Certificate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Company Counsel Opinion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Secretary's Certificate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Officer's Certificate</w:t>
      </w:r>
    </w:p>
    <w:p>
      <w:pPr>
        <w:spacing w:after="0" w:line="20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3(e)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3(l)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3(w)</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Absence of Certain Changes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w:t>
      </w:r>
    </w:p>
    <w:p>
      <w:pPr>
        <w:sectPr>
          <w:pgSz w:w="11900" w:h="16838" w:orient="portrait"/>
          <w:cols w:equalWidth="0" w:num="2">
            <w:col w:w="2140" w:space="720"/>
            <w:col w:w="7359"/>
          </w:cols>
          <w:pgMar w:left="240" w:top="723" w:right="1440" w:bottom="1440" w:gutter="0" w:footer="0" w:header="0"/>
          <w:type w:val="continuous"/>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 CELLS INC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(Ticker: STEM, Exchange: NASDAQ)</w:t>
      </w:r>
    </w:p>
    <w:p>
      <w:pPr>
        <w:spacing w:after="0" w:line="238" w:lineRule="auto"/>
        <w:rPr>
          <w:sz w:val="20"/>
          <w:szCs w:val="20"/>
          <w:color w:val="auto"/>
        </w:rPr>
      </w:pPr>
      <w:r>
        <w:rPr>
          <w:rFonts w:ascii="Courier New" w:cs="Courier New" w:eastAsia="Courier New" w:hAnsi="Courier New"/>
          <w:sz w:val="18"/>
          <w:szCs w:val="18"/>
          <w:color w:val="auto"/>
        </w:rPr>
        <w:t>News Release--December 10, 2003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STEMCELLS RAISES $9.5 MILLION IN NEW FINANCING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Palo Alto, Calif., December 10, 2003 -- StemCells, Inc. (NASDAQ: STEM) announced today that it has completed a $9.5 million financing transaction with an institutional investor through the sale of 5 million shares of common stock at a price of $1.90 per share.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StemCells intends to use the proceeds of the sale of the common stock primarily for general corporate purposes including current and future preclinical trials of its lead product candidate, a proprietary human neural central nervous system stem cell (hCNS-SC) for the treatment of diseases of, or injuries to, the brain and spinal cord. The Company has previously announced that it intends to file its first IND with the FDA to begin clinical trials in Batten Disease, a rare but fatal neurodegenerative disorder.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StemCells,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www.stemcellsinc.com.</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uncertainty whether results comparable to the Company's preclinical work will be obtainable in humans; the fact that the Company's stem cell technology is at the pre-clinical stage and has not yet led to the development of any proposed product;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ectPr>
          <w:pgSz w:w="11900" w:h="16838" w:orient="portrait"/>
          <w:cols w:equalWidth="0" w:num="1">
            <w:col w:w="10219"/>
          </w:cols>
          <w:pgMar w:left="240" w:top="541"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Martin McGlynn, President &amp; CEO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650-475-3100, ext 108</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Media / Investor Relations Contact: The Investor Relations Group Janet Vasquez / Jane Lin 212-825-3210</w:t>
      </w:r>
    </w:p>
    <w:p>
      <w:pPr>
        <w:spacing w:after="0" w:line="200" w:lineRule="exact"/>
        <w:rPr>
          <w:sz w:val="20"/>
          <w:szCs w:val="20"/>
          <w:color w:val="auto"/>
        </w:rPr>
      </w:pPr>
    </w:p>
    <w:p>
      <w:pPr>
        <w:sectPr>
          <w:pgSz w:w="11900" w:h="16838" w:orient="portrait"/>
          <w:cols w:equalWidth="0" w:num="2">
            <w:col w:w="4020" w:space="720"/>
            <w:col w:w="5479"/>
          </w:cols>
          <w:pgMar w:left="240" w:top="541"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1"/>
    </w:lvl>
  </w:abstractNum>
  <w:abstractNum w:abstractNumId="1">
    <w:nsid w:val="3F2DBA31"/>
    <w:multiLevelType w:val="hybridMultilevel"/>
    <w:lvl w:ilvl="0">
      <w:lvlJc w:val="left"/>
      <w:lvlText w:val="%1."/>
      <w:numFmt w:val="decimal"/>
      <w:start w:val="1"/>
    </w:lvl>
    <w:lvl w:ilvl="1">
      <w:lvlJc w:val="left"/>
      <w:lvlText w:val="(%2)"/>
      <w:numFmt w:val="lowerLetter"/>
      <w:start w:val="1"/>
    </w:lvl>
  </w:abstractNum>
  <w:abstractNum w:abstractNumId="2">
    <w:nsid w:val="7C83E458"/>
    <w:multiLevelType w:val="hybridMultilevel"/>
    <w:lvl w:ilvl="0">
      <w:lvlJc w:val="left"/>
      <w:lvlText w:val="(%1)"/>
      <w:numFmt w:val="lowerLetter"/>
      <w:start w:val="2"/>
    </w:lvl>
  </w:abstractNum>
  <w:abstractNum w:abstractNumId="3">
    <w:nsid w:val="257130A3"/>
    <w:multiLevelType w:val="hybridMultilevel"/>
    <w:lvl w:ilvl="0">
      <w:lvlJc w:val="left"/>
      <w:lvlText w:val="%1"/>
      <w:numFmt w:val="decimal"/>
      <w:start w:val="1"/>
    </w:lvl>
    <w:lvl w:ilvl="1">
      <w:lvlJc w:val="left"/>
      <w:lvlText w:val="(%2)"/>
      <w:numFmt w:val="lowerLetter"/>
      <w:start w:val="4"/>
    </w:lvl>
  </w:abstractNum>
  <w:abstractNum w:abstractNumId="4">
    <w:nsid w:val="62BBD95A"/>
    <w:multiLevelType w:val="hybridMultilevel"/>
    <w:lvl w:ilvl="0">
      <w:lvlJc w:val="left"/>
      <w:lvlText w:val="%1."/>
      <w:numFmt w:val="decimal"/>
      <w:start w:val="2"/>
    </w:lvl>
    <w:lvl w:ilvl="1">
      <w:lvlJc w:val="left"/>
      <w:lvlText w:val="%2"/>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4"/>
    </w:lvl>
  </w:abstractNum>
  <w:abstractNum w:abstractNumId="9">
    <w:nsid w:val="2443A858"/>
    <w:multiLevelType w:val="hybridMultilevel"/>
    <w:lvl w:ilvl="0">
      <w:lvlJc w:val="left"/>
      <w:lvlText w:val="(%1)"/>
      <w:numFmt w:val="lowerLetter"/>
      <w:start w:val="7"/>
    </w:lvl>
  </w:abstractNum>
  <w:abstractNum w:abstractNumId="10">
    <w:nsid w:val="2D1D5AE9"/>
    <w:multiLevelType w:val="hybridMultilevel"/>
    <w:lvl w:ilvl="0">
      <w:lvlJc w:val="left"/>
      <w:lvlText w:val="%1"/>
      <w:numFmt w:val="lowerLetter"/>
      <w:start w:val="1"/>
    </w:lvl>
    <w:lvl w:ilvl="1">
      <w:lvlJc w:val="left"/>
      <w:lvlText w:val="(%2)"/>
      <w:numFmt w:val="lowerLetter"/>
      <w:start w:val="11"/>
    </w:lvl>
  </w:abstractNum>
  <w:abstractNum w:abstractNumId="11">
    <w:nsid w:val="6763845E"/>
    <w:multiLevelType w:val="hybridMultilevel"/>
    <w:lvl w:ilvl="0">
      <w:lvlJc w:val="left"/>
      <w:lvlText w:val="(%1)"/>
      <w:numFmt w:val="lowerLetter"/>
      <w:start w:val="61"/>
    </w:lvl>
    <w:lvl w:ilvl="1">
      <w:lvlJc w:val="left"/>
      <w:lvlText w:val="%2"/>
      <w:numFmt w:val="lowerLetter"/>
      <w:start w:val="1"/>
    </w:lvl>
  </w:abstractNum>
  <w:abstractNum w:abstractNumId="12">
    <w:nsid w:val="75A2A8D4"/>
    <w:multiLevelType w:val="hybridMultilevel"/>
    <w:lvl w:ilvl="0">
      <w:lvlJc w:val="left"/>
      <w:lvlText w:val="(%1)"/>
      <w:numFmt w:val="lowerLetter"/>
      <w:start w:val="12"/>
    </w:lvl>
  </w:abstractNum>
  <w:abstractNum w:abstractNumId="13">
    <w:nsid w:val="8EDBDAB"/>
    <w:multiLevelType w:val="hybridMultilevel"/>
    <w:lvl w:ilvl="0">
      <w:lvlJc w:val="left"/>
      <w:lvlText w:val="%1"/>
      <w:numFmt w:val="lowerLetter"/>
      <w:start w:val="1"/>
    </w:lvl>
    <w:lvl w:ilvl="1">
      <w:lvlJc w:val="left"/>
      <w:lvlText w:val="(%2)"/>
      <w:numFmt w:val="lowerLetter"/>
      <w:start w:val="13"/>
    </w:lvl>
  </w:abstractNum>
  <w:abstractNum w:abstractNumId="14">
    <w:nsid w:val="79838CB2"/>
    <w:multiLevelType w:val="hybridMultilevel"/>
    <w:lvl w:ilvl="0">
      <w:lvlJc w:val="left"/>
      <w:lvlText w:val="(%1)"/>
      <w:numFmt w:val="lowerLetter"/>
      <w:start w:val="9"/>
    </w:lvl>
    <w:lvl w:ilvl="1">
      <w:lvlJc w:val="left"/>
      <w:lvlText w:val="(%2)"/>
      <w:numFmt w:val="lowerLetter"/>
      <w:start w:val="14"/>
    </w:lvl>
  </w:abstractNum>
  <w:abstractNum w:abstractNumId="15">
    <w:nsid w:val="4353D0CD"/>
    <w:multiLevelType w:val="hybridMultilevel"/>
    <w:lvl w:ilvl="0">
      <w:lvlJc w:val="left"/>
      <w:lvlText w:val="(%1)"/>
      <w:numFmt w:val="lowerLetter"/>
      <w:start w:val="17"/>
    </w:lvl>
  </w:abstractNum>
  <w:abstractNum w:abstractNumId="16">
    <w:nsid w:val="B03E0C6"/>
    <w:multiLevelType w:val="hybridMultilevel"/>
    <w:lvl w:ilvl="0">
      <w:lvlJc w:val="left"/>
      <w:lvlText w:val="(%1)"/>
      <w:numFmt w:val="lowerLetter"/>
      <w:start w:val="26"/>
    </w:lvl>
    <w:lvl w:ilvl="1">
      <w:lvlJc w:val="left"/>
      <w:lvlText w:val="(%2)"/>
      <w:numFmt w:val="lowerLetter"/>
      <w:start w:val="18"/>
    </w:lvl>
  </w:abstractNum>
  <w:abstractNum w:abstractNumId="17">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8">
    <w:nsid w:val="54E49EB4"/>
    <w:multiLevelType w:val="hybridMultilevel"/>
    <w:lvl w:ilvl="0">
      <w:lvlJc w:val="left"/>
      <w:lvlText w:val="%1"/>
      <w:numFmt w:val="lowerLetter"/>
      <w:start w:val="1"/>
    </w:lvl>
    <w:lvl w:ilvl="1">
      <w:lvlJc w:val="left"/>
      <w:lvlText w:val="(%2)"/>
      <w:numFmt w:val="lowerLetter"/>
      <w:start w:val="21"/>
    </w:lvl>
    <w:lvl w:ilvl="2">
      <w:lvlJc w:val="left"/>
      <w:lvlText w:val="%3"/>
      <w:numFmt w:val="lowerLetter"/>
      <w:start w:val="1"/>
    </w:lvl>
  </w:abstractNum>
  <w:abstractNum w:abstractNumId="19">
    <w:nsid w:val="71F3245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0">
    <w:nsid w:val="2CA88611"/>
    <w:multiLevelType w:val="hybridMultilevel"/>
    <w:lvl w:ilvl="0">
      <w:lvlJc w:val="left"/>
      <w:lvlText w:val="(%1)"/>
      <w:numFmt w:val="lowerLetter"/>
      <w:start w:val="24"/>
    </w:lvl>
  </w:abstractNum>
  <w:abstractNum w:abstractNumId="21">
    <w:nsid w:val="836C40E"/>
    <w:multiLevelType w:val="hybridMultilevel"/>
    <w:lvl w:ilvl="0">
      <w:lvlJc w:val="left"/>
      <w:lvlText w:val="(%1)"/>
      <w:numFmt w:val="lowerLetter"/>
      <w:start w:val="27"/>
    </w:lvl>
  </w:abstractNum>
  <w:abstractNum w:abstractNumId="22">
    <w:nsid w:val="2901D82"/>
    <w:multiLevelType w:val="hybridMultilevel"/>
    <w:lvl w:ilvl="0">
      <w:lvlJc w:val="left"/>
      <w:lvlText w:val="%1"/>
      <w:numFmt w:val="decimal"/>
      <w:start w:val="1"/>
    </w:lvl>
    <w:lvl w:ilvl="1">
      <w:lvlJc w:val="left"/>
      <w:lvlText w:val="(%2)"/>
      <w:numFmt w:val="lowerLetter"/>
      <w:start w:val="28"/>
    </w:lvl>
  </w:abstractNum>
  <w:abstractNum w:abstractNumId="23">
    <w:nsid w:val="3A95F874"/>
    <w:multiLevelType w:val="hybridMultilevel"/>
    <w:lvl w:ilvl="0">
      <w:lvlJc w:val="left"/>
      <w:lvlText w:val="%1."/>
      <w:numFmt w:val="decimal"/>
      <w:start w:val="4"/>
    </w:lvl>
    <w:lvl w:ilvl="1">
      <w:lvlJc w:val="left"/>
      <w:lvlText w:val="(%2)"/>
      <w:numFmt w:val="lowerLetter"/>
      <w:start w:val="1"/>
    </w:lvl>
  </w:abstractNum>
  <w:abstractNum w:abstractNumId="24">
    <w:nsid w:val="8138641"/>
    <w:multiLevelType w:val="hybridMultilevel"/>
    <w:lvl w:ilvl="0">
      <w:lvlJc w:val="left"/>
      <w:lvlText w:val="(%1)"/>
      <w:numFmt w:val="lowerLetter"/>
      <w:start w:val="4"/>
    </w:lvl>
  </w:abstractNum>
  <w:abstractNum w:abstractNumId="25">
    <w:nsid w:val="1E7FF521"/>
    <w:multiLevelType w:val="hybridMultilevel"/>
    <w:lvl w:ilvl="0">
      <w:lvlJc w:val="left"/>
      <w:lvlText w:val="(%1)"/>
      <w:numFmt w:val="lowerLetter"/>
      <w:start w:val="35"/>
    </w:lvl>
    <w:lvl w:ilvl="1">
      <w:lvlJc w:val="left"/>
      <w:lvlText w:val="(%2)"/>
      <w:numFmt w:val="lowerLetter"/>
      <w:start w:val="8"/>
    </w:lvl>
  </w:abstractNum>
  <w:abstractNum w:abstractNumId="26">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737B8DDC"/>
    <w:multiLevelType w:val="hybridMultilevel"/>
    <w:lvl w:ilvl="0">
      <w:lvlJc w:val="left"/>
      <w:lvlText w:val="%1"/>
      <w:numFmt w:val="decimal"/>
      <w:start w:val="1"/>
    </w:lvl>
    <w:lvl w:ilvl="1">
      <w:lvlJc w:val="left"/>
      <w:lvlText w:val="(%2)"/>
      <w:numFmt w:val="lowerRoman"/>
      <w:start w:val="4"/>
    </w:lvl>
  </w:abstractNum>
  <w:abstractNum w:abstractNumId="28">
    <w:nsid w:val="6CEAF087"/>
    <w:multiLevelType w:val="hybridMultilevel"/>
    <w:lvl w:ilvl="0">
      <w:lvlJc w:val="left"/>
      <w:lvlText w:val="%1."/>
      <w:numFmt w:val="decimal"/>
      <w:start w:val="7"/>
    </w:lvl>
    <w:lvl w:ilvl="1">
      <w:lvlJc w:val="left"/>
      <w:lvlText w:val="%2"/>
      <w:numFmt w:val="lowerRoman"/>
      <w:start w:val="1"/>
    </w:lvl>
  </w:abstractNum>
  <w:abstractNum w:abstractNumId="29">
    <w:nsid w:val="22221A70"/>
    <w:multiLevelType w:val="hybridMultilevel"/>
    <w:lvl w:ilvl="0">
      <w:lvlJc w:val="left"/>
      <w:lvlText w:val="%1."/>
      <w:numFmt w:val="decimal"/>
      <w:start w:val="8"/>
    </w:lvl>
    <w:lvl w:ilvl="1">
      <w:lvlJc w:val="left"/>
      <w:lvlText w:val="(%2)"/>
      <w:numFmt w:val="lowerLetter"/>
      <w:start w:val="1"/>
    </w:lvl>
  </w:abstractNum>
  <w:abstractNum w:abstractNumId="30">
    <w:nsid w:val="4516DDE9"/>
    <w:multiLevelType w:val="hybridMultilevel"/>
    <w:lvl w:ilvl="0">
      <w:lvlJc w:val="left"/>
      <w:lvlText w:val="(%1)"/>
      <w:numFmt w:val="lowerLetter"/>
      <w:start w:val="6"/>
    </w:lvl>
  </w:abstractNum>
  <w:abstractNum w:abstractNumId="31">
    <w:nsid w:val="3006C83E"/>
    <w:multiLevelType w:val="hybridMultilevel"/>
    <w:lvl w:ilvl="0">
      <w:lvlJc w:val="left"/>
      <w:lvlText w:val="(%1)"/>
      <w:numFmt w:val="lowerLetter"/>
      <w:start w:val="7"/>
    </w:lvl>
  </w:abstractNum>
  <w:abstractNum w:abstractNumId="32">
    <w:nsid w:val="614FD4A1"/>
    <w:multiLevelType w:val="hybridMultilevel"/>
    <w:lvl w:ilvl="0">
      <w:lvlJc w:val="left"/>
      <w:lvlText w:val="(%1)"/>
      <w:numFmt w:val="lowerLetter"/>
      <w:start w:val="2"/>
    </w:lvl>
    <w:lvl w:ilvl="1">
      <w:lvlJc w:val="left"/>
      <w:lvlText w:val="(%2)"/>
      <w:numFmt w:val="lowerLetter"/>
      <w:start w:val="35"/>
    </w:lvl>
  </w:abstractNum>
  <w:abstractNum w:abstractNumId="33">
    <w:nsid w:val="419AC241"/>
    <w:multiLevelType w:val="hybridMultilevel"/>
    <w:lvl w:ilvl="0">
      <w:lvlJc w:val="left"/>
      <w:lvlText w:val="%1"/>
      <w:numFmt w:val="lowerLetter"/>
      <w:start w:val="1"/>
    </w:lvl>
    <w:lvl w:ilvl="1">
      <w:lvlJc w:val="left"/>
      <w:lvlText w:val="(%2)"/>
      <w:numFmt w:val="lowerRoman"/>
      <w:start w:val="3"/>
    </w:lvl>
  </w:abstractNum>
  <w:abstractNum w:abstractNumId="34">
    <w:nsid w:val="5577F8E1"/>
    <w:multiLevelType w:val="hybridMultilevel"/>
    <w:lvl w:ilvl="0">
      <w:lvlJc w:val="left"/>
      <w:lvlText w:val="(%1)"/>
      <w:numFmt w:val="lowerLetter"/>
      <w:start w:val="1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2019-12-11T22:45:46Z</dcterms:created>
  <dcterms:modified xsi:type="dcterms:W3CDTF">2019-12-11T22:45:46Z</dcterms:modified>
</cp:coreProperties>
</file>